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FFB4E" w14:textId="77777777" w:rsidR="00C30505" w:rsidRDefault="00C30505" w:rsidP="00C30505">
      <w:pPr>
        <w:pStyle w:val="Heading1"/>
        <w:rPr>
          <w:lang w:val="es-ES_tradnl"/>
        </w:rPr>
      </w:pPr>
      <w:r>
        <w:rPr>
          <w:lang w:val="es-ES_tradnl"/>
        </w:rPr>
        <w:t>Caso de estudio</w:t>
      </w:r>
    </w:p>
    <w:p w14:paraId="21688A46" w14:textId="77777777" w:rsidR="00C30505" w:rsidRDefault="00C30505" w:rsidP="00C30505"/>
    <w:p w14:paraId="428D55FA" w14:textId="77777777" w:rsidR="00C30505" w:rsidRDefault="00C30505" w:rsidP="00C30505">
      <w:pPr>
        <w:rPr>
          <w:lang w:val="es-ES_tradnl"/>
        </w:rPr>
      </w:pPr>
      <w:r w:rsidRPr="00C30505">
        <w:rPr>
          <w:lang w:val="es-ES_tradnl"/>
        </w:rPr>
        <w:t xml:space="preserve">Para mostrar el uso de la herramienta se simulo en un ambiente </w:t>
      </w:r>
      <w:proofErr w:type="spellStart"/>
      <w:r w:rsidRPr="00C30505">
        <w:rPr>
          <w:lang w:val="es-ES_tradnl"/>
        </w:rPr>
        <w:t>virtualizado</w:t>
      </w:r>
      <w:proofErr w:type="spellEnd"/>
      <w:r w:rsidRPr="00C30505">
        <w:rPr>
          <w:lang w:val="es-ES_tradnl"/>
        </w:rPr>
        <w:t xml:space="preserve"> la interacción y colaboración entre varios </w:t>
      </w:r>
      <w:proofErr w:type="spellStart"/>
      <w:r w:rsidRPr="00C30505">
        <w:rPr>
          <w:lang w:val="es-ES_tradnl"/>
        </w:rPr>
        <w:t>CSIRTs</w:t>
      </w:r>
      <w:proofErr w:type="spellEnd"/>
      <w:r w:rsidRPr="00C30505">
        <w:rPr>
          <w:lang w:val="es-ES_tradnl"/>
        </w:rPr>
        <w:t xml:space="preserve">. </w:t>
      </w:r>
      <w:r>
        <w:rPr>
          <w:lang w:val="es-ES_tradnl"/>
        </w:rPr>
        <w:t xml:space="preserve">Mediante esta prueba se realizo el intercambio de </w:t>
      </w:r>
      <w:proofErr w:type="spellStart"/>
      <w:r>
        <w:rPr>
          <w:lang w:val="es-ES_tradnl"/>
        </w:rPr>
        <w:t>cyber</w:t>
      </w:r>
      <w:proofErr w:type="spellEnd"/>
      <w:r>
        <w:rPr>
          <w:lang w:val="es-ES_tradnl"/>
        </w:rPr>
        <w:t xml:space="preserve"> observables entre las distintas organizaciones. Dicho intercambio se realizo utilizando los distintos servicios provistos por TAXII</w:t>
      </w:r>
      <w:r w:rsidR="00E21485">
        <w:rPr>
          <w:lang w:val="es-ES_tradnl"/>
        </w:rPr>
        <w:t>.</w:t>
      </w:r>
    </w:p>
    <w:p w14:paraId="43283AA7" w14:textId="77777777" w:rsidR="00C30505" w:rsidRDefault="00C30505" w:rsidP="00C30505">
      <w:pPr>
        <w:rPr>
          <w:lang w:val="es-ES_tradnl"/>
        </w:rPr>
      </w:pPr>
    </w:p>
    <w:p w14:paraId="795EE28B" w14:textId="77777777" w:rsidR="00C30505" w:rsidRDefault="00E21485" w:rsidP="00E21485">
      <w:pPr>
        <w:pStyle w:val="Heading2"/>
        <w:rPr>
          <w:lang w:val="es-ES_tradnl"/>
        </w:rPr>
      </w:pPr>
      <w:r>
        <w:rPr>
          <w:lang w:val="es-ES_tradnl"/>
        </w:rPr>
        <w:t>Escenario del caso de estudio</w:t>
      </w:r>
    </w:p>
    <w:p w14:paraId="4825F272" w14:textId="6BA85B05" w:rsidR="002D163B" w:rsidRDefault="009E0A50" w:rsidP="00E21485">
      <w:pPr>
        <w:rPr>
          <w:lang w:val="es-ES_tradnl"/>
        </w:rPr>
      </w:pPr>
      <w:r>
        <w:rPr>
          <w:lang w:val="es-ES_tradnl"/>
        </w:rPr>
        <w:t xml:space="preserve">Se desplegaron dos servidores para realizar la prueba de concepto, cada uno de estos servidores tiene instalado Linux </w:t>
      </w:r>
      <w:proofErr w:type="spellStart"/>
      <w:r>
        <w:rPr>
          <w:lang w:val="es-ES_tradnl"/>
        </w:rPr>
        <w:t>Mint</w:t>
      </w:r>
      <w:proofErr w:type="spellEnd"/>
      <w:r>
        <w:rPr>
          <w:lang w:val="es-ES_tradnl"/>
        </w:rPr>
        <w:t xml:space="preserve"> 17. En dichos </w:t>
      </w:r>
      <w:r w:rsidR="000C0A6B">
        <w:rPr>
          <w:lang w:val="es-ES_tradnl"/>
        </w:rPr>
        <w:t>equipos</w:t>
      </w:r>
      <w:r>
        <w:rPr>
          <w:lang w:val="es-ES_tradnl"/>
        </w:rPr>
        <w:t xml:space="preserve"> </w:t>
      </w:r>
      <w:r w:rsidR="000C0A6B">
        <w:rPr>
          <w:lang w:val="es-ES_tradnl"/>
        </w:rPr>
        <w:t>se instaló</w:t>
      </w:r>
      <w:r>
        <w:rPr>
          <w:lang w:val="es-ES_tradnl"/>
        </w:rPr>
        <w:t xml:space="preserve"> RTIR junto con </w:t>
      </w:r>
      <w:proofErr w:type="spellStart"/>
      <w:r>
        <w:rPr>
          <w:lang w:val="es-ES_tradnl"/>
        </w:rPr>
        <w:t>TAXIIApp</w:t>
      </w:r>
      <w:proofErr w:type="spellEnd"/>
      <w:r>
        <w:rPr>
          <w:lang w:val="es-ES_tradnl"/>
        </w:rPr>
        <w:t xml:space="preserve">. Además en el servidor correspondiente al CSIRT2 se instalo YETI. Cada uno de esos servidores tiene incluido una base de datos con esquemas correspondientes a cada una de las aplicaciones. En la figura 1 se ve un esquema </w:t>
      </w:r>
      <w:r w:rsidR="002D163B">
        <w:rPr>
          <w:lang w:val="es-ES_tradnl"/>
        </w:rPr>
        <w:t>representando</w:t>
      </w:r>
      <w:r>
        <w:rPr>
          <w:lang w:val="es-ES_tradnl"/>
        </w:rPr>
        <w:t xml:space="preserve"> el despliegue realizado.</w:t>
      </w:r>
    </w:p>
    <w:p w14:paraId="72D2D44E" w14:textId="77777777" w:rsidR="002D163B" w:rsidRDefault="002D163B" w:rsidP="00E21485">
      <w:pPr>
        <w:rPr>
          <w:lang w:val="es-ES_tradnl"/>
        </w:rPr>
      </w:pPr>
    </w:p>
    <w:p w14:paraId="1D27ACD3" w14:textId="77777777" w:rsidR="002D163B" w:rsidRDefault="002D163B" w:rsidP="002D163B">
      <w:pPr>
        <w:keepNext/>
      </w:pPr>
      <w:r w:rsidRPr="002D163B">
        <w:rPr>
          <w:noProof/>
        </w:rPr>
        <w:drawing>
          <wp:inline distT="0" distB="0" distL="0" distR="0" wp14:anchorId="39A43C49" wp14:editId="6CA98A98">
            <wp:extent cx="5270500" cy="1510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oratorioDesplegad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D121" w14:textId="77777777" w:rsidR="002D163B" w:rsidRDefault="002D163B" w:rsidP="002D163B">
      <w:pPr>
        <w:pStyle w:val="Caption"/>
        <w:jc w:val="center"/>
        <w:rPr>
          <w:lang w:val="es-ES_tradnl"/>
        </w:rPr>
      </w:pPr>
      <w:proofErr w:type="spellStart"/>
      <w:r>
        <w:t>Figura</w:t>
      </w:r>
      <w:proofErr w:type="spellEnd"/>
      <w:r>
        <w:t xml:space="preserve"> </w:t>
      </w:r>
      <w:r w:rsidR="002868B1">
        <w:fldChar w:fldCharType="begin"/>
      </w:r>
      <w:r w:rsidR="002868B1">
        <w:instrText xml:space="preserve"> SEQ Figura \* ARABIC </w:instrText>
      </w:r>
      <w:r w:rsidR="002868B1">
        <w:fldChar w:fldCharType="separate"/>
      </w:r>
      <w:r w:rsidR="000C0A6B">
        <w:rPr>
          <w:noProof/>
        </w:rPr>
        <w:t>1</w:t>
      </w:r>
      <w:r w:rsidR="002868B1">
        <w:rPr>
          <w:noProof/>
        </w:rPr>
        <w:fldChar w:fldCharType="end"/>
      </w:r>
      <w:r>
        <w:t xml:space="preserve"> </w:t>
      </w:r>
      <w:proofErr w:type="spellStart"/>
      <w:r>
        <w:t>Despliegue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estudio</w:t>
      </w:r>
      <w:proofErr w:type="spellEnd"/>
    </w:p>
    <w:p w14:paraId="10EC947E" w14:textId="77777777" w:rsidR="002D163B" w:rsidRDefault="002D163B" w:rsidP="00E21485">
      <w:pPr>
        <w:rPr>
          <w:lang w:val="es-ES_tradnl"/>
        </w:rPr>
      </w:pPr>
    </w:p>
    <w:p w14:paraId="7463C255" w14:textId="77777777" w:rsidR="00506B39" w:rsidRDefault="00506B39" w:rsidP="00506B39">
      <w:bookmarkStart w:id="0" w:name="_GoBack"/>
      <w:bookmarkEnd w:id="0"/>
    </w:p>
    <w:p w14:paraId="32232387" w14:textId="77777777" w:rsidR="00506B39" w:rsidRDefault="006E2BA9" w:rsidP="00506B39">
      <w:pPr>
        <w:rPr>
          <w:lang w:val="es-ES_tradnl"/>
        </w:rPr>
      </w:pPr>
      <w:r>
        <w:rPr>
          <w:lang w:val="es-ES_tradnl"/>
        </w:rPr>
        <w:t>La tabla que se presenta a continuación indica la información respecto al laboratorio implementado.</w:t>
      </w:r>
    </w:p>
    <w:p w14:paraId="0916B435" w14:textId="77777777" w:rsidR="006E2BA9" w:rsidRDefault="006E2BA9" w:rsidP="00506B39">
      <w:pPr>
        <w:rPr>
          <w:lang w:val="es-ES_tradnl"/>
        </w:rPr>
      </w:pPr>
    </w:p>
    <w:tbl>
      <w:tblPr>
        <w:tblStyle w:val="LightShading-Accent1"/>
        <w:tblW w:w="0" w:type="auto"/>
        <w:jc w:val="center"/>
        <w:tblLook w:val="04A0" w:firstRow="1" w:lastRow="0" w:firstColumn="1" w:lastColumn="0" w:noHBand="0" w:noVBand="1"/>
      </w:tblPr>
      <w:tblGrid>
        <w:gridCol w:w="1222"/>
        <w:gridCol w:w="1338"/>
        <w:gridCol w:w="1623"/>
        <w:gridCol w:w="1206"/>
        <w:gridCol w:w="1376"/>
      </w:tblGrid>
      <w:tr w:rsidR="00084FA7" w14:paraId="0E4E0572" w14:textId="77777777" w:rsidTr="00084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470C17A4" w14:textId="77777777" w:rsidR="00084FA7" w:rsidRDefault="00084FA7" w:rsidP="00084FA7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Equipo</w:t>
            </w:r>
          </w:p>
        </w:tc>
        <w:tc>
          <w:tcPr>
            <w:tcW w:w="1261" w:type="dxa"/>
          </w:tcPr>
          <w:p w14:paraId="35F3C5DF" w14:textId="77777777" w:rsidR="00084FA7" w:rsidRDefault="00084FA7" w:rsidP="00506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Hostname</w:t>
            </w:r>
            <w:proofErr w:type="spellEnd"/>
          </w:p>
        </w:tc>
        <w:tc>
          <w:tcPr>
            <w:tcW w:w="1623" w:type="dxa"/>
          </w:tcPr>
          <w:p w14:paraId="63FAC6F0" w14:textId="77777777" w:rsidR="00084FA7" w:rsidRDefault="00084FA7" w:rsidP="00506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Ip</w:t>
            </w:r>
            <w:proofErr w:type="spellEnd"/>
          </w:p>
        </w:tc>
        <w:tc>
          <w:tcPr>
            <w:tcW w:w="1206" w:type="dxa"/>
          </w:tcPr>
          <w:p w14:paraId="26AED79B" w14:textId="77777777" w:rsidR="00084FA7" w:rsidRDefault="00084FA7" w:rsidP="00506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Puerto</w:t>
            </w:r>
          </w:p>
        </w:tc>
        <w:tc>
          <w:tcPr>
            <w:tcW w:w="1364" w:type="dxa"/>
          </w:tcPr>
          <w:p w14:paraId="1C9216CC" w14:textId="77777777" w:rsidR="00084FA7" w:rsidRDefault="00084FA7" w:rsidP="00506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Aplicación</w:t>
            </w:r>
          </w:p>
        </w:tc>
      </w:tr>
      <w:tr w:rsidR="00084FA7" w14:paraId="5E4B99BB" w14:textId="77777777" w:rsidTr="00084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6233ABCC" w14:textId="77777777" w:rsidR="00084FA7" w:rsidRDefault="00084FA7" w:rsidP="00506B39">
            <w:pPr>
              <w:rPr>
                <w:lang w:val="es-ES_tradnl"/>
              </w:rPr>
            </w:pPr>
            <w:r>
              <w:rPr>
                <w:lang w:val="es-ES_tradnl"/>
              </w:rPr>
              <w:t>CSIRT 1</w:t>
            </w:r>
          </w:p>
        </w:tc>
        <w:tc>
          <w:tcPr>
            <w:tcW w:w="1261" w:type="dxa"/>
          </w:tcPr>
          <w:p w14:paraId="73529297" w14:textId="77777777" w:rsidR="00084FA7" w:rsidRPr="00827663" w:rsidRDefault="00084FA7" w:rsidP="0050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csirt1.com</w:t>
            </w:r>
            <w:proofErr w:type="gramEnd"/>
          </w:p>
        </w:tc>
        <w:tc>
          <w:tcPr>
            <w:tcW w:w="1623" w:type="dxa"/>
          </w:tcPr>
          <w:p w14:paraId="41CE90C2" w14:textId="77777777" w:rsidR="00084FA7" w:rsidRPr="00827663" w:rsidRDefault="00084FA7" w:rsidP="0050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827663">
              <w:rPr>
                <w:rFonts w:ascii="Arial" w:hAnsi="Arial" w:cs="Arial"/>
                <w:color w:val="000000" w:themeColor="text1"/>
                <w:sz w:val="22"/>
                <w:szCs w:val="22"/>
              </w:rPr>
              <w:t>172.16.59.219</w:t>
            </w:r>
          </w:p>
        </w:tc>
        <w:tc>
          <w:tcPr>
            <w:tcW w:w="1206" w:type="dxa"/>
          </w:tcPr>
          <w:p w14:paraId="2C943D84" w14:textId="77777777" w:rsidR="00084FA7" w:rsidRDefault="00084FA7" w:rsidP="0050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8080</w:t>
            </w:r>
          </w:p>
        </w:tc>
        <w:tc>
          <w:tcPr>
            <w:tcW w:w="1364" w:type="dxa"/>
          </w:tcPr>
          <w:p w14:paraId="4E08BF07" w14:textId="77777777" w:rsidR="00084FA7" w:rsidRDefault="00084FA7" w:rsidP="0050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RTIR</w:t>
            </w:r>
          </w:p>
        </w:tc>
      </w:tr>
      <w:tr w:rsidR="00084FA7" w14:paraId="506464E1" w14:textId="77777777" w:rsidTr="00084F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15557680" w14:textId="77777777" w:rsidR="00084FA7" w:rsidRDefault="00084FA7" w:rsidP="00506B39">
            <w:pPr>
              <w:rPr>
                <w:lang w:val="es-ES_tradnl"/>
              </w:rPr>
            </w:pPr>
            <w:r>
              <w:rPr>
                <w:lang w:val="es-ES_tradnl"/>
              </w:rPr>
              <w:t>CSIRT 1</w:t>
            </w:r>
          </w:p>
        </w:tc>
        <w:tc>
          <w:tcPr>
            <w:tcW w:w="1261" w:type="dxa"/>
          </w:tcPr>
          <w:p w14:paraId="0AAFBEA1" w14:textId="77777777" w:rsidR="00084FA7" w:rsidRPr="00827663" w:rsidRDefault="00084FA7" w:rsidP="00084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csirt1.com</w:t>
            </w:r>
            <w:proofErr w:type="gramEnd"/>
          </w:p>
        </w:tc>
        <w:tc>
          <w:tcPr>
            <w:tcW w:w="1623" w:type="dxa"/>
          </w:tcPr>
          <w:p w14:paraId="1330EDD3" w14:textId="77777777" w:rsidR="00084FA7" w:rsidRPr="00827663" w:rsidRDefault="00084FA7" w:rsidP="00827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827663">
              <w:rPr>
                <w:rFonts w:ascii="Arial" w:hAnsi="Arial" w:cs="Arial"/>
                <w:color w:val="000000" w:themeColor="text1"/>
                <w:sz w:val="22"/>
                <w:szCs w:val="22"/>
              </w:rPr>
              <w:t>172.16.59.219</w:t>
            </w:r>
          </w:p>
        </w:tc>
        <w:tc>
          <w:tcPr>
            <w:tcW w:w="1206" w:type="dxa"/>
          </w:tcPr>
          <w:p w14:paraId="57206821" w14:textId="77777777" w:rsidR="00084FA7" w:rsidRDefault="00084FA7" w:rsidP="0050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8001</w:t>
            </w:r>
          </w:p>
        </w:tc>
        <w:tc>
          <w:tcPr>
            <w:tcW w:w="1364" w:type="dxa"/>
          </w:tcPr>
          <w:p w14:paraId="1147A7D6" w14:textId="77777777" w:rsidR="00084FA7" w:rsidRDefault="00084FA7" w:rsidP="0050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TAXIIApp</w:t>
            </w:r>
            <w:proofErr w:type="spellEnd"/>
          </w:p>
        </w:tc>
      </w:tr>
      <w:tr w:rsidR="00084FA7" w14:paraId="757FB512" w14:textId="77777777" w:rsidTr="00084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367EEA4C" w14:textId="77777777" w:rsidR="00084FA7" w:rsidRDefault="00084FA7" w:rsidP="00827663">
            <w:pPr>
              <w:rPr>
                <w:lang w:val="es-ES_tradnl"/>
              </w:rPr>
            </w:pPr>
            <w:r>
              <w:rPr>
                <w:lang w:val="es-ES_tradnl"/>
              </w:rPr>
              <w:t>CSIRT 2</w:t>
            </w:r>
          </w:p>
        </w:tc>
        <w:tc>
          <w:tcPr>
            <w:tcW w:w="1261" w:type="dxa"/>
          </w:tcPr>
          <w:p w14:paraId="3DEF484A" w14:textId="77777777" w:rsidR="00084FA7" w:rsidRPr="00827663" w:rsidRDefault="00084FA7" w:rsidP="00084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csirt2.com</w:t>
            </w:r>
            <w:proofErr w:type="gramEnd"/>
          </w:p>
        </w:tc>
        <w:tc>
          <w:tcPr>
            <w:tcW w:w="1623" w:type="dxa"/>
          </w:tcPr>
          <w:p w14:paraId="1FB52131" w14:textId="77777777" w:rsidR="00084FA7" w:rsidRPr="00827663" w:rsidRDefault="00084FA7" w:rsidP="00827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827663">
              <w:rPr>
                <w:rFonts w:ascii="Arial" w:hAnsi="Arial" w:cs="Arial"/>
                <w:color w:val="000000" w:themeColor="text1"/>
                <w:sz w:val="22"/>
                <w:szCs w:val="22"/>
              </w:rPr>
              <w:t>172.16.59.21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06" w:type="dxa"/>
          </w:tcPr>
          <w:p w14:paraId="02C71445" w14:textId="77777777" w:rsidR="00084FA7" w:rsidRDefault="00084FA7" w:rsidP="00827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8080</w:t>
            </w:r>
          </w:p>
        </w:tc>
        <w:tc>
          <w:tcPr>
            <w:tcW w:w="1364" w:type="dxa"/>
          </w:tcPr>
          <w:p w14:paraId="2A6148C6" w14:textId="77777777" w:rsidR="00084FA7" w:rsidRDefault="00084FA7" w:rsidP="00827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RTIR</w:t>
            </w:r>
          </w:p>
        </w:tc>
      </w:tr>
      <w:tr w:rsidR="00084FA7" w14:paraId="6294B511" w14:textId="77777777" w:rsidTr="00084F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3F527012" w14:textId="77777777" w:rsidR="00084FA7" w:rsidRDefault="00084FA7" w:rsidP="00827663">
            <w:pPr>
              <w:rPr>
                <w:lang w:val="es-ES_tradnl"/>
              </w:rPr>
            </w:pPr>
            <w:r>
              <w:rPr>
                <w:lang w:val="es-ES_tradnl"/>
              </w:rPr>
              <w:t>CSIRT 2</w:t>
            </w:r>
          </w:p>
        </w:tc>
        <w:tc>
          <w:tcPr>
            <w:tcW w:w="1261" w:type="dxa"/>
          </w:tcPr>
          <w:p w14:paraId="58A2382E" w14:textId="6DA513D8" w:rsidR="00084FA7" w:rsidRPr="00827663" w:rsidRDefault="00084FA7" w:rsidP="00827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csirt2.com</w:t>
            </w:r>
            <w:proofErr w:type="gramEnd"/>
          </w:p>
        </w:tc>
        <w:tc>
          <w:tcPr>
            <w:tcW w:w="1623" w:type="dxa"/>
          </w:tcPr>
          <w:p w14:paraId="62522E27" w14:textId="77777777" w:rsidR="00084FA7" w:rsidRPr="00827663" w:rsidRDefault="00084FA7" w:rsidP="00827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827663">
              <w:rPr>
                <w:rFonts w:ascii="Arial" w:hAnsi="Arial" w:cs="Arial"/>
                <w:color w:val="000000" w:themeColor="text1"/>
                <w:sz w:val="22"/>
                <w:szCs w:val="22"/>
              </w:rPr>
              <w:t>172.16.59.21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06" w:type="dxa"/>
          </w:tcPr>
          <w:p w14:paraId="05C16829" w14:textId="77777777" w:rsidR="00084FA7" w:rsidRDefault="00084FA7" w:rsidP="00827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8001</w:t>
            </w:r>
          </w:p>
        </w:tc>
        <w:tc>
          <w:tcPr>
            <w:tcW w:w="1364" w:type="dxa"/>
          </w:tcPr>
          <w:p w14:paraId="67C5A623" w14:textId="77777777" w:rsidR="00084FA7" w:rsidRDefault="00084FA7" w:rsidP="008276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TAXIIApp</w:t>
            </w:r>
            <w:proofErr w:type="spellEnd"/>
          </w:p>
        </w:tc>
      </w:tr>
      <w:tr w:rsidR="00084FA7" w14:paraId="6CF7FDBA" w14:textId="77777777" w:rsidTr="00084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2" w:type="dxa"/>
          </w:tcPr>
          <w:p w14:paraId="7DF33CAA" w14:textId="77777777" w:rsidR="00084FA7" w:rsidRDefault="00084FA7" w:rsidP="00827663">
            <w:pPr>
              <w:rPr>
                <w:lang w:val="es-ES_tradnl"/>
              </w:rPr>
            </w:pPr>
            <w:r>
              <w:rPr>
                <w:lang w:val="es-ES_tradnl"/>
              </w:rPr>
              <w:t>CSIRT 2</w:t>
            </w:r>
          </w:p>
        </w:tc>
        <w:tc>
          <w:tcPr>
            <w:tcW w:w="1261" w:type="dxa"/>
          </w:tcPr>
          <w:p w14:paraId="776B50BF" w14:textId="1A6712D0" w:rsidR="00084FA7" w:rsidRPr="00827663" w:rsidRDefault="00084FA7" w:rsidP="00827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csirt2.com</w:t>
            </w:r>
            <w:proofErr w:type="gramEnd"/>
          </w:p>
        </w:tc>
        <w:tc>
          <w:tcPr>
            <w:tcW w:w="1623" w:type="dxa"/>
          </w:tcPr>
          <w:p w14:paraId="6B05AD7D" w14:textId="77777777" w:rsidR="00084FA7" w:rsidRPr="00827663" w:rsidRDefault="00084FA7" w:rsidP="00827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val="es-ES_tradnl"/>
              </w:rPr>
            </w:pPr>
            <w:r w:rsidRPr="00827663">
              <w:rPr>
                <w:rFonts w:ascii="Arial" w:hAnsi="Arial" w:cs="Arial"/>
                <w:color w:val="000000" w:themeColor="text1"/>
                <w:sz w:val="22"/>
                <w:szCs w:val="22"/>
              </w:rPr>
              <w:t>172.16.59.21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206" w:type="dxa"/>
          </w:tcPr>
          <w:p w14:paraId="53DD8939" w14:textId="77777777" w:rsidR="00084FA7" w:rsidRDefault="00084FA7" w:rsidP="00827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9080</w:t>
            </w:r>
          </w:p>
        </w:tc>
        <w:tc>
          <w:tcPr>
            <w:tcW w:w="1364" w:type="dxa"/>
          </w:tcPr>
          <w:p w14:paraId="74E63070" w14:textId="77777777" w:rsidR="00084FA7" w:rsidRDefault="00084FA7" w:rsidP="00827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YETI</w:t>
            </w:r>
          </w:p>
        </w:tc>
      </w:tr>
    </w:tbl>
    <w:p w14:paraId="5B32744B" w14:textId="77777777" w:rsidR="006E2BA9" w:rsidRDefault="006E2BA9" w:rsidP="00827663">
      <w:pPr>
        <w:rPr>
          <w:lang w:val="es-ES_tradnl"/>
        </w:rPr>
      </w:pPr>
    </w:p>
    <w:p w14:paraId="7FD5BA81" w14:textId="77777777" w:rsidR="00B05D88" w:rsidRDefault="00B05D88" w:rsidP="00827663">
      <w:pPr>
        <w:rPr>
          <w:lang w:val="es-ES_tradnl"/>
        </w:rPr>
      </w:pPr>
    </w:p>
    <w:p w14:paraId="4560D4DC" w14:textId="5BF97F20" w:rsidR="00B05D88" w:rsidRDefault="002A5DE7" w:rsidP="00827663">
      <w:pPr>
        <w:rPr>
          <w:lang w:val="es-ES_tradnl"/>
        </w:rPr>
      </w:pPr>
      <w:r>
        <w:rPr>
          <w:lang w:val="es-ES_tradnl"/>
        </w:rPr>
        <w:t xml:space="preserve">En la tabla 1 se muestra las direcciones </w:t>
      </w:r>
      <w:proofErr w:type="spellStart"/>
      <w:r>
        <w:rPr>
          <w:lang w:val="es-ES_tradnl"/>
        </w:rPr>
        <w:t>ip</w:t>
      </w:r>
      <w:proofErr w:type="spellEnd"/>
      <w:r>
        <w:rPr>
          <w:lang w:val="es-ES_tradnl"/>
        </w:rPr>
        <w:t xml:space="preserve"> para cada uno de los equipos utilizados en el caso de estudio. En el CSIRT 1 se tiene instalado RTIR con el </w:t>
      </w:r>
      <w:proofErr w:type="spellStart"/>
      <w:r>
        <w:rPr>
          <w:lang w:val="es-ES_tradnl"/>
        </w:rPr>
        <w:t>plugin</w:t>
      </w:r>
      <w:proofErr w:type="spellEnd"/>
      <w:r>
        <w:rPr>
          <w:lang w:val="es-ES_tradnl"/>
        </w:rPr>
        <w:t xml:space="preserve"> implementado </w:t>
      </w:r>
      <w:r w:rsidR="000C0A6B">
        <w:rPr>
          <w:lang w:val="es-ES_tradnl"/>
        </w:rPr>
        <w:t>durante</w:t>
      </w:r>
      <w:r>
        <w:rPr>
          <w:lang w:val="es-ES_tradnl"/>
        </w:rPr>
        <w:t xml:space="preserve"> el proyecto para comunicarse con </w:t>
      </w:r>
      <w:proofErr w:type="spellStart"/>
      <w:r>
        <w:rPr>
          <w:lang w:val="es-ES_tradnl"/>
        </w:rPr>
        <w:t>TAXIIApp</w:t>
      </w:r>
      <w:proofErr w:type="spellEnd"/>
      <w:r>
        <w:rPr>
          <w:lang w:val="es-ES_tradnl"/>
        </w:rPr>
        <w:t xml:space="preserve">. También se tiene instalado </w:t>
      </w:r>
      <w:proofErr w:type="spellStart"/>
      <w:r>
        <w:rPr>
          <w:lang w:val="es-ES_tradnl"/>
        </w:rPr>
        <w:t>TAXIIApp</w:t>
      </w:r>
      <w:proofErr w:type="spellEnd"/>
      <w:r>
        <w:rPr>
          <w:lang w:val="es-ES_tradnl"/>
        </w:rPr>
        <w:t xml:space="preserve"> para realizar los intercambios de información con el protocolo TAXII. RTIR </w:t>
      </w:r>
      <w:r w:rsidR="000C0A6B">
        <w:rPr>
          <w:lang w:val="es-ES_tradnl"/>
        </w:rPr>
        <w:t>escucha</w:t>
      </w:r>
      <w:r>
        <w:rPr>
          <w:lang w:val="es-ES_tradnl"/>
        </w:rPr>
        <w:t xml:space="preserve"> en el puerto 8080 mientras que </w:t>
      </w:r>
      <w:proofErr w:type="spellStart"/>
      <w:r>
        <w:rPr>
          <w:lang w:val="es-ES_tradnl"/>
        </w:rPr>
        <w:t>TAXIIApp</w:t>
      </w:r>
      <w:proofErr w:type="spellEnd"/>
      <w:r>
        <w:rPr>
          <w:lang w:val="es-ES_tradnl"/>
        </w:rPr>
        <w:t xml:space="preserve"> en el 8001.</w:t>
      </w:r>
    </w:p>
    <w:p w14:paraId="1DA0310E" w14:textId="0D8ECCD0" w:rsidR="002A5DE7" w:rsidRDefault="002A5DE7" w:rsidP="00827663">
      <w:pPr>
        <w:rPr>
          <w:lang w:val="es-ES_tradnl"/>
        </w:rPr>
      </w:pPr>
      <w:r>
        <w:rPr>
          <w:lang w:val="es-ES_tradnl"/>
        </w:rPr>
        <w:t xml:space="preserve">Dichas aplicaciones se encuentras instaladas también en el CSIRT 2 </w:t>
      </w:r>
      <w:r w:rsidR="000C0A6B">
        <w:rPr>
          <w:lang w:val="es-ES_tradnl"/>
        </w:rPr>
        <w:t>escuchando</w:t>
      </w:r>
      <w:r>
        <w:rPr>
          <w:lang w:val="es-ES_tradnl"/>
        </w:rPr>
        <w:t xml:space="preserve"> en los mismos puertos. A su vez en el CSIRT 2 se encuentra una instalación de </w:t>
      </w:r>
      <w:r>
        <w:rPr>
          <w:lang w:val="es-ES_tradnl"/>
        </w:rPr>
        <w:lastRenderedPageBreak/>
        <w:t xml:space="preserve">YETI. Dicha instalación se encuentra </w:t>
      </w:r>
      <w:r w:rsidR="000C0A6B">
        <w:rPr>
          <w:lang w:val="es-ES_tradnl"/>
        </w:rPr>
        <w:t xml:space="preserve">escuchando </w:t>
      </w:r>
      <w:r>
        <w:rPr>
          <w:lang w:val="es-ES_tradnl"/>
        </w:rPr>
        <w:t xml:space="preserve">en el puerto 8080. YETI y </w:t>
      </w:r>
      <w:proofErr w:type="spellStart"/>
      <w:r>
        <w:rPr>
          <w:lang w:val="es-ES_tradnl"/>
        </w:rPr>
        <w:t>TAXIIApp</w:t>
      </w:r>
      <w:proofErr w:type="spellEnd"/>
      <w:r>
        <w:rPr>
          <w:lang w:val="es-ES_tradnl"/>
        </w:rPr>
        <w:t xml:space="preserve"> se encuentran corriendo ambas en el mismo equipo para no tener una maquina virtual extra.</w:t>
      </w:r>
    </w:p>
    <w:p w14:paraId="317EB02D" w14:textId="5B7964CA" w:rsidR="002A5DE7" w:rsidRDefault="002A5DE7" w:rsidP="00827663">
      <w:pPr>
        <w:rPr>
          <w:lang w:val="es-ES_tradnl"/>
        </w:rPr>
      </w:pPr>
      <w:r>
        <w:rPr>
          <w:lang w:val="es-ES_tradnl"/>
        </w:rPr>
        <w:t xml:space="preserve">En cada uno de los equipos se encuentra instalada una base de datos </w:t>
      </w:r>
      <w:proofErr w:type="spellStart"/>
      <w:r>
        <w:rPr>
          <w:lang w:val="es-ES_tradnl"/>
        </w:rPr>
        <w:t>Mysql</w:t>
      </w:r>
      <w:proofErr w:type="spellEnd"/>
      <w:r>
        <w:rPr>
          <w:lang w:val="es-ES_tradnl"/>
        </w:rPr>
        <w:t xml:space="preserve"> en la que se encuentran los esquemas de base de datos utilizados por cada una de las aplicaciones.</w:t>
      </w:r>
    </w:p>
    <w:p w14:paraId="7455CB7C" w14:textId="77777777" w:rsidR="00CF575E" w:rsidRDefault="00CF575E" w:rsidP="00827663">
      <w:pPr>
        <w:rPr>
          <w:lang w:val="es-ES_tradnl"/>
        </w:rPr>
      </w:pPr>
    </w:p>
    <w:p w14:paraId="1A6C3D79" w14:textId="14F766FB" w:rsidR="00CF575E" w:rsidRDefault="00CF575E" w:rsidP="00CF575E">
      <w:pPr>
        <w:pStyle w:val="Heading2"/>
        <w:rPr>
          <w:lang w:val="es-ES_tradnl"/>
        </w:rPr>
      </w:pPr>
      <w:r>
        <w:rPr>
          <w:lang w:val="es-ES_tradnl"/>
        </w:rPr>
        <w:t>Ejecución del caso de estudio</w:t>
      </w:r>
    </w:p>
    <w:p w14:paraId="673ED97A" w14:textId="77777777" w:rsidR="00B05D88" w:rsidRDefault="00B05D88" w:rsidP="00827663">
      <w:pPr>
        <w:rPr>
          <w:lang w:val="es-ES_tradnl"/>
        </w:rPr>
      </w:pPr>
    </w:p>
    <w:p w14:paraId="712A1A5F" w14:textId="62F6DD78" w:rsidR="00B05D88" w:rsidRDefault="00B05D88" w:rsidP="00827663">
      <w:pPr>
        <w:rPr>
          <w:lang w:val="es-ES_tradnl"/>
        </w:rPr>
      </w:pPr>
      <w:r>
        <w:rPr>
          <w:lang w:val="es-ES_tradnl"/>
        </w:rPr>
        <w:t xml:space="preserve">La figura </w:t>
      </w:r>
      <w:r w:rsidR="001D05FD">
        <w:rPr>
          <w:lang w:val="es-ES_tradnl"/>
        </w:rPr>
        <w:t xml:space="preserve">3 </w:t>
      </w:r>
      <w:r>
        <w:rPr>
          <w:lang w:val="es-ES_tradnl"/>
        </w:rPr>
        <w:t>siguiente muestra cuales fueron los pasos para realizar el intercambio entre las distintas organizaciones.</w:t>
      </w:r>
    </w:p>
    <w:p w14:paraId="339B21E1" w14:textId="77777777" w:rsidR="001D05FD" w:rsidRDefault="001D05FD" w:rsidP="00827663">
      <w:pPr>
        <w:rPr>
          <w:lang w:val="es-ES_tradnl"/>
        </w:rPr>
      </w:pPr>
    </w:p>
    <w:p w14:paraId="3040DE8F" w14:textId="77777777" w:rsidR="007F3D52" w:rsidRDefault="007F3D52" w:rsidP="00827663">
      <w:pPr>
        <w:rPr>
          <w:lang w:val="es-ES_tradnl"/>
        </w:rPr>
      </w:pPr>
    </w:p>
    <w:p w14:paraId="43A6D1D7" w14:textId="77777777" w:rsidR="007F3D52" w:rsidRDefault="007F3D52" w:rsidP="00827663">
      <w:pPr>
        <w:rPr>
          <w:lang w:val="es-ES_tradnl"/>
        </w:rPr>
      </w:pPr>
    </w:p>
    <w:p w14:paraId="71CD004A" w14:textId="77777777" w:rsidR="007F3D52" w:rsidRDefault="007F3D52" w:rsidP="00827663">
      <w:pPr>
        <w:rPr>
          <w:lang w:val="es-ES_tradnl"/>
        </w:rPr>
      </w:pPr>
    </w:p>
    <w:p w14:paraId="60911942" w14:textId="77777777" w:rsidR="007F3D52" w:rsidRDefault="007F3D52" w:rsidP="00827663">
      <w:pPr>
        <w:rPr>
          <w:lang w:val="es-ES_tradnl"/>
        </w:rPr>
      </w:pPr>
    </w:p>
    <w:p w14:paraId="3982D4EA" w14:textId="77777777" w:rsidR="007F3D52" w:rsidRDefault="007F3D52" w:rsidP="00827663">
      <w:pPr>
        <w:rPr>
          <w:lang w:val="es-ES_tradnl"/>
        </w:rPr>
      </w:pPr>
    </w:p>
    <w:p w14:paraId="6B2EE9F9" w14:textId="77777777" w:rsidR="007F3D52" w:rsidRDefault="007F3D52" w:rsidP="00827663">
      <w:pPr>
        <w:rPr>
          <w:lang w:val="es-ES_tradnl"/>
        </w:rPr>
      </w:pPr>
    </w:p>
    <w:p w14:paraId="01D2F4EA" w14:textId="535CE026" w:rsidR="007F3D52" w:rsidRDefault="007F3D52" w:rsidP="00827663">
      <w:pPr>
        <w:rPr>
          <w:lang w:val="es-ES_tradnl"/>
        </w:rPr>
      </w:pPr>
      <w:r>
        <w:rPr>
          <w:noProof/>
        </w:rPr>
        <w:drawing>
          <wp:inline distT="0" distB="0" distL="0" distR="0" wp14:anchorId="2D0FF9E2" wp14:editId="4B91EC68">
            <wp:extent cx="5139625" cy="51077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01" cy="51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940C" w14:textId="5F815E27" w:rsidR="001D05FD" w:rsidRPr="008552C8" w:rsidRDefault="002A5DE7" w:rsidP="002A5DE7">
      <w:pPr>
        <w:pStyle w:val="Caption"/>
        <w:jc w:val="center"/>
        <w:rPr>
          <w:lang w:val="es-ES_tradnl"/>
        </w:rPr>
      </w:pPr>
      <w:r w:rsidRPr="008552C8">
        <w:rPr>
          <w:lang w:val="es-ES_tradnl"/>
        </w:rPr>
        <w:t xml:space="preserve">Figura </w:t>
      </w:r>
      <w:r w:rsidRPr="008552C8">
        <w:rPr>
          <w:lang w:val="es-ES_tradnl"/>
        </w:rPr>
        <w:fldChar w:fldCharType="begin"/>
      </w:r>
      <w:r w:rsidRPr="008552C8">
        <w:rPr>
          <w:lang w:val="es-ES_tradnl"/>
        </w:rPr>
        <w:instrText xml:space="preserve"> SEQ Figura \* ARABIC </w:instrText>
      </w:r>
      <w:r w:rsidRPr="008552C8">
        <w:rPr>
          <w:lang w:val="es-ES_tradnl"/>
        </w:rPr>
        <w:fldChar w:fldCharType="separate"/>
      </w:r>
      <w:r w:rsidR="000C0A6B">
        <w:rPr>
          <w:noProof/>
          <w:lang w:val="es-ES_tradnl"/>
        </w:rPr>
        <w:t>3</w:t>
      </w:r>
      <w:r w:rsidRPr="008552C8">
        <w:rPr>
          <w:lang w:val="es-ES_tradnl"/>
        </w:rPr>
        <w:fldChar w:fldCharType="end"/>
      </w:r>
      <w:r w:rsidRPr="008552C8">
        <w:rPr>
          <w:lang w:val="es-ES_tradnl"/>
        </w:rPr>
        <w:t xml:space="preserve"> Flujos realizados por el caso de </w:t>
      </w:r>
      <w:r w:rsidR="007F3D52" w:rsidRPr="008552C8">
        <w:rPr>
          <w:lang w:val="es-ES_tradnl"/>
        </w:rPr>
        <w:t>estudio</w:t>
      </w:r>
    </w:p>
    <w:p w14:paraId="04AA40A3" w14:textId="77777777" w:rsidR="007F3D52" w:rsidRPr="008552C8" w:rsidRDefault="007F3D52" w:rsidP="007F3D52">
      <w:pPr>
        <w:rPr>
          <w:lang w:val="es-ES_tradnl"/>
        </w:rPr>
      </w:pPr>
    </w:p>
    <w:p w14:paraId="55209F05" w14:textId="75FB9201" w:rsidR="007F3D52" w:rsidRDefault="008552C8" w:rsidP="007F3D52">
      <w:pPr>
        <w:rPr>
          <w:lang w:val="es-ES_tradnl"/>
        </w:rPr>
      </w:pPr>
      <w:r w:rsidRPr="008552C8">
        <w:rPr>
          <w:lang w:val="es-ES_tradnl"/>
        </w:rPr>
        <w:t>En los pasos 1 a 4 de la figura 3</w:t>
      </w:r>
      <w:r>
        <w:rPr>
          <w:lang w:val="es-ES_tradnl"/>
        </w:rPr>
        <w:t xml:space="preserve"> agregamos en el CSIRT 1 los servicios TAXII correspondientes a TAXII App y a YETI, ambos ejecutándose en el CSIRT 2.</w:t>
      </w:r>
    </w:p>
    <w:p w14:paraId="4C952FD9" w14:textId="20E4F9F8" w:rsidR="00EA6B24" w:rsidRDefault="008552C8" w:rsidP="00EA6B24">
      <w:pPr>
        <w:rPr>
          <w:lang w:val="es-ES_tradnl"/>
        </w:rPr>
      </w:pPr>
      <w:r>
        <w:rPr>
          <w:lang w:val="es-ES_tradnl"/>
        </w:rPr>
        <w:t>En el caso de TAXII App se agregaron todos los servicios necesari</w:t>
      </w:r>
      <w:r w:rsidR="00EA6B24">
        <w:rPr>
          <w:lang w:val="es-ES_tradnl"/>
        </w:rPr>
        <w:t>os para realizar el intercambio.</w:t>
      </w:r>
      <w:r>
        <w:rPr>
          <w:lang w:val="es-ES_tradnl"/>
        </w:rPr>
        <w:t xml:space="preserve"> </w:t>
      </w:r>
      <w:r w:rsidR="00EA6B24">
        <w:rPr>
          <w:lang w:val="es-ES_tradnl"/>
        </w:rPr>
        <w:t>S</w:t>
      </w:r>
      <w:r>
        <w:rPr>
          <w:lang w:val="es-ES_tradnl"/>
        </w:rPr>
        <w:t>in embargo</w:t>
      </w:r>
      <w:r w:rsidR="00EA6B24">
        <w:rPr>
          <w:lang w:val="es-ES_tradnl"/>
        </w:rPr>
        <w:t>,</w:t>
      </w:r>
      <w:r>
        <w:rPr>
          <w:lang w:val="es-ES_tradnl"/>
        </w:rPr>
        <w:t xml:space="preserve"> la implementación de YETI solo cuenta con </w:t>
      </w:r>
      <w:r w:rsidR="00EA6B24">
        <w:rPr>
          <w:lang w:val="es-ES_tradnl"/>
        </w:rPr>
        <w:t xml:space="preserve">el </w:t>
      </w:r>
      <w:proofErr w:type="spellStart"/>
      <w:r w:rsidR="00EA6B24">
        <w:rPr>
          <w:lang w:val="es-ES_tradnl"/>
        </w:rPr>
        <w:t>inbox</w:t>
      </w:r>
      <w:proofErr w:type="spellEnd"/>
      <w:r w:rsidR="00EA6B24">
        <w:rPr>
          <w:lang w:val="es-ES_tradnl"/>
        </w:rPr>
        <w:t xml:space="preserve"> </w:t>
      </w:r>
      <w:proofErr w:type="spellStart"/>
      <w:r w:rsidR="00EA6B24">
        <w:rPr>
          <w:lang w:val="es-ES_tradnl"/>
        </w:rPr>
        <w:t>service</w:t>
      </w:r>
      <w:proofErr w:type="spellEnd"/>
      <w:r w:rsidR="00EA6B24">
        <w:rPr>
          <w:lang w:val="es-ES_tradnl"/>
        </w:rPr>
        <w:t xml:space="preserve">, </w:t>
      </w:r>
      <w:proofErr w:type="spellStart"/>
      <w:r w:rsidR="00EA6B24">
        <w:rPr>
          <w:lang w:val="es-ES_tradnl"/>
        </w:rPr>
        <w:t>poll</w:t>
      </w:r>
      <w:proofErr w:type="spellEnd"/>
      <w:r w:rsidR="00EA6B24">
        <w:rPr>
          <w:lang w:val="es-ES_tradnl"/>
        </w:rPr>
        <w:t xml:space="preserve"> </w:t>
      </w:r>
      <w:proofErr w:type="spellStart"/>
      <w:r w:rsidR="00EA6B24">
        <w:rPr>
          <w:lang w:val="es-ES_tradnl"/>
        </w:rPr>
        <w:t>service</w:t>
      </w:r>
      <w:proofErr w:type="spellEnd"/>
      <w:r w:rsidR="00EA6B24">
        <w:rPr>
          <w:lang w:val="es-ES_tradnl"/>
        </w:rPr>
        <w:t xml:space="preserve"> y </w:t>
      </w:r>
      <w:proofErr w:type="spellStart"/>
      <w:r w:rsidR="00EA6B24">
        <w:rPr>
          <w:lang w:val="es-ES_tradnl"/>
        </w:rPr>
        <w:t>discovery</w:t>
      </w:r>
      <w:proofErr w:type="spellEnd"/>
      <w:r w:rsidR="00EA6B24">
        <w:rPr>
          <w:lang w:val="es-ES_tradnl"/>
        </w:rPr>
        <w:t xml:space="preserve"> </w:t>
      </w:r>
      <w:proofErr w:type="spellStart"/>
      <w:r w:rsidR="00EA6B24">
        <w:rPr>
          <w:lang w:val="es-ES_tradnl"/>
        </w:rPr>
        <w:t>service</w:t>
      </w:r>
      <w:proofErr w:type="spellEnd"/>
      <w:r w:rsidR="00EA6B24">
        <w:rPr>
          <w:lang w:val="es-ES_tradnl"/>
        </w:rPr>
        <w:t xml:space="preserve">, por lo tanto se agregaron </w:t>
      </w:r>
      <w:proofErr w:type="spellStart"/>
      <w:r w:rsidR="00EA6B24">
        <w:rPr>
          <w:lang w:val="es-ES_tradnl"/>
        </w:rPr>
        <w:t>inbox</w:t>
      </w:r>
      <w:proofErr w:type="spellEnd"/>
      <w:r w:rsidR="00EA6B24">
        <w:rPr>
          <w:lang w:val="es-ES_tradnl"/>
        </w:rPr>
        <w:t xml:space="preserve"> </w:t>
      </w:r>
      <w:proofErr w:type="spellStart"/>
      <w:r w:rsidR="00EA6B24">
        <w:rPr>
          <w:lang w:val="es-ES_tradnl"/>
        </w:rPr>
        <w:t>service</w:t>
      </w:r>
      <w:proofErr w:type="spellEnd"/>
      <w:r w:rsidR="00EA6B24">
        <w:rPr>
          <w:lang w:val="es-ES_tradnl"/>
        </w:rPr>
        <w:t xml:space="preserve"> y </w:t>
      </w:r>
      <w:proofErr w:type="spellStart"/>
      <w:r w:rsidR="00EA6B24">
        <w:rPr>
          <w:lang w:val="es-ES_tradnl"/>
        </w:rPr>
        <w:t>poll</w:t>
      </w:r>
      <w:proofErr w:type="spellEnd"/>
      <w:r w:rsidR="00EA6B24">
        <w:rPr>
          <w:lang w:val="es-ES_tradnl"/>
        </w:rPr>
        <w:t xml:space="preserve"> </w:t>
      </w:r>
      <w:proofErr w:type="spellStart"/>
      <w:r w:rsidR="00EA6B24">
        <w:rPr>
          <w:lang w:val="es-ES_tradnl"/>
        </w:rPr>
        <w:t>service</w:t>
      </w:r>
      <w:proofErr w:type="spellEnd"/>
      <w:r w:rsidR="00EA6B24">
        <w:rPr>
          <w:lang w:val="es-ES_tradnl"/>
        </w:rPr>
        <w:t xml:space="preserve"> como los servicios en YETI. </w:t>
      </w:r>
      <w:commentRangeStart w:id="1"/>
      <w:r w:rsidR="00EA6B24">
        <w:rPr>
          <w:lang w:val="es-ES_tradnl"/>
        </w:rPr>
        <w:t xml:space="preserve">La implementación de TAXII realizada durante el proyecto no </w:t>
      </w:r>
      <w:r w:rsidR="005344AC">
        <w:rPr>
          <w:lang w:val="es-ES_tradnl"/>
        </w:rPr>
        <w:t>implementó</w:t>
      </w:r>
      <w:r w:rsidR="00EA6B24">
        <w:rPr>
          <w:lang w:val="es-ES_tradnl"/>
        </w:rPr>
        <w:t xml:space="preserve"> el </w:t>
      </w:r>
      <w:proofErr w:type="spellStart"/>
      <w:r w:rsidR="00EA6B24">
        <w:rPr>
          <w:lang w:val="es-ES_tradnl"/>
        </w:rPr>
        <w:t>discovery</w:t>
      </w:r>
      <w:proofErr w:type="spellEnd"/>
      <w:r w:rsidR="00EA6B24">
        <w:rPr>
          <w:lang w:val="es-ES_tradnl"/>
        </w:rPr>
        <w:t xml:space="preserve"> </w:t>
      </w:r>
      <w:proofErr w:type="spellStart"/>
      <w:r w:rsidR="00EA6B24">
        <w:rPr>
          <w:lang w:val="es-ES_tradnl"/>
        </w:rPr>
        <w:t>service</w:t>
      </w:r>
      <w:proofErr w:type="spellEnd"/>
      <w:r w:rsidR="00EA6B24">
        <w:rPr>
          <w:lang w:val="es-ES_tradnl"/>
        </w:rPr>
        <w:t xml:space="preserve"> y por ello </w:t>
      </w:r>
      <w:r w:rsidR="008F0D66">
        <w:rPr>
          <w:lang w:val="es-ES_tradnl"/>
        </w:rPr>
        <w:t xml:space="preserve">fue </w:t>
      </w:r>
      <w:r w:rsidR="00EA6B24">
        <w:rPr>
          <w:lang w:val="es-ES_tradnl"/>
        </w:rPr>
        <w:t>necesario implementar un caso de uso para ingresar los servicios. Es necesario recordar que al realizar la implementación se pueden decidir que servicios se implementan y</w:t>
      </w:r>
      <w:r w:rsidR="008F0D66">
        <w:rPr>
          <w:lang w:val="es-ES_tradnl"/>
        </w:rPr>
        <w:t xml:space="preserve"> cuales no, de forma de que no se tiene porque contar con todos ellos</w:t>
      </w:r>
      <w:r w:rsidR="00EA6B24">
        <w:rPr>
          <w:lang w:val="es-ES_tradnl"/>
        </w:rPr>
        <w:t>.</w:t>
      </w:r>
      <w:commentRangeEnd w:id="1"/>
      <w:r w:rsidR="005467BF">
        <w:rPr>
          <w:rStyle w:val="CommentReference"/>
        </w:rPr>
        <w:commentReference w:id="1"/>
      </w:r>
    </w:p>
    <w:p w14:paraId="78E851C7" w14:textId="406D7FC4" w:rsidR="00A54EB7" w:rsidRDefault="00495A45" w:rsidP="00EA6B24">
      <w:pPr>
        <w:rPr>
          <w:lang w:val="es-ES_tradnl"/>
        </w:rPr>
      </w:pPr>
      <w:r>
        <w:rPr>
          <w:lang w:val="es-ES_tradnl"/>
        </w:rPr>
        <w:t>En la figura 4 observamos el</w:t>
      </w:r>
      <w:r w:rsidR="00720B35">
        <w:rPr>
          <w:lang w:val="es-ES_tradnl"/>
        </w:rPr>
        <w:t xml:space="preserve"> ingreso de los servicios TAXII y en la figura 5 el listado de</w:t>
      </w:r>
      <w:r w:rsidR="00AB5BCF">
        <w:rPr>
          <w:lang w:val="es-ES_tradnl"/>
        </w:rPr>
        <w:t xml:space="preserve"> los servicios ingresados anteriormente</w:t>
      </w:r>
      <w:r w:rsidR="00720B35">
        <w:rPr>
          <w:lang w:val="es-ES_tradnl"/>
        </w:rPr>
        <w:t>.</w:t>
      </w:r>
    </w:p>
    <w:p w14:paraId="6A855419" w14:textId="77777777" w:rsidR="00495A45" w:rsidRDefault="00495A45" w:rsidP="00EA6B24">
      <w:pPr>
        <w:rPr>
          <w:lang w:val="es-ES_tradnl"/>
        </w:rPr>
      </w:pPr>
    </w:p>
    <w:p w14:paraId="7A5EA3FF" w14:textId="77777777" w:rsidR="00720B35" w:rsidRDefault="00720B35" w:rsidP="00720B35">
      <w:pPr>
        <w:keepNext/>
      </w:pPr>
      <w:r>
        <w:rPr>
          <w:noProof/>
        </w:rPr>
        <w:drawing>
          <wp:inline distT="0" distB="0" distL="0" distR="0" wp14:anchorId="4657D2E6" wp14:editId="50D9438F">
            <wp:extent cx="5139625" cy="172075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7 at 7.35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922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2CDA" w14:textId="706C0EA2" w:rsidR="00495A45" w:rsidRDefault="00720B35" w:rsidP="00720B35">
      <w:pPr>
        <w:pStyle w:val="Caption"/>
        <w:jc w:val="center"/>
        <w:rPr>
          <w:lang w:val="es-ES_tradnl"/>
        </w:rPr>
      </w:pPr>
      <w:proofErr w:type="spellStart"/>
      <w:r>
        <w:t>Figura</w:t>
      </w:r>
      <w:proofErr w:type="spellEnd"/>
      <w:r>
        <w:t xml:space="preserve"> </w:t>
      </w:r>
      <w:r w:rsidR="002868B1">
        <w:fldChar w:fldCharType="begin"/>
      </w:r>
      <w:r w:rsidR="002868B1">
        <w:instrText xml:space="preserve"> SEQ Figura \* ARABIC </w:instrText>
      </w:r>
      <w:r w:rsidR="002868B1">
        <w:fldChar w:fldCharType="separate"/>
      </w:r>
      <w:r w:rsidR="000C0A6B">
        <w:rPr>
          <w:noProof/>
        </w:rPr>
        <w:t>4</w:t>
      </w:r>
      <w:r w:rsidR="002868B1">
        <w:rPr>
          <w:noProof/>
        </w:rPr>
        <w:fldChar w:fldCharType="end"/>
      </w:r>
      <w:r>
        <w:t xml:space="preserve">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TAXII</w:t>
      </w:r>
    </w:p>
    <w:p w14:paraId="3DD729D9" w14:textId="77777777" w:rsidR="00720B35" w:rsidRDefault="00720B35" w:rsidP="00720B35">
      <w:pPr>
        <w:keepNext/>
      </w:pPr>
      <w:r>
        <w:rPr>
          <w:noProof/>
        </w:rPr>
        <w:drawing>
          <wp:inline distT="0" distB="0" distL="0" distR="0" wp14:anchorId="2E377168" wp14:editId="632341D3">
            <wp:extent cx="5270500" cy="15240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7 at 7.38.3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E56B" w14:textId="4D2AC2B1" w:rsidR="00EA6B24" w:rsidRDefault="00720B35" w:rsidP="00720B35">
      <w:pPr>
        <w:pStyle w:val="Caption"/>
        <w:jc w:val="center"/>
        <w:rPr>
          <w:lang w:val="es-ES_tradnl"/>
        </w:rPr>
      </w:pPr>
      <w:proofErr w:type="spellStart"/>
      <w:r>
        <w:t>Figura</w:t>
      </w:r>
      <w:proofErr w:type="spellEnd"/>
      <w:r>
        <w:t xml:space="preserve"> </w:t>
      </w:r>
      <w:r w:rsidR="002868B1">
        <w:fldChar w:fldCharType="begin"/>
      </w:r>
      <w:r w:rsidR="002868B1">
        <w:instrText xml:space="preserve"> SEQ Figura \* ARABIC </w:instrText>
      </w:r>
      <w:r w:rsidR="002868B1">
        <w:fldChar w:fldCharType="separate"/>
      </w:r>
      <w:r w:rsidR="000C0A6B">
        <w:rPr>
          <w:noProof/>
        </w:rPr>
        <w:t>5</w:t>
      </w:r>
      <w:r w:rsidR="002868B1">
        <w:rPr>
          <w:noProof/>
        </w:rPr>
        <w:fldChar w:fldCharType="end"/>
      </w:r>
      <w:r>
        <w:t xml:space="preserve">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TAXII</w:t>
      </w:r>
    </w:p>
    <w:p w14:paraId="7C7A5FAC" w14:textId="77777777" w:rsidR="00720B35" w:rsidRDefault="00720B35" w:rsidP="00EA6B24">
      <w:pPr>
        <w:rPr>
          <w:lang w:val="es-ES_tradnl"/>
        </w:rPr>
      </w:pPr>
    </w:p>
    <w:p w14:paraId="37874C04" w14:textId="0D15A2A0" w:rsidR="00A54EB7" w:rsidRDefault="00D106FD" w:rsidP="00EA6B24">
      <w:pPr>
        <w:rPr>
          <w:lang w:val="es-ES_tradnl"/>
        </w:rPr>
      </w:pPr>
      <w:r>
        <w:rPr>
          <w:lang w:val="es-ES_tradnl"/>
        </w:rPr>
        <w:t xml:space="preserve">En los pasos 5 a 7 </w:t>
      </w:r>
      <w:r w:rsidR="0018480E">
        <w:rPr>
          <w:lang w:val="es-ES_tradnl"/>
        </w:rPr>
        <w:t xml:space="preserve">de la figura 3 </w:t>
      </w:r>
      <w:r>
        <w:rPr>
          <w:lang w:val="es-ES_tradnl"/>
        </w:rPr>
        <w:t>se ingresa nueva información en el CSIRT 1, a su vez se comprueba que la información se halla dado de alta adecuadamente en el sistema. Lo mismo se realiza en los pasos 1</w:t>
      </w:r>
      <w:r w:rsidR="009822BD">
        <w:rPr>
          <w:lang w:val="es-ES_tradnl"/>
        </w:rPr>
        <w:t>1</w:t>
      </w:r>
      <w:r>
        <w:rPr>
          <w:lang w:val="es-ES_tradnl"/>
        </w:rPr>
        <w:t xml:space="preserve"> a 1</w:t>
      </w:r>
      <w:r w:rsidR="009822BD">
        <w:rPr>
          <w:lang w:val="es-ES_tradnl"/>
        </w:rPr>
        <w:t>3, 16 y 17</w:t>
      </w:r>
      <w:r>
        <w:rPr>
          <w:lang w:val="es-ES_tradnl"/>
        </w:rPr>
        <w:t>, la diferencia que esta vez se realiza desde el CSIRT 2</w:t>
      </w:r>
      <w:r w:rsidR="00720B35">
        <w:rPr>
          <w:lang w:val="es-ES_tradnl"/>
        </w:rPr>
        <w:t xml:space="preserve">, dicha información será luego enviada al CSIRT 1 por medio del </w:t>
      </w:r>
      <w:proofErr w:type="spellStart"/>
      <w:r w:rsidR="00720B35">
        <w:rPr>
          <w:lang w:val="es-ES_tradnl"/>
        </w:rPr>
        <w:t>poll</w:t>
      </w:r>
      <w:proofErr w:type="spellEnd"/>
      <w:r w:rsidR="00720B35">
        <w:rPr>
          <w:lang w:val="es-ES_tradnl"/>
        </w:rPr>
        <w:t xml:space="preserve"> </w:t>
      </w:r>
      <w:proofErr w:type="spellStart"/>
      <w:r w:rsidR="00720B35">
        <w:rPr>
          <w:lang w:val="es-ES_tradnl"/>
        </w:rPr>
        <w:t>service</w:t>
      </w:r>
      <w:proofErr w:type="spellEnd"/>
      <w:r w:rsidR="00720B35">
        <w:rPr>
          <w:lang w:val="es-ES_tradnl"/>
        </w:rPr>
        <w:t xml:space="preserve"> así como del </w:t>
      </w:r>
      <w:proofErr w:type="spellStart"/>
      <w:r w:rsidR="00720B35">
        <w:rPr>
          <w:lang w:val="es-ES_tradnl"/>
        </w:rPr>
        <w:t>inbox</w:t>
      </w:r>
      <w:proofErr w:type="spellEnd"/>
      <w:r w:rsidR="00720B35">
        <w:rPr>
          <w:lang w:val="es-ES_tradnl"/>
        </w:rPr>
        <w:t xml:space="preserve"> </w:t>
      </w:r>
      <w:proofErr w:type="spellStart"/>
      <w:r w:rsidR="00720B35">
        <w:rPr>
          <w:lang w:val="es-ES_tradnl"/>
        </w:rPr>
        <w:t>service</w:t>
      </w:r>
      <w:proofErr w:type="spellEnd"/>
      <w:r>
        <w:rPr>
          <w:lang w:val="es-ES_tradnl"/>
        </w:rPr>
        <w:t>.</w:t>
      </w:r>
    </w:p>
    <w:p w14:paraId="34117FD6" w14:textId="77777777" w:rsidR="001676A9" w:rsidRDefault="006966CE" w:rsidP="00EA6B24">
      <w:pPr>
        <w:rPr>
          <w:color w:val="FF0000"/>
          <w:lang w:val="es-ES_tradnl"/>
        </w:rPr>
      </w:pPr>
      <w:r>
        <w:rPr>
          <w:lang w:val="es-ES_tradnl"/>
        </w:rPr>
        <w:t xml:space="preserve">En la figura 6 se ve </w:t>
      </w:r>
      <w:r w:rsidR="007A5D7A">
        <w:rPr>
          <w:lang w:val="es-ES_tradnl"/>
        </w:rPr>
        <w:t xml:space="preserve">el ingreso de información, se da de alta un </w:t>
      </w:r>
      <w:proofErr w:type="spellStart"/>
      <w:r w:rsidR="007A5D7A">
        <w:rPr>
          <w:lang w:val="es-ES_tradnl"/>
        </w:rPr>
        <w:t>Cyber</w:t>
      </w:r>
      <w:proofErr w:type="spellEnd"/>
      <w:r w:rsidR="007A5D7A">
        <w:rPr>
          <w:lang w:val="es-ES_tradnl"/>
        </w:rPr>
        <w:t xml:space="preserve"> observable que representa un correo electrónico que podría provenir por ejemplo de un ataque de </w:t>
      </w:r>
      <w:proofErr w:type="spellStart"/>
      <w:r w:rsidR="007A5D7A">
        <w:rPr>
          <w:lang w:val="es-ES_tradnl"/>
        </w:rPr>
        <w:t>phishing</w:t>
      </w:r>
      <w:proofErr w:type="spellEnd"/>
      <w:r w:rsidR="007A5D7A">
        <w:rPr>
          <w:lang w:val="es-ES_tradnl"/>
        </w:rPr>
        <w:t>.</w:t>
      </w:r>
      <w:r w:rsidR="00AB14AD">
        <w:rPr>
          <w:lang w:val="es-ES_tradnl"/>
        </w:rPr>
        <w:t xml:space="preserve"> En el anexo se pueden ver los distintos </w:t>
      </w:r>
      <w:proofErr w:type="spellStart"/>
      <w:r w:rsidR="00AB14AD">
        <w:rPr>
          <w:lang w:val="es-ES_tradnl"/>
        </w:rPr>
        <w:t>cyber</w:t>
      </w:r>
      <w:proofErr w:type="spellEnd"/>
      <w:r w:rsidR="00AB14AD">
        <w:rPr>
          <w:lang w:val="es-ES_tradnl"/>
        </w:rPr>
        <w:t xml:space="preserve"> observables dados de alta, </w:t>
      </w:r>
      <w:r w:rsidR="0018480E">
        <w:rPr>
          <w:lang w:val="es-ES_tradnl"/>
        </w:rPr>
        <w:t>los cuales</w:t>
      </w:r>
      <w:r w:rsidR="00AB14AD">
        <w:rPr>
          <w:lang w:val="es-ES_tradnl"/>
        </w:rPr>
        <w:t xml:space="preserve"> se obtuvieron</w:t>
      </w:r>
      <w:r w:rsidR="0018480E">
        <w:rPr>
          <w:lang w:val="es-ES_tradnl"/>
        </w:rPr>
        <w:t xml:space="preserve"> de</w:t>
      </w:r>
      <w:r w:rsidR="00AB14AD">
        <w:rPr>
          <w:lang w:val="es-ES_tradnl"/>
        </w:rPr>
        <w:t xml:space="preserve"> </w:t>
      </w:r>
      <w:hyperlink r:id="rId10" w:anchor="CYBOX%20samples" w:history="1">
        <w:r w:rsidR="00AB14AD" w:rsidRPr="00AB14AD">
          <w:rPr>
            <w:rStyle w:val="Hyperlink"/>
            <w:lang w:val="es-ES_tradnl"/>
          </w:rPr>
          <w:t>MITRE</w:t>
        </w:r>
      </w:hyperlink>
      <w:r w:rsidR="00AB14AD">
        <w:rPr>
          <w:lang w:val="es-ES_tradnl"/>
        </w:rPr>
        <w:t xml:space="preserve">. </w:t>
      </w:r>
      <w:r w:rsidR="00AB14AD" w:rsidRPr="00AB14AD">
        <w:rPr>
          <w:color w:val="FF0000"/>
          <w:lang w:val="es-ES_tradnl"/>
        </w:rPr>
        <w:t>(Esto en realidad es una referencia al link)</w:t>
      </w:r>
    </w:p>
    <w:p w14:paraId="35DE4F52" w14:textId="49D6094A" w:rsidR="00AB14AD" w:rsidRPr="001676A9" w:rsidRDefault="001676A9" w:rsidP="001676A9">
      <w:pPr>
        <w:rPr>
          <w:color w:val="FF0000"/>
          <w:lang w:val="es-ES_tradnl"/>
        </w:rPr>
      </w:pPr>
      <w:r w:rsidRPr="001676A9">
        <w:rPr>
          <w:color w:val="000000" w:themeColor="text1"/>
          <w:lang w:val="es-ES_tradnl"/>
        </w:rPr>
        <w:t>E</w:t>
      </w:r>
      <w:r w:rsidR="00AB14AD" w:rsidRPr="00AB14AD">
        <w:rPr>
          <w:color w:val="000000" w:themeColor="text1"/>
          <w:lang w:val="es-ES_tradnl"/>
        </w:rPr>
        <w:t>n la figura 7 se observa</w:t>
      </w:r>
      <w:r>
        <w:rPr>
          <w:color w:val="000000" w:themeColor="text1"/>
          <w:lang w:val="es-ES_tradnl"/>
        </w:rPr>
        <w:t xml:space="preserve"> información dada de alta en el sistema, también se ve información que fue obtenida por medio del </w:t>
      </w:r>
      <w:proofErr w:type="spellStart"/>
      <w:r>
        <w:rPr>
          <w:color w:val="000000" w:themeColor="text1"/>
          <w:lang w:val="es-ES_tradnl"/>
        </w:rPr>
        <w:t>poll</w:t>
      </w:r>
      <w:proofErr w:type="spellEnd"/>
      <w:r>
        <w:rPr>
          <w:color w:val="000000" w:themeColor="text1"/>
          <w:lang w:val="es-ES_tradnl"/>
        </w:rPr>
        <w:t xml:space="preserve"> </w:t>
      </w:r>
      <w:proofErr w:type="spellStart"/>
      <w:r>
        <w:rPr>
          <w:color w:val="000000" w:themeColor="text1"/>
          <w:lang w:val="es-ES_tradnl"/>
        </w:rPr>
        <w:t>service</w:t>
      </w:r>
      <w:proofErr w:type="spellEnd"/>
      <w:r>
        <w:rPr>
          <w:color w:val="000000" w:themeColor="text1"/>
          <w:lang w:val="es-ES_tradnl"/>
        </w:rPr>
        <w:t xml:space="preserve"> del data </w:t>
      </w:r>
      <w:proofErr w:type="spellStart"/>
      <w:r>
        <w:rPr>
          <w:color w:val="000000" w:themeColor="text1"/>
          <w:lang w:val="es-ES_tradnl"/>
        </w:rPr>
        <w:t>feed</w:t>
      </w:r>
      <w:proofErr w:type="spellEnd"/>
      <w:r>
        <w:rPr>
          <w:color w:val="000000" w:themeColor="text1"/>
          <w:lang w:val="es-ES_tradnl"/>
        </w:rPr>
        <w:t xml:space="preserve"> “default” del CSIRT 2.</w:t>
      </w:r>
    </w:p>
    <w:p w14:paraId="24ECE16A" w14:textId="77777777" w:rsidR="007A5D7A" w:rsidRDefault="006966CE" w:rsidP="007A5D7A">
      <w:pPr>
        <w:keepNext/>
      </w:pPr>
      <w:r>
        <w:rPr>
          <w:noProof/>
        </w:rPr>
        <w:drawing>
          <wp:inline distT="0" distB="0" distL="0" distR="0" wp14:anchorId="112084B3" wp14:editId="6D84F230">
            <wp:extent cx="5270500" cy="4919980"/>
            <wp:effectExtent l="0" t="0" r="1270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4 at 10.33.1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9568" w14:textId="27FCE56A" w:rsidR="006966CE" w:rsidRDefault="007A5D7A" w:rsidP="007A5D7A">
      <w:pPr>
        <w:pStyle w:val="Caption"/>
        <w:jc w:val="center"/>
        <w:rPr>
          <w:lang w:val="es-ES_tradnl"/>
        </w:rPr>
      </w:pPr>
      <w:proofErr w:type="spellStart"/>
      <w:r>
        <w:t>Figura</w:t>
      </w:r>
      <w:proofErr w:type="spellEnd"/>
      <w:r>
        <w:t xml:space="preserve"> </w:t>
      </w:r>
      <w:r w:rsidR="002868B1">
        <w:fldChar w:fldCharType="begin"/>
      </w:r>
      <w:r w:rsidR="002868B1">
        <w:instrText xml:space="preserve"> SEQ Figura \* ARABIC </w:instrText>
      </w:r>
      <w:r w:rsidR="002868B1">
        <w:fldChar w:fldCharType="separate"/>
      </w:r>
      <w:r w:rsidR="000C0A6B">
        <w:rPr>
          <w:noProof/>
        </w:rPr>
        <w:t>6</w:t>
      </w:r>
      <w:r w:rsidR="002868B1">
        <w:rPr>
          <w:noProof/>
        </w:rPr>
        <w:fldChar w:fldCharType="end"/>
      </w:r>
      <w:r>
        <w:t xml:space="preserve"> Alta de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</w:p>
    <w:p w14:paraId="45B60882" w14:textId="12597186" w:rsidR="00EA6B24" w:rsidRDefault="00EA6B24" w:rsidP="00EA6B24">
      <w:pPr>
        <w:rPr>
          <w:lang w:val="es-ES_tradnl"/>
        </w:rPr>
      </w:pPr>
      <w:r>
        <w:rPr>
          <w:lang w:val="es-ES_tradnl"/>
        </w:rPr>
        <w:t xml:space="preserve"> </w:t>
      </w:r>
    </w:p>
    <w:p w14:paraId="7A638889" w14:textId="77777777" w:rsidR="008C4B0E" w:rsidRDefault="008C4B0E" w:rsidP="008C4B0E">
      <w:pPr>
        <w:keepNext/>
      </w:pPr>
      <w:r>
        <w:rPr>
          <w:noProof/>
        </w:rPr>
        <w:drawing>
          <wp:inline distT="0" distB="0" distL="0" distR="0" wp14:anchorId="40C01A5C" wp14:editId="75D772B6">
            <wp:extent cx="5025325" cy="2107004"/>
            <wp:effectExtent l="0" t="0" r="444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5 at 12.09.2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25" cy="210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B5EB" w14:textId="6D0D13BB" w:rsidR="00AB14AD" w:rsidRDefault="008C4B0E" w:rsidP="008C4B0E">
      <w:pPr>
        <w:pStyle w:val="Caption"/>
        <w:jc w:val="center"/>
        <w:rPr>
          <w:lang w:val="es-ES_tradnl"/>
        </w:rPr>
      </w:pPr>
      <w:proofErr w:type="spellStart"/>
      <w:r>
        <w:t>Figura</w:t>
      </w:r>
      <w:proofErr w:type="spellEnd"/>
      <w:r>
        <w:t xml:space="preserve"> </w:t>
      </w:r>
      <w:r w:rsidR="002868B1">
        <w:fldChar w:fldCharType="begin"/>
      </w:r>
      <w:r w:rsidR="002868B1">
        <w:instrText xml:space="preserve"> SEQ Figura \* ARABIC </w:instrText>
      </w:r>
      <w:r w:rsidR="002868B1">
        <w:fldChar w:fldCharType="separate"/>
      </w:r>
      <w:r w:rsidR="000C0A6B">
        <w:rPr>
          <w:noProof/>
        </w:rPr>
        <w:t>7</w:t>
      </w:r>
      <w:r w:rsidR="002868B1">
        <w:rPr>
          <w:noProof/>
        </w:rPr>
        <w:fldChar w:fldCharType="end"/>
      </w:r>
      <w:r>
        <w:t xml:space="preserve">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en el </w:t>
      </w:r>
      <w:proofErr w:type="spellStart"/>
      <w:r>
        <w:t>sistema</w:t>
      </w:r>
      <w:proofErr w:type="spellEnd"/>
    </w:p>
    <w:p w14:paraId="2A0B6DB7" w14:textId="77777777" w:rsidR="008C4B0E" w:rsidRDefault="008C4B0E" w:rsidP="00EA6B24">
      <w:pPr>
        <w:rPr>
          <w:lang w:val="es-ES_tradnl"/>
        </w:rPr>
      </w:pPr>
    </w:p>
    <w:p w14:paraId="137CC878" w14:textId="77777777" w:rsidR="008C4B0E" w:rsidRDefault="008C4B0E" w:rsidP="00EA6B24">
      <w:pPr>
        <w:rPr>
          <w:lang w:val="es-ES_tradnl"/>
        </w:rPr>
      </w:pPr>
    </w:p>
    <w:p w14:paraId="7DF1AA02" w14:textId="04AF5CBB" w:rsidR="000100AC" w:rsidRDefault="006E56D6" w:rsidP="007F3D52">
      <w:pPr>
        <w:rPr>
          <w:lang w:val="es-ES_tradnl"/>
        </w:rPr>
      </w:pPr>
      <w:r>
        <w:rPr>
          <w:lang w:val="es-ES_tradnl"/>
        </w:rPr>
        <w:t>Los pasos 8 a 10</w:t>
      </w:r>
      <w:r w:rsidR="00265516">
        <w:rPr>
          <w:lang w:val="es-ES_tradnl"/>
        </w:rPr>
        <w:t xml:space="preserve"> se encargan de la obtención </w:t>
      </w:r>
      <w:r w:rsidR="000100AC">
        <w:rPr>
          <w:lang w:val="es-ES_tradnl"/>
        </w:rPr>
        <w:t xml:space="preserve">de los data </w:t>
      </w:r>
      <w:proofErr w:type="spellStart"/>
      <w:r w:rsidR="000100AC">
        <w:rPr>
          <w:lang w:val="es-ES_tradnl"/>
        </w:rPr>
        <w:t>feeds</w:t>
      </w:r>
      <w:proofErr w:type="spellEnd"/>
      <w:r w:rsidR="000100AC">
        <w:rPr>
          <w:lang w:val="es-ES_tradnl"/>
        </w:rPr>
        <w:t xml:space="preserve"> en el CSIRT 2 y a su vez se comprueba que los data </w:t>
      </w:r>
      <w:proofErr w:type="spellStart"/>
      <w:r w:rsidR="000100AC">
        <w:rPr>
          <w:lang w:val="es-ES_tradnl"/>
        </w:rPr>
        <w:t>feeds</w:t>
      </w:r>
      <w:proofErr w:type="spellEnd"/>
      <w:r w:rsidR="000100AC">
        <w:rPr>
          <w:lang w:val="es-ES_tradnl"/>
        </w:rPr>
        <w:t xml:space="preserve"> se hayan obtenido correctamente. Para obtener los data </w:t>
      </w:r>
      <w:proofErr w:type="spellStart"/>
      <w:r w:rsidR="000100AC">
        <w:rPr>
          <w:lang w:val="es-ES_tradnl"/>
        </w:rPr>
        <w:t>feeds</w:t>
      </w:r>
      <w:proofErr w:type="spellEnd"/>
      <w:r w:rsidR="00265516">
        <w:rPr>
          <w:lang w:val="es-ES_tradnl"/>
        </w:rPr>
        <w:t xml:space="preserve"> se </w:t>
      </w:r>
      <w:r w:rsidR="000B6A97">
        <w:rPr>
          <w:lang w:val="es-ES_tradnl"/>
        </w:rPr>
        <w:t xml:space="preserve">envía un mensaje desde TAXII App en el CSIRT 1 </w:t>
      </w:r>
      <w:r w:rsidR="000100AC">
        <w:rPr>
          <w:lang w:val="es-ES_tradnl"/>
        </w:rPr>
        <w:t xml:space="preserve">solicitándolos al </w:t>
      </w:r>
      <w:r w:rsidR="000B6A97">
        <w:rPr>
          <w:lang w:val="es-ES_tradnl"/>
        </w:rPr>
        <w:t>CSIRT 2.</w:t>
      </w:r>
      <w:r w:rsidR="000100AC">
        <w:rPr>
          <w:lang w:val="es-ES_tradnl"/>
        </w:rPr>
        <w:t xml:space="preserve"> </w:t>
      </w:r>
    </w:p>
    <w:p w14:paraId="27A7BEA4" w14:textId="2F1BAB7C" w:rsidR="008C4B0E" w:rsidRDefault="008C4B0E" w:rsidP="007F3D52">
      <w:pPr>
        <w:rPr>
          <w:lang w:val="es-ES_tradnl"/>
        </w:rPr>
      </w:pPr>
      <w:r>
        <w:rPr>
          <w:lang w:val="es-ES_tradnl"/>
        </w:rPr>
        <w:t xml:space="preserve">La figura 8 muestra la obtención de los data </w:t>
      </w:r>
      <w:proofErr w:type="spellStart"/>
      <w:r>
        <w:rPr>
          <w:lang w:val="es-ES_tradnl"/>
        </w:rPr>
        <w:t>feeds</w:t>
      </w:r>
      <w:proofErr w:type="spellEnd"/>
      <w:r>
        <w:rPr>
          <w:lang w:val="es-ES_tradnl"/>
        </w:rPr>
        <w:t xml:space="preserve"> remotos en el CSIRT 2, luego en la figura 9 se ve un listado del data </w:t>
      </w:r>
      <w:proofErr w:type="spellStart"/>
      <w:r>
        <w:rPr>
          <w:lang w:val="es-ES_tradnl"/>
        </w:rPr>
        <w:t>feed</w:t>
      </w:r>
      <w:proofErr w:type="spellEnd"/>
      <w:r>
        <w:rPr>
          <w:lang w:val="es-ES_tradnl"/>
        </w:rPr>
        <w:t xml:space="preserve"> obtenido.</w:t>
      </w:r>
      <w:r w:rsidR="0096509C">
        <w:rPr>
          <w:lang w:val="es-ES_tradnl"/>
        </w:rPr>
        <w:t xml:space="preserve"> A su vez se ve el data </w:t>
      </w:r>
      <w:proofErr w:type="spellStart"/>
      <w:r w:rsidR="0096509C">
        <w:rPr>
          <w:lang w:val="es-ES_tradnl"/>
        </w:rPr>
        <w:t>feed</w:t>
      </w:r>
      <w:proofErr w:type="spellEnd"/>
      <w:r w:rsidR="0096509C">
        <w:rPr>
          <w:lang w:val="es-ES_tradnl"/>
        </w:rPr>
        <w:t xml:space="preserve"> de YETI.</w:t>
      </w:r>
    </w:p>
    <w:p w14:paraId="6A7BCDE6" w14:textId="77777777" w:rsidR="008C4B0E" w:rsidRDefault="008C4B0E" w:rsidP="007F3D52">
      <w:pPr>
        <w:rPr>
          <w:lang w:val="es-ES_tradnl"/>
        </w:rPr>
      </w:pPr>
    </w:p>
    <w:p w14:paraId="47DC8F40" w14:textId="77777777" w:rsidR="0096509C" w:rsidRDefault="008C4B0E" w:rsidP="0096509C">
      <w:pPr>
        <w:keepNext/>
      </w:pPr>
      <w:r>
        <w:rPr>
          <w:noProof/>
        </w:rPr>
        <w:drawing>
          <wp:inline distT="0" distB="0" distL="0" distR="0" wp14:anchorId="398DA7C9" wp14:editId="46362EA1">
            <wp:extent cx="5270500" cy="18161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4 at 10.12.2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9222" w14:textId="36829D45" w:rsidR="008C4B0E" w:rsidRDefault="0096509C" w:rsidP="0096509C">
      <w:pPr>
        <w:pStyle w:val="Caption"/>
        <w:jc w:val="center"/>
        <w:rPr>
          <w:lang w:val="es-ES_tradnl"/>
        </w:rPr>
      </w:pPr>
      <w:proofErr w:type="spellStart"/>
      <w:r>
        <w:t>Figura</w:t>
      </w:r>
      <w:proofErr w:type="spellEnd"/>
      <w:r>
        <w:t xml:space="preserve"> </w:t>
      </w:r>
      <w:r w:rsidR="002868B1">
        <w:fldChar w:fldCharType="begin"/>
      </w:r>
      <w:r w:rsidR="002868B1">
        <w:instrText xml:space="preserve"> SEQ Figura \* ARABIC </w:instrText>
      </w:r>
      <w:r w:rsidR="002868B1">
        <w:fldChar w:fldCharType="separate"/>
      </w:r>
      <w:r w:rsidR="000C0A6B">
        <w:rPr>
          <w:noProof/>
        </w:rPr>
        <w:t>8</w:t>
      </w:r>
      <w:r w:rsidR="002868B1">
        <w:rPr>
          <w:noProof/>
        </w:rPr>
        <w:fldChar w:fldCharType="end"/>
      </w:r>
      <w:r>
        <w:t xml:space="preserve"> </w:t>
      </w:r>
      <w:proofErr w:type="spellStart"/>
      <w:r>
        <w:t>Obtención</w:t>
      </w:r>
      <w:proofErr w:type="spellEnd"/>
      <w:r>
        <w:t xml:space="preserve"> de data feeds </w:t>
      </w:r>
      <w:proofErr w:type="spellStart"/>
      <w:r>
        <w:t>remotos</w:t>
      </w:r>
      <w:proofErr w:type="spellEnd"/>
    </w:p>
    <w:p w14:paraId="768454DE" w14:textId="77777777" w:rsidR="00AB14AD" w:rsidRDefault="00AB14AD" w:rsidP="007F3D52">
      <w:pPr>
        <w:rPr>
          <w:lang w:val="es-ES_tradnl"/>
        </w:rPr>
      </w:pPr>
    </w:p>
    <w:p w14:paraId="77CE619B" w14:textId="77777777" w:rsidR="0096509C" w:rsidRDefault="0096509C" w:rsidP="0096509C">
      <w:pPr>
        <w:keepNext/>
      </w:pPr>
      <w:r>
        <w:rPr>
          <w:noProof/>
        </w:rPr>
        <w:drawing>
          <wp:inline distT="0" distB="0" distL="0" distR="0" wp14:anchorId="1EBE694D" wp14:editId="1162392C">
            <wp:extent cx="5270500" cy="1450975"/>
            <wp:effectExtent l="0" t="0" r="1270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4 at 10.29.0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E67" w14:textId="7F2555A4" w:rsidR="0096509C" w:rsidRDefault="0096509C" w:rsidP="0096509C">
      <w:pPr>
        <w:pStyle w:val="Caption"/>
        <w:jc w:val="center"/>
        <w:rPr>
          <w:lang w:val="es-ES_tradnl"/>
        </w:rPr>
      </w:pPr>
      <w:proofErr w:type="spellStart"/>
      <w:r>
        <w:t>Figura</w:t>
      </w:r>
      <w:proofErr w:type="spellEnd"/>
      <w:r>
        <w:t xml:space="preserve"> </w:t>
      </w:r>
      <w:r w:rsidR="002868B1">
        <w:fldChar w:fldCharType="begin"/>
      </w:r>
      <w:r w:rsidR="002868B1">
        <w:instrText xml:space="preserve"> SEQ Figura \* ARABIC </w:instrText>
      </w:r>
      <w:r w:rsidR="002868B1">
        <w:fldChar w:fldCharType="separate"/>
      </w:r>
      <w:r w:rsidR="000C0A6B">
        <w:rPr>
          <w:noProof/>
        </w:rPr>
        <w:t>9</w:t>
      </w:r>
      <w:r w:rsidR="002868B1">
        <w:rPr>
          <w:noProof/>
        </w:rPr>
        <w:fldChar w:fldCharType="end"/>
      </w:r>
      <w:r>
        <w:t xml:space="preserve"> Data feeds en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organizaciones</w:t>
      </w:r>
      <w:proofErr w:type="spellEnd"/>
    </w:p>
    <w:p w14:paraId="610BB900" w14:textId="1EE442AB" w:rsidR="00AB14AD" w:rsidRDefault="00AB14AD" w:rsidP="007F3D52">
      <w:pPr>
        <w:rPr>
          <w:lang w:val="es-ES_tradnl"/>
        </w:rPr>
      </w:pPr>
    </w:p>
    <w:p w14:paraId="73DE5B91" w14:textId="3F339D91" w:rsidR="004E186D" w:rsidRDefault="004E186D" w:rsidP="007F3D52">
      <w:pPr>
        <w:rPr>
          <w:lang w:val="es-ES_tradnl"/>
        </w:rPr>
      </w:pPr>
      <w:r>
        <w:rPr>
          <w:lang w:val="es-ES_tradnl"/>
        </w:rPr>
        <w:t xml:space="preserve">En el paso 14 se realiza el </w:t>
      </w:r>
      <w:proofErr w:type="spellStart"/>
      <w:r>
        <w:rPr>
          <w:lang w:val="es-ES_tradnl"/>
        </w:rPr>
        <w:t>poll</w:t>
      </w:r>
      <w:proofErr w:type="spellEnd"/>
      <w:r>
        <w:rPr>
          <w:lang w:val="es-ES_tradnl"/>
        </w:rPr>
        <w:t xml:space="preserve"> de información</w:t>
      </w:r>
      <w:r w:rsidR="009822BD">
        <w:rPr>
          <w:lang w:val="es-ES_tradnl"/>
        </w:rPr>
        <w:t xml:space="preserve">, para ello se invoca al </w:t>
      </w:r>
      <w:proofErr w:type="spellStart"/>
      <w:r w:rsidR="009822BD">
        <w:rPr>
          <w:lang w:val="es-ES_tradnl"/>
        </w:rPr>
        <w:t>poll</w:t>
      </w:r>
      <w:proofErr w:type="spellEnd"/>
      <w:r w:rsidR="009822BD">
        <w:rPr>
          <w:lang w:val="es-ES_tradnl"/>
        </w:rPr>
        <w:t xml:space="preserve"> </w:t>
      </w:r>
      <w:proofErr w:type="spellStart"/>
      <w:r w:rsidR="009822BD">
        <w:rPr>
          <w:lang w:val="es-ES_tradnl"/>
        </w:rPr>
        <w:t>service</w:t>
      </w:r>
      <w:proofErr w:type="spellEnd"/>
      <w:r w:rsidR="009822BD">
        <w:rPr>
          <w:lang w:val="es-ES_tradnl"/>
        </w:rPr>
        <w:t xml:space="preserve"> en el CSIRT 2, esto devuelve toda la información en el data </w:t>
      </w:r>
      <w:proofErr w:type="spellStart"/>
      <w:r w:rsidR="009822BD">
        <w:rPr>
          <w:lang w:val="es-ES_tradnl"/>
        </w:rPr>
        <w:t>feed</w:t>
      </w:r>
      <w:proofErr w:type="spellEnd"/>
      <w:r w:rsidR="009822BD">
        <w:rPr>
          <w:lang w:val="es-ES_tradnl"/>
        </w:rPr>
        <w:t xml:space="preserve"> especificado. Luego de realizado este paso, se lista nuevamente la información para ver cuales fueron los datos recibidos.</w:t>
      </w:r>
    </w:p>
    <w:p w14:paraId="3DD22857" w14:textId="079AAF94" w:rsidR="005C5E73" w:rsidRDefault="005C5E73" w:rsidP="007F3D52">
      <w:pPr>
        <w:rPr>
          <w:lang w:val="es-ES_tradnl"/>
        </w:rPr>
      </w:pPr>
      <w:r>
        <w:rPr>
          <w:lang w:val="es-ES_tradnl"/>
        </w:rPr>
        <w:t xml:space="preserve">En la figura 10 se ve el </w:t>
      </w:r>
      <w:proofErr w:type="spellStart"/>
      <w:r>
        <w:rPr>
          <w:lang w:val="es-ES_tradnl"/>
        </w:rPr>
        <w:t>polling</w:t>
      </w:r>
      <w:proofErr w:type="spellEnd"/>
      <w:r>
        <w:rPr>
          <w:lang w:val="es-ES_tradnl"/>
        </w:rPr>
        <w:t xml:space="preserve"> de información</w:t>
      </w:r>
      <w:r w:rsidR="003151C9">
        <w:rPr>
          <w:lang w:val="es-ES_tradnl"/>
        </w:rPr>
        <w:t>. P</w:t>
      </w:r>
      <w:r>
        <w:rPr>
          <w:lang w:val="es-ES_tradnl"/>
        </w:rPr>
        <w:t xml:space="preserve">reviamente se vio el listado de información luego de hacer el </w:t>
      </w:r>
      <w:proofErr w:type="spellStart"/>
      <w:r>
        <w:rPr>
          <w:lang w:val="es-ES_tradnl"/>
        </w:rPr>
        <w:t>poll</w:t>
      </w:r>
      <w:proofErr w:type="spellEnd"/>
      <w:r>
        <w:rPr>
          <w:lang w:val="es-ES_tradnl"/>
        </w:rPr>
        <w:t>.</w:t>
      </w:r>
    </w:p>
    <w:p w14:paraId="089682E4" w14:textId="77777777" w:rsidR="009822BD" w:rsidRDefault="009822BD" w:rsidP="007F3D52">
      <w:pPr>
        <w:rPr>
          <w:lang w:val="es-ES_tradnl"/>
        </w:rPr>
      </w:pPr>
    </w:p>
    <w:p w14:paraId="138D552B" w14:textId="77777777" w:rsidR="005C5E73" w:rsidRDefault="005C5E73" w:rsidP="005C5E73">
      <w:pPr>
        <w:keepNext/>
      </w:pPr>
      <w:r>
        <w:rPr>
          <w:noProof/>
        </w:rPr>
        <w:drawing>
          <wp:inline distT="0" distB="0" distL="0" distR="0" wp14:anchorId="204BCBB5" wp14:editId="4E416525">
            <wp:extent cx="5270500" cy="1863725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5 at 12.02.22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80EB" w14:textId="3B49E56F" w:rsidR="0096509C" w:rsidRDefault="005C5E73" w:rsidP="005C5E73">
      <w:pPr>
        <w:pStyle w:val="Caption"/>
        <w:jc w:val="center"/>
        <w:rPr>
          <w:lang w:val="es-ES_tradnl"/>
        </w:rPr>
      </w:pPr>
      <w:proofErr w:type="spellStart"/>
      <w:r>
        <w:t>Figura</w:t>
      </w:r>
      <w:proofErr w:type="spellEnd"/>
      <w:r>
        <w:t xml:space="preserve"> </w:t>
      </w:r>
      <w:r w:rsidR="002868B1">
        <w:fldChar w:fldCharType="begin"/>
      </w:r>
      <w:r w:rsidR="002868B1">
        <w:instrText xml:space="preserve"> SEQ Figura \* ARABIC </w:instrText>
      </w:r>
      <w:r w:rsidR="002868B1">
        <w:fldChar w:fldCharType="separate"/>
      </w:r>
      <w:r w:rsidR="000C0A6B">
        <w:rPr>
          <w:noProof/>
        </w:rPr>
        <w:t>10</w:t>
      </w:r>
      <w:r w:rsidR="002868B1">
        <w:rPr>
          <w:noProof/>
        </w:rPr>
        <w:fldChar w:fldCharType="end"/>
      </w:r>
      <w:r>
        <w:t xml:space="preserve"> Poll de </w:t>
      </w:r>
      <w:proofErr w:type="spellStart"/>
      <w:r>
        <w:t>información</w:t>
      </w:r>
      <w:proofErr w:type="spellEnd"/>
    </w:p>
    <w:p w14:paraId="5C859973" w14:textId="77777777" w:rsidR="0096509C" w:rsidRDefault="0096509C" w:rsidP="007F3D52">
      <w:pPr>
        <w:rPr>
          <w:lang w:val="es-ES_tradnl"/>
        </w:rPr>
      </w:pPr>
    </w:p>
    <w:p w14:paraId="11282C03" w14:textId="77A18CE0" w:rsidR="009822BD" w:rsidRDefault="009822BD" w:rsidP="007F3D52">
      <w:pPr>
        <w:rPr>
          <w:lang w:val="es-ES_tradnl"/>
        </w:rPr>
      </w:pPr>
      <w:r>
        <w:rPr>
          <w:lang w:val="es-ES_tradnl"/>
        </w:rPr>
        <w:t xml:space="preserve">Como se dijo anteriormente, en los pasos 16 y 17 se ingresa nueva información al CSIRT 2, dicha información es agregada para luego ser enviada al </w:t>
      </w:r>
      <w:proofErr w:type="spellStart"/>
      <w:r>
        <w:rPr>
          <w:lang w:val="es-ES_tradnl"/>
        </w:rPr>
        <w:t>inbox</w:t>
      </w:r>
      <w:proofErr w:type="spellEnd"/>
      <w:r>
        <w:rPr>
          <w:lang w:val="es-ES_tradnl"/>
        </w:rPr>
        <w:t xml:space="preserve"> del CSIRT 1. Previo a ser enviada, el CSIRT 1 debe registrarse para indicar que desea recibir información al </w:t>
      </w:r>
      <w:proofErr w:type="spellStart"/>
      <w:r>
        <w:rPr>
          <w:lang w:val="es-ES_tradnl"/>
        </w:rPr>
        <w:t>inbox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service</w:t>
      </w:r>
      <w:proofErr w:type="spellEnd"/>
      <w:r>
        <w:rPr>
          <w:lang w:val="es-ES_tradnl"/>
        </w:rPr>
        <w:t xml:space="preserve">. Dicha subscripción se realiza en el paso 18 invocando al servicio de </w:t>
      </w:r>
      <w:proofErr w:type="spellStart"/>
      <w:r>
        <w:rPr>
          <w:lang w:val="es-ES_tradnl"/>
        </w:rPr>
        <w:t>feed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managment</w:t>
      </w:r>
      <w:proofErr w:type="spellEnd"/>
      <w:r>
        <w:rPr>
          <w:lang w:val="es-ES_tradnl"/>
        </w:rPr>
        <w:t xml:space="preserve"> del CSIRT 2. Luego de esto, en el paso 19, se envía la información al </w:t>
      </w:r>
      <w:proofErr w:type="spellStart"/>
      <w:r>
        <w:rPr>
          <w:lang w:val="es-ES_tradnl"/>
        </w:rPr>
        <w:t>inbox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service</w:t>
      </w:r>
      <w:proofErr w:type="spellEnd"/>
      <w:r>
        <w:rPr>
          <w:lang w:val="es-ES_tradnl"/>
        </w:rPr>
        <w:t xml:space="preserve"> del CSIRT 1 desde el CSIRT 2.</w:t>
      </w:r>
    </w:p>
    <w:p w14:paraId="09C9A3E6" w14:textId="1DBF3D38" w:rsidR="009822BD" w:rsidRDefault="009822BD" w:rsidP="007F3D52">
      <w:pPr>
        <w:rPr>
          <w:lang w:val="es-ES_tradnl"/>
        </w:rPr>
      </w:pPr>
      <w:r>
        <w:rPr>
          <w:lang w:val="es-ES_tradnl"/>
        </w:rPr>
        <w:t xml:space="preserve">En el paso 20 se observan los nuevos datos obtenidos luego de que se envíe la información al </w:t>
      </w:r>
      <w:proofErr w:type="spellStart"/>
      <w:r>
        <w:rPr>
          <w:lang w:val="es-ES_tradnl"/>
        </w:rPr>
        <w:t>inbox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service</w:t>
      </w:r>
      <w:proofErr w:type="spellEnd"/>
      <w:r>
        <w:rPr>
          <w:lang w:val="es-ES_tradnl"/>
        </w:rPr>
        <w:t xml:space="preserve"> del CSIRT 1.</w:t>
      </w:r>
    </w:p>
    <w:p w14:paraId="4C9C51E7" w14:textId="77777777" w:rsidR="009822BD" w:rsidRDefault="009822BD" w:rsidP="007F3D52">
      <w:pPr>
        <w:rPr>
          <w:lang w:val="es-ES_tradnl"/>
        </w:rPr>
      </w:pPr>
    </w:p>
    <w:p w14:paraId="1CF39B1C" w14:textId="49468EB1" w:rsidR="005C5E73" w:rsidRDefault="005C5E73" w:rsidP="007F3D52">
      <w:pPr>
        <w:rPr>
          <w:lang w:val="es-ES_tradnl"/>
        </w:rPr>
      </w:pPr>
      <w:r>
        <w:rPr>
          <w:lang w:val="es-ES_tradnl"/>
        </w:rPr>
        <w:t xml:space="preserve">En las figuras 11 y 12 se ve la subscripción a un data </w:t>
      </w:r>
      <w:proofErr w:type="spellStart"/>
      <w:r>
        <w:rPr>
          <w:lang w:val="es-ES_tradnl"/>
        </w:rPr>
        <w:t>feed</w:t>
      </w:r>
      <w:proofErr w:type="spellEnd"/>
      <w:r>
        <w:rPr>
          <w:lang w:val="es-ES_tradnl"/>
        </w:rPr>
        <w:t xml:space="preserve"> en otra organización, mientras que en la 13 se ve el </w:t>
      </w:r>
      <w:r w:rsidR="00CC750F">
        <w:rPr>
          <w:lang w:val="es-ES_tradnl"/>
        </w:rPr>
        <w:t>envío</w:t>
      </w:r>
      <w:r>
        <w:rPr>
          <w:lang w:val="es-ES_tradnl"/>
        </w:rPr>
        <w:t xml:space="preserve"> de información</w:t>
      </w:r>
      <w:r w:rsidR="0067706D">
        <w:rPr>
          <w:lang w:val="es-ES_tradnl"/>
        </w:rPr>
        <w:t xml:space="preserve"> que se realizará</w:t>
      </w:r>
      <w:r>
        <w:rPr>
          <w:lang w:val="es-ES_tradnl"/>
        </w:rPr>
        <w:t xml:space="preserve"> por medio de </w:t>
      </w:r>
      <w:proofErr w:type="spellStart"/>
      <w:r>
        <w:rPr>
          <w:lang w:val="es-ES_tradnl"/>
        </w:rPr>
        <w:t>inbox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service</w:t>
      </w:r>
      <w:proofErr w:type="spellEnd"/>
      <w:r>
        <w:rPr>
          <w:lang w:val="es-ES_tradnl"/>
        </w:rPr>
        <w:t xml:space="preserve"> como se dijo anteriormente.</w:t>
      </w:r>
    </w:p>
    <w:p w14:paraId="6C77525F" w14:textId="77777777" w:rsidR="005C5E73" w:rsidRDefault="005C5E73" w:rsidP="007F3D52">
      <w:pPr>
        <w:rPr>
          <w:lang w:val="es-ES_tradnl"/>
        </w:rPr>
      </w:pPr>
    </w:p>
    <w:p w14:paraId="69C79EEC" w14:textId="77777777" w:rsidR="005C5E73" w:rsidRDefault="005C5E73" w:rsidP="007F3D52">
      <w:pPr>
        <w:rPr>
          <w:lang w:val="es-ES_tradnl"/>
        </w:rPr>
      </w:pPr>
    </w:p>
    <w:p w14:paraId="125A5973" w14:textId="77777777" w:rsidR="000C0A6B" w:rsidRDefault="00CC750F" w:rsidP="000C0A6B">
      <w:pPr>
        <w:keepNext/>
      </w:pPr>
      <w:r>
        <w:rPr>
          <w:noProof/>
        </w:rPr>
        <w:drawing>
          <wp:inline distT="0" distB="0" distL="0" distR="0" wp14:anchorId="2E897612" wp14:editId="7AEC3BA8">
            <wp:extent cx="5270500" cy="1772285"/>
            <wp:effectExtent l="0" t="0" r="1270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5 at 12.10.27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A84A" w14:textId="19C8E730" w:rsidR="005C5E73" w:rsidRDefault="000C0A6B" w:rsidP="000C0A6B">
      <w:pPr>
        <w:pStyle w:val="Caption"/>
        <w:jc w:val="center"/>
        <w:rPr>
          <w:lang w:val="es-ES_tradnl"/>
        </w:rPr>
      </w:pPr>
      <w:proofErr w:type="spellStart"/>
      <w:r>
        <w:t>Figura</w:t>
      </w:r>
      <w:proofErr w:type="spellEnd"/>
      <w:r>
        <w:t xml:space="preserve"> </w:t>
      </w:r>
      <w:r w:rsidR="002868B1">
        <w:fldChar w:fldCharType="begin"/>
      </w:r>
      <w:r w:rsidR="002868B1">
        <w:instrText xml:space="preserve"> SEQ Figura \* ARABIC </w:instrText>
      </w:r>
      <w:r w:rsidR="002868B1">
        <w:fldChar w:fldCharType="separate"/>
      </w:r>
      <w:r>
        <w:rPr>
          <w:noProof/>
        </w:rPr>
        <w:t>11</w:t>
      </w:r>
      <w:r w:rsidR="002868B1">
        <w:rPr>
          <w:noProof/>
        </w:rPr>
        <w:fldChar w:fldCharType="end"/>
      </w:r>
      <w:r>
        <w:t xml:space="preserve"> Primer </w:t>
      </w:r>
      <w:proofErr w:type="spellStart"/>
      <w:r>
        <w:t>paso</w:t>
      </w:r>
      <w:proofErr w:type="spellEnd"/>
      <w:r>
        <w:t xml:space="preserve"> de </w:t>
      </w:r>
      <w:proofErr w:type="spellStart"/>
      <w:r>
        <w:t>subscripción</w:t>
      </w:r>
      <w:proofErr w:type="spellEnd"/>
      <w:r>
        <w:t xml:space="preserve"> a data feeds</w:t>
      </w:r>
    </w:p>
    <w:p w14:paraId="48923519" w14:textId="77777777" w:rsidR="005C5E73" w:rsidRDefault="005C5E73" w:rsidP="007F3D52">
      <w:pPr>
        <w:rPr>
          <w:lang w:val="es-ES_tradnl"/>
        </w:rPr>
      </w:pPr>
    </w:p>
    <w:p w14:paraId="05408E3C" w14:textId="77777777" w:rsidR="000C0A6B" w:rsidRDefault="00CC750F" w:rsidP="000C0A6B">
      <w:pPr>
        <w:keepNext/>
      </w:pPr>
      <w:r>
        <w:rPr>
          <w:noProof/>
        </w:rPr>
        <w:drawing>
          <wp:inline distT="0" distB="0" distL="0" distR="0" wp14:anchorId="187EDB4A" wp14:editId="6B21E7DD">
            <wp:extent cx="5270500" cy="264414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5 at 12.11.06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9F9B" w14:textId="18C8DEB4" w:rsidR="00CC750F" w:rsidRDefault="000C0A6B" w:rsidP="000C0A6B">
      <w:pPr>
        <w:pStyle w:val="Caption"/>
        <w:jc w:val="center"/>
        <w:rPr>
          <w:lang w:val="es-ES_tradnl"/>
        </w:rPr>
      </w:pPr>
      <w:proofErr w:type="spellStart"/>
      <w:r>
        <w:t>Figura</w:t>
      </w:r>
      <w:proofErr w:type="spellEnd"/>
      <w:r>
        <w:t xml:space="preserve"> </w:t>
      </w:r>
      <w:r w:rsidR="002868B1">
        <w:fldChar w:fldCharType="begin"/>
      </w:r>
      <w:r w:rsidR="002868B1">
        <w:instrText xml:space="preserve"> SEQ Figura \* ARABIC </w:instrText>
      </w:r>
      <w:r w:rsidR="002868B1">
        <w:fldChar w:fldCharType="separate"/>
      </w:r>
      <w:r>
        <w:rPr>
          <w:noProof/>
        </w:rPr>
        <w:t>12</w:t>
      </w:r>
      <w:r w:rsidR="002868B1">
        <w:rPr>
          <w:noProof/>
        </w:rPr>
        <w:fldChar w:fldCharType="end"/>
      </w:r>
      <w:r>
        <w:t xml:space="preserve"> Segundo </w:t>
      </w:r>
      <w:proofErr w:type="spellStart"/>
      <w:r>
        <w:t>paso</w:t>
      </w:r>
      <w:proofErr w:type="spellEnd"/>
      <w:r>
        <w:t xml:space="preserve"> de </w:t>
      </w:r>
      <w:proofErr w:type="spellStart"/>
      <w:r>
        <w:t>subscripción</w:t>
      </w:r>
      <w:proofErr w:type="spellEnd"/>
      <w:r>
        <w:t xml:space="preserve"> a data feeds</w:t>
      </w:r>
    </w:p>
    <w:p w14:paraId="132CD5A7" w14:textId="77777777" w:rsidR="00CC750F" w:rsidRDefault="00CC750F" w:rsidP="007F3D52">
      <w:pPr>
        <w:rPr>
          <w:lang w:val="es-ES_tradnl"/>
        </w:rPr>
      </w:pPr>
    </w:p>
    <w:p w14:paraId="0EC90B10" w14:textId="77777777" w:rsidR="00CC750F" w:rsidRDefault="00CC750F" w:rsidP="007F3D52">
      <w:pPr>
        <w:rPr>
          <w:lang w:val="es-ES_tradnl"/>
        </w:rPr>
      </w:pPr>
    </w:p>
    <w:p w14:paraId="57672A98" w14:textId="77777777" w:rsidR="000C0A6B" w:rsidRDefault="00CD4697" w:rsidP="000C0A6B">
      <w:pPr>
        <w:keepNext/>
      </w:pPr>
      <w:r>
        <w:rPr>
          <w:noProof/>
        </w:rPr>
        <w:drawing>
          <wp:inline distT="0" distB="0" distL="0" distR="0" wp14:anchorId="09710740" wp14:editId="709CE363">
            <wp:extent cx="5270500" cy="1783715"/>
            <wp:effectExtent l="0" t="0" r="127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5 at 12.12.20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2F5E" w14:textId="0970CE6E" w:rsidR="00CC750F" w:rsidRDefault="000C0A6B" w:rsidP="000C0A6B">
      <w:pPr>
        <w:pStyle w:val="Caption"/>
        <w:jc w:val="center"/>
        <w:rPr>
          <w:lang w:val="es-ES_tradnl"/>
        </w:rPr>
      </w:pPr>
      <w:proofErr w:type="spellStart"/>
      <w:r>
        <w:t>Figura</w:t>
      </w:r>
      <w:proofErr w:type="spellEnd"/>
      <w:r>
        <w:t xml:space="preserve"> </w:t>
      </w:r>
      <w:r w:rsidR="002868B1">
        <w:fldChar w:fldCharType="begin"/>
      </w:r>
      <w:r w:rsidR="002868B1">
        <w:instrText xml:space="preserve"> SEQ Figura \* ARABIC </w:instrText>
      </w:r>
      <w:r w:rsidR="002868B1">
        <w:fldChar w:fldCharType="separate"/>
      </w:r>
      <w:r>
        <w:rPr>
          <w:noProof/>
        </w:rPr>
        <w:t>13</w:t>
      </w:r>
      <w:r w:rsidR="002868B1">
        <w:rPr>
          <w:noProof/>
        </w:rPr>
        <w:fldChar w:fldCharType="end"/>
      </w:r>
      <w:r>
        <w:t xml:space="preserve"> </w:t>
      </w:r>
      <w:proofErr w:type="spellStart"/>
      <w:r>
        <w:t>Envio</w:t>
      </w:r>
      <w:proofErr w:type="spellEnd"/>
      <w:r>
        <w:t xml:space="preserve"> de </w:t>
      </w:r>
      <w:proofErr w:type="spellStart"/>
      <w:r>
        <w:t>información</w:t>
      </w:r>
      <w:proofErr w:type="spellEnd"/>
    </w:p>
    <w:p w14:paraId="6EB7F8B8" w14:textId="77777777" w:rsidR="00CC750F" w:rsidRDefault="00CC750F" w:rsidP="007F3D52">
      <w:pPr>
        <w:rPr>
          <w:lang w:val="es-ES_tradnl"/>
        </w:rPr>
      </w:pPr>
    </w:p>
    <w:p w14:paraId="23FEEC7A" w14:textId="342B834C" w:rsidR="009822BD" w:rsidRDefault="009822BD" w:rsidP="007F3D52">
      <w:pPr>
        <w:rPr>
          <w:lang w:val="es-ES_tradnl"/>
        </w:rPr>
      </w:pPr>
      <w:r>
        <w:rPr>
          <w:lang w:val="es-ES_tradnl"/>
        </w:rPr>
        <w:t xml:space="preserve">En el paso 21 </w:t>
      </w:r>
      <w:r w:rsidR="00EB2479">
        <w:rPr>
          <w:lang w:val="es-ES_tradnl"/>
        </w:rPr>
        <w:t xml:space="preserve">se crea un nuevo ticket en el RTIR, dicho ticket será asociado con información existente en TAXII App. Dicha información puede haber sido obtenida de uno de los otros </w:t>
      </w:r>
      <w:proofErr w:type="spellStart"/>
      <w:r w:rsidR="00EB2479">
        <w:rPr>
          <w:lang w:val="es-ES_tradnl"/>
        </w:rPr>
        <w:t>CSIRTs</w:t>
      </w:r>
      <w:proofErr w:type="spellEnd"/>
      <w:r w:rsidR="00EB2479">
        <w:rPr>
          <w:lang w:val="es-ES_tradnl"/>
        </w:rPr>
        <w:t xml:space="preserve"> o de ingresada por un analista localmente.</w:t>
      </w:r>
    </w:p>
    <w:p w14:paraId="7F1DC56B" w14:textId="77777777" w:rsidR="00EB2479" w:rsidRDefault="00EB2479" w:rsidP="007F3D52">
      <w:pPr>
        <w:rPr>
          <w:lang w:val="es-ES_tradnl"/>
        </w:rPr>
      </w:pPr>
    </w:p>
    <w:p w14:paraId="4DCC4201" w14:textId="5108C5A8" w:rsidR="00CD4697" w:rsidRDefault="00CD4697" w:rsidP="007F3D52">
      <w:pPr>
        <w:rPr>
          <w:lang w:val="es-ES_tradnl"/>
        </w:rPr>
      </w:pPr>
      <w:r>
        <w:rPr>
          <w:lang w:val="es-ES_tradnl"/>
        </w:rPr>
        <w:t xml:space="preserve">En la figura 14 se ve la asociación entre tickets del RTIR e información almacenada en </w:t>
      </w:r>
      <w:proofErr w:type="spellStart"/>
      <w:r>
        <w:rPr>
          <w:lang w:val="es-ES_tradnl"/>
        </w:rPr>
        <w:t>TAXIIApp</w:t>
      </w:r>
      <w:proofErr w:type="spellEnd"/>
      <w:r>
        <w:rPr>
          <w:lang w:val="es-ES_tradnl"/>
        </w:rPr>
        <w:t>.</w:t>
      </w:r>
    </w:p>
    <w:p w14:paraId="13DAEED3" w14:textId="77777777" w:rsidR="00CD4697" w:rsidRDefault="00CD4697" w:rsidP="007F3D52">
      <w:pPr>
        <w:rPr>
          <w:lang w:val="es-ES_tradnl"/>
        </w:rPr>
      </w:pPr>
    </w:p>
    <w:p w14:paraId="6A15882B" w14:textId="77777777" w:rsidR="000C0A6B" w:rsidRDefault="00CD4697" w:rsidP="000C0A6B">
      <w:pPr>
        <w:keepNext/>
      </w:pPr>
      <w:r>
        <w:rPr>
          <w:noProof/>
        </w:rPr>
        <w:drawing>
          <wp:inline distT="0" distB="0" distL="0" distR="0" wp14:anchorId="22E93577" wp14:editId="61E57CA6">
            <wp:extent cx="5270500" cy="2137410"/>
            <wp:effectExtent l="0" t="0" r="1270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8 at 12.27.48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8FED" w14:textId="3D29F641" w:rsidR="00CD4697" w:rsidRDefault="000C0A6B" w:rsidP="000C0A6B">
      <w:pPr>
        <w:pStyle w:val="Caption"/>
        <w:jc w:val="center"/>
        <w:rPr>
          <w:lang w:val="es-ES_tradnl"/>
        </w:rPr>
      </w:pPr>
      <w:proofErr w:type="spellStart"/>
      <w:r>
        <w:t>Figura</w:t>
      </w:r>
      <w:proofErr w:type="spellEnd"/>
      <w:r>
        <w:t xml:space="preserve"> </w:t>
      </w:r>
      <w:r w:rsidR="002868B1">
        <w:fldChar w:fldCharType="begin"/>
      </w:r>
      <w:r w:rsidR="002868B1">
        <w:instrText xml:space="preserve"> SEQ Figura \* ARABIC </w:instrText>
      </w:r>
      <w:r w:rsidR="002868B1">
        <w:fldChar w:fldCharType="separate"/>
      </w:r>
      <w:r>
        <w:rPr>
          <w:noProof/>
        </w:rPr>
        <w:t>14</w:t>
      </w:r>
      <w:r w:rsidR="002868B1">
        <w:rPr>
          <w:noProof/>
        </w:rPr>
        <w:fldChar w:fldCharType="end"/>
      </w:r>
      <w:r>
        <w:t xml:space="preserve"> - </w:t>
      </w:r>
      <w:proofErr w:type="spellStart"/>
      <w:r>
        <w:t>Asociación</w:t>
      </w:r>
      <w:proofErr w:type="spellEnd"/>
      <w:r>
        <w:t xml:space="preserve"> entre Tickets y Content blocks</w:t>
      </w:r>
    </w:p>
    <w:p w14:paraId="300CEFB7" w14:textId="77777777" w:rsidR="00CD4697" w:rsidRDefault="00CD4697" w:rsidP="007F3D52">
      <w:pPr>
        <w:rPr>
          <w:lang w:val="es-ES_tradnl"/>
        </w:rPr>
      </w:pPr>
    </w:p>
    <w:p w14:paraId="71CEAE98" w14:textId="77777777" w:rsidR="00CD4697" w:rsidRDefault="00CD4697" w:rsidP="007F3D52">
      <w:pPr>
        <w:rPr>
          <w:lang w:val="es-ES_tradnl"/>
        </w:rPr>
      </w:pPr>
    </w:p>
    <w:p w14:paraId="69D138A2" w14:textId="77777777" w:rsidR="000C0A6B" w:rsidRDefault="00CD4697" w:rsidP="000C0A6B">
      <w:pPr>
        <w:keepNext/>
      </w:pPr>
      <w:r>
        <w:rPr>
          <w:noProof/>
        </w:rPr>
        <w:drawing>
          <wp:inline distT="0" distB="0" distL="0" distR="0" wp14:anchorId="06E737F4" wp14:editId="23078038">
            <wp:extent cx="5270500" cy="1208405"/>
            <wp:effectExtent l="0" t="0" r="1270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08 at 12.30.17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D9DA" w14:textId="3AC1CE04" w:rsidR="00CD4697" w:rsidRDefault="000C0A6B" w:rsidP="000C0A6B">
      <w:pPr>
        <w:pStyle w:val="Caption"/>
        <w:jc w:val="center"/>
        <w:rPr>
          <w:lang w:val="es-ES_tradnl"/>
        </w:rPr>
      </w:pPr>
      <w:proofErr w:type="spellStart"/>
      <w:r>
        <w:t>Figura</w:t>
      </w:r>
      <w:proofErr w:type="spellEnd"/>
      <w:r>
        <w:t xml:space="preserve"> </w:t>
      </w:r>
      <w:r w:rsidR="002868B1">
        <w:fldChar w:fldCharType="begin"/>
      </w:r>
      <w:r w:rsidR="002868B1">
        <w:instrText xml:space="preserve"> SEQ Figura \* ARABIC </w:instrText>
      </w:r>
      <w:r w:rsidR="002868B1">
        <w:fldChar w:fldCharType="separate"/>
      </w:r>
      <w:r>
        <w:rPr>
          <w:noProof/>
        </w:rPr>
        <w:t>15</w:t>
      </w:r>
      <w:r w:rsidR="002868B1">
        <w:rPr>
          <w:noProof/>
        </w:rPr>
        <w:fldChar w:fldCharType="end"/>
      </w:r>
      <w:r>
        <w:t xml:space="preserve">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asociaciones</w:t>
      </w:r>
      <w:proofErr w:type="spellEnd"/>
      <w:r>
        <w:t xml:space="preserve"> </w:t>
      </w:r>
      <w:proofErr w:type="spellStart"/>
      <w:r>
        <w:t>existentes</w:t>
      </w:r>
      <w:proofErr w:type="spellEnd"/>
    </w:p>
    <w:p w14:paraId="62114919" w14:textId="77777777" w:rsidR="00CD4697" w:rsidRDefault="00CD4697" w:rsidP="007F3D52">
      <w:pPr>
        <w:rPr>
          <w:lang w:val="es-ES_tradnl"/>
        </w:rPr>
      </w:pPr>
    </w:p>
    <w:p w14:paraId="0458C3F8" w14:textId="4DDAC93A" w:rsidR="00EB2479" w:rsidRPr="008552C8" w:rsidRDefault="00EB2479" w:rsidP="007F3D52">
      <w:pPr>
        <w:rPr>
          <w:lang w:val="es-ES_tradnl"/>
        </w:rPr>
      </w:pPr>
      <w:r>
        <w:rPr>
          <w:lang w:val="es-ES_tradnl"/>
        </w:rPr>
        <w:t xml:space="preserve">Finalmente se invoca al </w:t>
      </w:r>
      <w:proofErr w:type="spellStart"/>
      <w:r>
        <w:rPr>
          <w:lang w:val="es-ES_tradnl"/>
        </w:rPr>
        <w:t>poll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service</w:t>
      </w:r>
      <w:proofErr w:type="spellEnd"/>
      <w:r>
        <w:rPr>
          <w:lang w:val="es-ES_tradnl"/>
        </w:rPr>
        <w:t xml:space="preserve"> de YETI para obtener información y luego se envía información a YETI utilizando su </w:t>
      </w:r>
      <w:proofErr w:type="spellStart"/>
      <w:r>
        <w:rPr>
          <w:lang w:val="es-ES_tradnl"/>
        </w:rPr>
        <w:t>inbox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service</w:t>
      </w:r>
      <w:proofErr w:type="spellEnd"/>
      <w:r>
        <w:rPr>
          <w:lang w:val="es-ES_tradnl"/>
        </w:rPr>
        <w:t>. Como se dijo anteriormente, YETI no tiene todos los servicios implementados y además no puede iniciar el intercambio de información. Como YETI  no implemen</w:t>
      </w:r>
      <w:r w:rsidR="004612C5">
        <w:rPr>
          <w:lang w:val="es-ES_tradnl"/>
        </w:rPr>
        <w:t>t</w:t>
      </w:r>
      <w:r>
        <w:rPr>
          <w:lang w:val="es-ES_tradnl"/>
        </w:rPr>
        <w:t xml:space="preserve">a el manejo de subscripciones u obtenciones de data </w:t>
      </w:r>
      <w:proofErr w:type="spellStart"/>
      <w:r>
        <w:rPr>
          <w:lang w:val="es-ES_tradnl"/>
        </w:rPr>
        <w:t>feeds</w:t>
      </w:r>
      <w:proofErr w:type="spellEnd"/>
      <w:r>
        <w:rPr>
          <w:lang w:val="es-ES_tradnl"/>
        </w:rPr>
        <w:t>, se ingreso previamente dicha información de YETI en el CSIRT 1.</w:t>
      </w:r>
    </w:p>
    <w:sectPr w:rsidR="00EB2479" w:rsidRPr="008552C8" w:rsidSect="00F959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ulio sarachaga" w:date="2014-09-07T16:25:00Z" w:initials="js">
    <w:p w14:paraId="413B3AAB" w14:textId="0A9A2294" w:rsidR="000100AC" w:rsidRDefault="000100AC">
      <w:pPr>
        <w:pStyle w:val="CommentText"/>
      </w:pPr>
      <w:r>
        <w:rPr>
          <w:rStyle w:val="CommentReference"/>
        </w:rPr>
        <w:annotationRef/>
      </w:r>
      <w:proofErr w:type="spellStart"/>
      <w:r>
        <w:t>Esto</w:t>
      </w:r>
      <w:proofErr w:type="spellEnd"/>
      <w:r>
        <w:t xml:space="preserve"> en </w:t>
      </w:r>
      <w:proofErr w:type="spellStart"/>
      <w:r>
        <w:t>realidad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a la parte de </w:t>
      </w:r>
      <w:proofErr w:type="spellStart"/>
      <w:r>
        <w:t>implementacion</w:t>
      </w:r>
      <w:proofErr w:type="spellEnd"/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05"/>
    <w:rsid w:val="0000159C"/>
    <w:rsid w:val="00006980"/>
    <w:rsid w:val="000100AC"/>
    <w:rsid w:val="00084FA7"/>
    <w:rsid w:val="000B6A97"/>
    <w:rsid w:val="000C0A6B"/>
    <w:rsid w:val="001676A9"/>
    <w:rsid w:val="0018480E"/>
    <w:rsid w:val="001D05FD"/>
    <w:rsid w:val="00265516"/>
    <w:rsid w:val="002868B1"/>
    <w:rsid w:val="002A5DE7"/>
    <w:rsid w:val="002D163B"/>
    <w:rsid w:val="003151C9"/>
    <w:rsid w:val="004612C5"/>
    <w:rsid w:val="00481BFE"/>
    <w:rsid w:val="00495A45"/>
    <w:rsid w:val="004E186D"/>
    <w:rsid w:val="00506B39"/>
    <w:rsid w:val="005344AC"/>
    <w:rsid w:val="005467BF"/>
    <w:rsid w:val="005C5E73"/>
    <w:rsid w:val="0067706D"/>
    <w:rsid w:val="006966CE"/>
    <w:rsid w:val="006E2BA9"/>
    <w:rsid w:val="006E56D6"/>
    <w:rsid w:val="00720B35"/>
    <w:rsid w:val="007A5D7A"/>
    <w:rsid w:val="007F3D52"/>
    <w:rsid w:val="00827663"/>
    <w:rsid w:val="008552C8"/>
    <w:rsid w:val="008C4B0E"/>
    <w:rsid w:val="008F0D66"/>
    <w:rsid w:val="0096509C"/>
    <w:rsid w:val="009822BD"/>
    <w:rsid w:val="009E0A50"/>
    <w:rsid w:val="00A54EB7"/>
    <w:rsid w:val="00A942B3"/>
    <w:rsid w:val="00AB14AD"/>
    <w:rsid w:val="00AB5BCF"/>
    <w:rsid w:val="00B05D88"/>
    <w:rsid w:val="00B50183"/>
    <w:rsid w:val="00B517B1"/>
    <w:rsid w:val="00B71056"/>
    <w:rsid w:val="00C30505"/>
    <w:rsid w:val="00CC750F"/>
    <w:rsid w:val="00CD4697"/>
    <w:rsid w:val="00CF575E"/>
    <w:rsid w:val="00D106FD"/>
    <w:rsid w:val="00E21485"/>
    <w:rsid w:val="00EA6B24"/>
    <w:rsid w:val="00EB2479"/>
    <w:rsid w:val="00F9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6968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5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4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6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63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D163B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E2B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84FA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4FA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67B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7B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7B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7B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7B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14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4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5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4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5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4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6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63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D163B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E2B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84FA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4FA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67B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7B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7B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7B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7B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B14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4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cybox.mitre.org/language/version2.1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omments" Target="comments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1119</Words>
  <Characters>6384</Characters>
  <Application>Microsoft Macintosh Word</Application>
  <DocSecurity>0</DocSecurity>
  <Lines>53</Lines>
  <Paragraphs>14</Paragraphs>
  <ScaleCrop>false</ScaleCrop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sarachaga</dc:creator>
  <cp:keywords/>
  <dc:description/>
  <cp:lastModifiedBy>julio sarachaga</cp:lastModifiedBy>
  <cp:revision>21</cp:revision>
  <dcterms:created xsi:type="dcterms:W3CDTF">2014-09-06T14:50:00Z</dcterms:created>
  <dcterms:modified xsi:type="dcterms:W3CDTF">2014-09-09T03:24:00Z</dcterms:modified>
</cp:coreProperties>
</file>