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2E5A88"/>
          <w:sz w:val="56"/>
          <w:szCs w:val="56"/>
        </w:rPr>
        <w:t xml:space="preserve">Especificación Funcional</w:t>
      </w:r>
    </w:p>
    <w:p>
      <w:pPr>
        <w:spacing w:after="200"/>
        <w:jc w:val="center"/>
      </w:pPr>
      <w:r>
        <w:rPr>
          <w:b/>
          <w:bCs/>
          <w:color w:val="333333"/>
          <w:sz w:val="36"/>
          <w:szCs w:val="36"/>
        </w:rPr>
        <w:t xml:space="preserve">Sistema de Liquidación de Sueldos y Cargas Sociales</w:t>
      </w:r>
    </w:p>
    <w:p>
      <w:pPr>
        <w:spacing w:after="80"/>
        <w:jc w:val="center"/>
      </w:pPr>
      <w:r>
        <w:rPr>
          <w:i/>
          <w:iCs/>
          <w:color w:val="555555"/>
          <w:sz w:val="24"/>
          <w:szCs w:val="24"/>
        </w:rPr>
        <w:t xml:space="preserve">Aplicación interna de estudio contable — República Argentina</w:t>
      </w:r>
    </w:p>
    <w:p>
      <w:pPr>
        <w:spacing w:before="1800"/>
        <w:jc w:val="center"/>
      </w:pPr>
      <w:r>
        <w:rPr>
          <w:color w:val="777777"/>
          <w:sz w:val="22"/>
          <w:szCs w:val="22"/>
        </w:rPr>
        <w:t xml:space="preserve">Versión 1.0 (borrador)</w:t>
      </w:r>
    </w:p>
    <w:p>
      <w:pPr>
        <w:jc w:val="center"/>
      </w:pPr>
      <w:r>
        <w:rPr>
          <w:color w:val="777777"/>
          <w:sz w:val="22"/>
          <w:szCs w:val="22"/>
        </w:rPr>
        <w:t xml:space="preserve">Documento de alcance — Junio 2026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Objetivo y alcance</w:t>
      </w:r>
    </w:p>
    <w:p>
      <w:pPr>
        <w:spacing w:after="120"/>
      </w:pPr>
      <w:r>
        <w:t xml:space="preserve">El presente documento define el alcance funcional de una aplicación de uso interno destinada a un estudio contable para liquidar sueldos, jornales y cargas sociales de múltiples empresas clientes sujetas a la legislación laboral y previsional argentina.</w:t>
      </w:r>
    </w:p>
    <w:p>
      <w:pPr>
        <w:pStyle w:val="Heading2"/>
      </w:pPr>
      <w:r>
        <w:t xml:space="preserve">1.1 Características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Dimensión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Usuarios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Personal del estudio (operadores de liquidación). Sin acceso de empresas clientes ni empleados.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Jurisdicción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República Argentina (LCT 20.744, normativa previsional y ARCA/ex-AFIP).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Multi-empresa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Sí. Cada empresa cliente con sus datos, CUIT, convenios y parámetros propios.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Multi-convenio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Sí. Soporte para varios CCT (Comercio 130/75, UOCRA, etc.) con escalas independientes.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Alcance de cálculo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Liquidación mensual, SAC, vacaciones, liquidaciones finales, Impuesto a las Ganancias 4ta cat.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Salidas requeridas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Recibo de sueldo (PDF), archivo de acreditación bancaria, F.931 / Libro de Sueldos Digital.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1.2 Fuera de alcance (versión 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Portal de autogestión para empleados o empresas.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Gestión de ausentismo con control de reloj / biométrico.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Módulo contable general (la app entrega asientos, no reemplaza el ERP contable).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Liquidación de regímenes especiales no incluidos en los convenios relevados (ej. Casas Particulares, Agrario) salvo definición posterior.</w:t>
      </w:r>
    </w:p>
    <w:p>
      <w:pPr>
        <w:pStyle w:val="Heading1"/>
      </w:pPr>
      <w:r>
        <w:t xml:space="preserve">2. Marco normativo a contemplar</w:t>
      </w:r>
    </w:p>
    <w:p>
      <w:pPr>
        <w:spacing w:after="120"/>
      </w:pPr>
      <w:r>
        <w:t xml:space="preserve">El motor de cálculo debe aplicar la normativa vigente al período liquidado. Dado que escalas, topes y alícuotas cambian varias veces al año, todos estos valores se administran mediante tablas paramétricas con vigencia por fecha (ver sección 5).</w:t>
      </w:r>
    </w:p>
    <w:p>
      <w:pPr>
        <w:pStyle w:val="Heading2"/>
      </w:pPr>
      <w:r>
        <w:t xml:space="preserve">2.1 Aportes del trabajador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960"/>
        <w:gridCol w:w="2700"/>
      </w:tblGrid>
      <w:tr>
        <w:trPr>
          <w:tblHeader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Alícuota / base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Norma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Jubilación (SIPA)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11% sobre remuneración con tope MOPRE/base máxima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Ley 24.241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Ley 19.032 (INSSJP-PAMI)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3% sobre remuneración con tope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Ley 19.032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Obra social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3% sobre remuneración con tope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Ley 23.660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Cuota sindical / solidaria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Según CCT (porcentaje y base variables)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CCT aplicable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2.2 Contribuciones patronales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Contribuciones unificadas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Alícuota según Dec. 814/01 y modif. (diferenciada por tipo y tamaño de empleador).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Detracción mínimo no imponible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Importe por empleado a detraer de la base de contribuciones, con vigencia y actualización periódica.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Obra social (contribución)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6% sobre remuneración con tope.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Alícuota fija + suma fija por trabajador, según contrato con la Aseguradora.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Seguro colectivo de vida obligatorio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Suma fija por trabajador (Dec. 1567/74).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2.3 Otros institutos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SAC (aguinaldo): liquidación semestral, proporcionalidad por ingreso/egreso y mejor remuneración del semestre (Ley 27.073).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Vacaciones: cálculo de días según antigüedad (art. 150 LCT) y valor del día de vacaciones.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Asignaciones familiares (SUAF): rangos de IGB y valores por zona, actualizados periódicamente.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Horas extra: 50% (días hábiles) y 100% (sábado después de las 13 hs, domingos y feriados).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Licencias, embargos, anticipos y descuentos varios.</w:t>
      </w:r>
    </w:p>
    <w:p>
      <w:pPr>
        <w:pStyle w:val="Heading2"/>
      </w:pPr>
      <w:r>
        <w:t xml:space="preserve">2.4 Impuesto a las Ganancias 4ta categoría</w:t>
      </w:r>
    </w:p>
    <w:p>
      <w:pPr>
        <w:spacing w:after="120"/>
      </w:pPr>
      <w:r>
        <w:t xml:space="preserve">Retención mensual con liquidación acumulada según RG 4003 y modificatorias: deducciones personales (mínimo no imponible, cónyuge, hijos), deducciones generales (cuota médico-asistencial, seguros, alquileres, etc.), escala del art. 94 de la ley, y liquidación anual / final (F.1357).</w:t>
      </w:r>
    </w:p>
    <w:p>
      <w:pPr>
        <w:pStyle w:val="Heading1"/>
      </w:pPr>
      <w:r>
        <w:t xml:space="preserve">3. Usuarios y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Permisos principales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Gestión de usuarios, parámetros globales, tablas normativas y cierre de períodos.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Liquidador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Carga de novedades, ejecución de liquidaciones, emisión de recibos y archivos.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Visualización de liquidaciones y reportes sin posibilidad de modificar.</w:t>
            </w:r>
          </w:p>
        </w:tc>
      </w:tr>
    </w:tbl>
    <w:p>
      <w:pPr>
        <w:pStyle w:val="Heading1"/>
      </w:pPr>
      <w:r>
        <w:t xml:space="preserve">4. Módulos funcionales</w:t>
      </w:r>
    </w:p>
    <w:p>
      <w:pPr>
        <w:pStyle w:val="Heading2"/>
      </w:pPr>
      <w:r>
        <w:t xml:space="preserve">4.1 Maestros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Empresas clientes: razón social, CUIT, domicilio, actividad, datos de ART, parámetros de Dec. 814/01.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Empleados: legajo, datos personales, CUIL, fecha de ingreso, categoría, convenio, modalidad de contratación, datos bancarios, cargas de familia.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Convenios colectivos (CCT): escalas de básicos por categoría, adicionales, cuotas sindicales, con vigencias.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Conceptos de liquidación: catálogo de haberes y descuentos parametrizables (ver sección 5).</w:t>
      </w:r>
    </w:p>
    <w:p>
      <w:pPr>
        <w:pStyle w:val="Heading2"/>
      </w:pPr>
      <w:r>
        <w:t xml:space="preserve">4.2 Novedades del período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Carga de variables del mes: días/horas trabajadas, horas extra, inasistencias, licencias, premios, adelantos, embargos.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Importación masiva (planilla) y carga individual.</w:t>
      </w:r>
    </w:p>
    <w:p>
      <w:pPr>
        <w:pStyle w:val="Heading2"/>
      </w:pPr>
      <w:r>
        <w:t xml:space="preserve">4.3 Proceso de liquidación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Selección de empresa y período.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Toma de novedades y parámetros vigentes a la fecha del período.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Ejecución del motor de cálculo por empleado.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Revisión y validación de resultados (preliquidación).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Confirmación y cierre del período (bloqueo de edición).</w:t>
      </w:r>
    </w:p>
    <w:p>
      <w:pPr>
        <w:pStyle w:val="Heading2"/>
      </w:pPr>
      <w:r>
        <w:t xml:space="preserve">4.4 Tipos de liquidación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Mensual / quincenal de haberes.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SAC (1er y 2do semestre).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Vacaciones.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Liquidación final (egreso): preaviso, integración mes de despido, SAC proporcional, vacaciones no gozadas, indemnizaciones.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Ajustes retroactivos por homologación de paritarias.</w:t>
      </w:r>
    </w:p>
    <w:p>
      <w:pPr>
        <w:pStyle w:val="Heading1"/>
      </w:pPr>
      <w:r>
        <w:t xml:space="preserve">5. Motor de cálculo y parametrización</w:t>
      </w:r>
    </w:p>
    <w:p>
      <w:pPr>
        <w:spacing w:after="120"/>
      </w:pPr>
      <w:r>
        <w:t xml:space="preserve">El motor es el núcleo del sistema. No debe tener valores fijos en código: toda escala, alícuota, tope o importe se administra en tablas con vigencia por fecha, de modo que un cambio normativo se resuelve con un alta de parámetro y no con una modificación del programa.</w:t>
      </w:r>
    </w:p>
    <w:p>
      <w:pPr>
        <w:pStyle w:val="Heading2"/>
      </w:pPr>
      <w:r>
        <w:t xml:space="preserve">5.1 Modelo de conceptos</w:t>
      </w:r>
    </w:p>
    <w:p>
      <w:pPr>
        <w:spacing w:after="120"/>
      </w:pPr>
      <w:r>
        <w:t xml:space="preserve">Cada concepto de liquidación se define con los siguientes atributos: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Código / nombre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Identificador y descripción que aparece en el recibo.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Tipo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Remunerativo, No remunerativo, Deducción, o Información.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Forma de cálculo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Fórmula, porcentaje sobre base, importe fijo, o cantidad × valor unitario.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de cálculo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Acumulador o conjunto de conceptos sobre los que opera.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Acumuladores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qué totales aporta (remunerativo, no remunerativo, base SIPA, base OS, base Ganancias, etc.).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Topes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Mínimos y máximos aplicables (ej. base imponible SIPA).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Vigencia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Fecha desde / hasta de aplicación del concepto o de sus valores.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5.2 Tablas paramétricas con vigencia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Escalas de convenio (básicos por categoría y adicionales).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Bases imponibles mínima y máxima (SIPA) y topes de aportes.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Alícuotas de aportes y contribuciones, y detracción del mínimo no imponible patronal.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Rangos y valores de asignaciones familiares (SUAF).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Deducciones y escala del Impuesto a las Ganancias 4ta categoría.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Valores de ART y seguro de vida por empresa.</w:t>
      </w:r>
    </w:p>
    <w:p>
      <w:pPr>
        <w:spacing w:after="120"/>
      </w:pPr>
      <w:r>
        <w:rPr>
          <w:i/>
          <w:iCs/>
        </w:rPr>
        <w:t xml:space="preserve">Toda consulta de parámetro recibe una fecha y devuelve el valor vigente a esa fecha, garantizando que las liquidaciones retroactivas usen los valores correctos del período.</w:t>
      </w:r>
    </w:p>
    <w:p>
      <w:pPr>
        <w:pStyle w:val="Heading1"/>
      </w:pPr>
      <w:r>
        <w:t xml:space="preserve">6. Salidas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60"/>
        <w:gridCol w:w="21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Salida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Recibo de sueldo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Original y duplicado conforme art. 140 LCT y Res. 41/2014 MTEySS.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PDF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Acreditación bancaria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Archivo de pago de haberes según especificación del banco.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TXT / lote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F.931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Declaración jurada de aportes y contribuciones (SICOSS).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Archivo importable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Libro de Sueldos Digital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Datos para el LSD de ARCA.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Archivo importable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Reportes internos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Costo laboral por empresa, provisión SAC y vacaciones, neto por empleado.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PDF / planilla</w:t>
            </w:r>
          </w:p>
        </w:tc>
      </w:tr>
    </w:tbl>
    <w:p>
      <w:pPr>
        <w:pStyle w:val="Heading1"/>
      </w:pPr>
      <w:r>
        <w:t xml:space="preserve">7. Arquitectura técnica propuesta</w:t>
      </w:r>
    </w:p>
    <w:p>
      <w:pPr>
        <w:spacing w:after="120"/>
      </w:pPr>
      <w:r>
        <w:t xml:space="preserve">Por tratarse de una herramienta interna del estudio, se propone una arquitectura simple, robusta y de bajo mantenimiento: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60"/>
        <w:gridCol w:w="390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Tecnología propuesta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Integridad transaccional y soporte de históricos con vigencias.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/ lógica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+ Django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ABM de parámetros casi inmediato vía admin; ecosistema maduro.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Motor de cálculo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Módulo de reglas propio sobre el backend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Conceptos y fórmulas parametrizables, testeable de forma aislada.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Interfaz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Django admin inicial; React a futuro si se requiere UI a medida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Acelera el arranque; evoluciona según necesidad.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Generación de PDF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Librería de plantillas a PDF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Recibos con formato legal.</w:t>
            </w:r>
          </w:p>
        </w:tc>
      </w:tr>
    </w:tbl>
    <w:p>
      <w:pPr>
        <w:spacing w:after="120"/>
      </w:pPr>
      <w:r>
        <w:rPr>
          <w:i/>
          <w:iCs/>
        </w:rPr>
        <w:t xml:space="preserve">Esta es una recomendación inicial; la decisión final de stack puede ajustarse según las preferencias del equipo de desarrollo.</w:t>
      </w:r>
    </w:p>
    <w:p>
      <w:pPr>
        <w:pStyle w:val="Heading1"/>
      </w:pPr>
      <w:r>
        <w:t xml:space="preserve">8. Próximos pasos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Validar y aprobar este documento de alcance.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Relevar en detalle los convenios concretos a soportar en la v1 (categorías, adicionales, cuotas).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Diseñar el modelo de datos (entidades y relaciones).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Prototipar el motor de conceptos con un caso real (ej. empleado de Comercio).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Definir plantilla del recibo y formatos de F.931 / banco.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Planificar iteraciones de desarrollo y pruebas con liquidaciones reales comparadas contra el método actual.</w:t>
      </w:r>
    </w:p>
    <w:p>
      <w:pPr>
        <w:spacing w:after="80"/>
      </w:pPr>
      <w:r>
        <w:t xml:space="preserve"/>
      </w:r>
    </w:p>
    <w:p>
      <w:pPr>
        <w:pBdr>
          <w:top w:val="single" w:color="2E5A88" w:sz="6" w:space="6"/>
        </w:pBdr>
        <w:spacing w:before="200"/>
      </w:pPr>
      <w:r>
        <w:rPr>
          <w:i/>
          <w:iCs/>
          <w:color w:val="777777"/>
          <w:sz w:val="18"/>
          <w:szCs w:val="18"/>
        </w:rPr>
        <w:t xml:space="preserve">Documento de trabajo sujeto a revisión. Los valores normativos citados son de referencia y deben confirmarse contra la normativa vigente al momento de la implementación.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Página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de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999999"/>
        <w:sz w:val="16"/>
        <w:szCs w:val="16"/>
      </w:rPr>
      <w:t xml:space="preserve">Especificación Funcional — Liquidación de Sueldos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E5A8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333333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2026-06-18T15:36:44.399Z</dcterms:created>
  <dcterms:modified xsi:type="dcterms:W3CDTF">2026-06-18T15:36:44.399Z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