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0F6E66"/>
          <w:sz w:val="28"/>
        </w:rPr>
        <w:t>SICIMED – Policlínico San Rafael</w:t>
      </w: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22"/>
        </w:rPr>
        <w:t>Sistema Web Distribuido para la Gestión de Citas Médicas</w:t>
      </w:r>
    </w:p>
    <w:p>
      <w:pPr>
        <w:spacing w:after="80" w:before="240" w:line="276" w:lineRule="auto"/>
        <w:jc w:val="center"/>
      </w:pPr>
      <w:r>
        <w:rPr>
          <w:rFonts w:ascii="Calibri" w:hAnsi="Calibri" w:eastAsia="Calibri"/>
          <w:b/>
          <w:i w:val="0"/>
          <w:color w:val="0F6E66"/>
          <w:sz w:val="32"/>
        </w:rPr>
        <w:t>CAPÍTULO 4</w:t>
      </w:r>
    </w:p>
    <w:p>
      <w:pPr>
        <w:spacing w:after="120" w:before="0" w:line="276" w:lineRule="auto"/>
        <w:jc w:val="center"/>
      </w:pPr>
      <w:r>
        <w:rPr>
          <w:rFonts w:ascii="Calibri" w:hAnsi="Calibri" w:eastAsia="Calibri"/>
          <w:b w:val="0"/>
          <w:i w:val="0"/>
          <w:sz w:val="24"/>
        </w:rPr>
        <w:t>Diseño de arquitectura y evaluación de alternativas</w:t>
      </w:r>
    </w:p>
    <w:p>
      <w:pPr>
        <w:spacing w:after="320" w:before="0" w:line="276" w:lineRule="auto"/>
        <w:jc w:val="center"/>
      </w:pPr>
      <w:r>
        <w:rPr>
          <w:rFonts w:ascii="Calibri" w:hAnsi="Calibri" w:eastAsia="Calibri"/>
          <w:b w:val="0"/>
          <w:i/>
          <w:color w:val="888888"/>
          <w:sz w:val="18"/>
        </w:rPr>
        <w:t>Texto listo para copiar al informe · tono de desarrollo del caso</w:t>
      </w:r>
    </w:p>
    <w:p>
      <w:pPr>
        <w:spacing w:after="160" w:before="12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4.1. Descripción de la arquitectura propuesta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Para el Policlínico San Rafael planteamos SICIMED en tres capas, bien separadas, para que recepción, médicos y admin usen el mismo sistema sin mezclar la interfaz con la base de datos.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Capa de presentación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Aplicación web en Angular (SPA) con Bootstrap 5.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Ahí están el login, el panel, las citas, la agenda del médico y la configuración.</w:t>
      </w:r>
    </w:p>
    <w:p>
      <w:pPr>
        <w:spacing w:after="80" w:before="120" w:line="276" w:lineRule="auto"/>
      </w:pPr>
      <w:r>
        <w:rPr>
          <w:rFonts w:ascii="Calibri" w:hAnsi="Calibri" w:eastAsia="Calibri"/>
          <w:b/>
          <w:i w:val="0"/>
          <w:sz w:val="22"/>
        </w:rPr>
        <w:t>Capa de negocio / API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Backend en Java con Jakarta Servlets 6, empaquetado en WAR y desplegado en Tomcat.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Los Servlets exponen rutas /api/... en JSON y pasan el trabajo a Services (reglas de negocio).</w:t>
      </w:r>
    </w:p>
    <w:p>
      <w:pPr>
        <w:spacing w:after="80" w:before="120" w:line="276" w:lineRule="auto"/>
      </w:pPr>
      <w:r>
        <w:rPr>
          <w:rFonts w:ascii="Calibri" w:hAnsi="Calibri" w:eastAsia="Calibri"/>
          <w:b/>
          <w:i w:val="0"/>
          <w:sz w:val="22"/>
        </w:rPr>
        <w:t>Capa de persistencia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SQL Server con acceso JDBC dentro de DAOs.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El Servlet no ejecuta SQL; solo recibe la petición y responde.</w:t>
      </w:r>
    </w:p>
    <w:p>
      <w:pPr>
        <w:spacing w:after="80" w:before="160" w:line="276" w:lineRule="auto"/>
      </w:pPr>
      <w:r>
        <w:rPr>
          <w:rFonts w:ascii="Calibri" w:hAnsi="Calibri" w:eastAsia="Calibri"/>
          <w:b w:val="0"/>
          <w:i w:val="0"/>
          <w:sz w:val="22"/>
        </w:rPr>
        <w:t>Flujo normal de una operación (por ejemplo agendar cita):</w:t>
      </w:r>
    </w:p>
    <w:p>
      <w:pPr>
        <w:spacing w:after="200" w:before="0" w:line="276" w:lineRule="auto"/>
        <w:jc w:val="center"/>
      </w:pPr>
      <w:r>
        <w:rPr>
          <w:rFonts w:ascii="Calibri" w:hAnsi="Calibri" w:eastAsia="Calibri"/>
          <w:b/>
          <w:i w:val="0"/>
          <w:color w:val="0F6E66"/>
          <w:sz w:val="22"/>
        </w:rPr>
        <w:t>Angular → HttpClient (JSON) → /api/... → Servlet → Service → DAO (JDBC) → SQL Server → respuesta JSON al cliente.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31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1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Figura 4.1. Arquitectura en tres capas de SICIMED (presentación, negocio y persistencia).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99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Figura 4.3. Diagrama de arquitectura de software de SICIMED.</w:t>
      </w:r>
    </w:p>
    <w:p>
      <w:pPr>
        <w:spacing w:after="160" w:before="20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4.2. Comparación de alternativas: Servlets vs Spring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Para el backend del policlínico evaluamos dos caminos dentro del entorno Java web.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Alternativa A – Jakarta Servlets 6 (WAR + Tomcat)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Más control del ciclo HTTP (request/response).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Encaja con una API REST armada a mano (/api/citas, /api/usuarios, etc.).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Obliga a organizar bien Service y DAO, porque el framework no esconde tanto.</w:t>
      </w:r>
    </w:p>
    <w:p>
      <w:pPr>
        <w:spacing w:after="80" w:before="120" w:line="276" w:lineRule="auto"/>
      </w:pPr>
      <w:r>
        <w:rPr>
          <w:rFonts w:ascii="Calibri" w:hAnsi="Calibri" w:eastAsia="Calibri"/>
          <w:b/>
          <w:i w:val="0"/>
          <w:sz w:val="22"/>
        </w:rPr>
        <w:t>Alternativa B – Spring MVC / Spring Boot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Menos código repetido (inyección, mapeo, configuración).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Sube más rápido un API, pero mete otra curva y otra forma de desplegar.</w:t>
      </w:r>
    </w:p>
    <w:p>
      <w:pPr>
        <w:spacing w:after="120" w:before="200" w:line="276" w:lineRule="auto"/>
      </w:pPr>
      <w:r>
        <w:rPr>
          <w:rFonts w:ascii="Calibri" w:hAnsi="Calibri" w:eastAsia="Calibri"/>
          <w:b/>
          <w:i w:val="0"/>
          <w:color w:val="0F6E66"/>
          <w:sz w:val="24"/>
        </w:rPr>
        <w:t>4.2.1. Ponderación Servlets vs Spring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Cada criterio se califica de 1 a 5. Puntaje = (peso × nota) /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Peso (%)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Servlets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Spring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Puntaje Servlets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Puntaje Spring</w:t>
            </w:r>
          </w:p>
        </w:tc>
      </w:tr>
      <w:tr>
        <w:tc>
          <w:tcPr>
            <w:tcW w:type="dxa" w:w="160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Alineación con WAR / Tomcat del proyecto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1.25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0.75</w:t>
            </w:r>
          </w:p>
        </w:tc>
      </w:tr>
      <w:tr>
        <w:tc>
          <w:tcPr>
            <w:tcW w:type="dxa" w:w="1605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Control de la API REST y del ciclo HTTP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0.80</w:t>
            </w:r>
          </w:p>
        </w:tc>
      </w:tr>
      <w:tr>
        <w:tc>
          <w:tcPr>
            <w:tcW w:type="dxa" w:w="160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Facilidad para aplicar Servlet → Service → DAO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0.60</w:t>
            </w:r>
          </w:p>
        </w:tc>
      </w:tr>
      <w:tr>
        <w:tc>
          <w:tcPr>
            <w:tcW w:type="dxa" w:w="1605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Curva de aprendizaje del equipo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0.60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0.30</w:t>
            </w:r>
          </w:p>
        </w:tc>
      </w:tr>
      <w:tr>
        <w:tc>
          <w:tcPr>
            <w:tcW w:type="dxa" w:w="160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Menos dependencia de framework pesado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0.50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0.20</w:t>
            </w:r>
          </w:p>
        </w:tc>
      </w:tr>
      <w:tr>
        <w:tc>
          <w:tcPr>
            <w:tcW w:type="dxa" w:w="1605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Velocidad para levantar endpoints con poco código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0.30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0.50</w:t>
            </w:r>
          </w:p>
        </w:tc>
      </w:tr>
      <w:tr>
        <w:tc>
          <w:tcPr>
            <w:tcW w:type="dxa" w:w="1605"/>
            <w:shd w:fill="D1FAE5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Total</w:t>
            </w:r>
          </w:p>
        </w:tc>
        <w:tc>
          <w:tcPr>
            <w:tcW w:type="dxa" w:w="1605"/>
            <w:shd w:fill="D1FAE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100</w:t>
            </w:r>
          </w:p>
        </w:tc>
        <w:tc>
          <w:tcPr>
            <w:tcW w:type="dxa" w:w="1605"/>
            <w:shd w:fill="D1FAE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—</w:t>
            </w:r>
          </w:p>
        </w:tc>
        <w:tc>
          <w:tcPr>
            <w:tcW w:type="dxa" w:w="1605"/>
            <w:shd w:fill="D1FAE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—</w:t>
            </w:r>
          </w:p>
        </w:tc>
        <w:tc>
          <w:tcPr>
            <w:tcW w:type="dxa" w:w="1605"/>
            <w:shd w:fill="D1FAE5" w:val="clear"/>
            <w:shd w:fill="A7F3D0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4.65</w:t>
            </w:r>
          </w:p>
        </w:tc>
        <w:tc>
          <w:tcPr>
            <w:tcW w:type="dxa" w:w="1605"/>
            <w:shd w:fill="D1FAE5" w:val="clear"/>
            <w:shd w:fill="FECAC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3.15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sz w:val="22"/>
        </w:rPr>
        <w:t>Decisión: nos quedamos con Servlets + Tomcat WAR (4.65 vs 3.15).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Spring puntúa mejor en velocidad de desarrollo, pero Servlets encaja mejor con el despliegue WAR/Tomcat, el control del API y la separación en capas que necesita SICIMED. El frontend igual consume JSON; si después se migrara a Spring, el contrato de la API se podría mantener en gran parte.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4.3. Estrategia de persistencia: JDBC/DAO vs JPA/Hibernate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Para guardar sedes, médicos, citas y recetas del Policlínico San Rafael comparamos dos formas de hablar con SQL Server.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Alternativa A – JDBC + DAO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Se escriben las consultas SQL en una capa DAO. El Service pide “guardar cita” o “listar disponibles” y el DAO ejecuta el SQL parametrizado. Así vemos claro cómo se valida el conflicto de horario y cómo se leen fechas y horas.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Alternativa B – JPA / Hibernate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Se mapean entidades y el ORM arma gran parte del SQL. Hay menos código repetido, pero suma configuración y a veces cuesta ajustar detalles finos de SQL Server.</w:t>
      </w:r>
    </w:p>
    <w:p>
      <w:pPr>
        <w:spacing w:after="120" w:before="80" w:line="276" w:lineRule="auto"/>
      </w:pPr>
      <w:r>
        <w:rPr>
          <w:rFonts w:ascii="Calibri" w:hAnsi="Calibri" w:eastAsia="Calibri"/>
          <w:b/>
          <w:i w:val="0"/>
          <w:color w:val="0F6E66"/>
          <w:sz w:val="24"/>
        </w:rPr>
        <w:t>4.3.1. Ponderación JDBC/DAO vs JPA/Hibernate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Misma escala (1 a 5). Puntaje = (peso × nota) /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Peso (%)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JDBC + DAO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JPA / Hibernate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Puntaje JDBC</w:t>
            </w:r>
          </w:p>
        </w:tc>
        <w:tc>
          <w:tcPr>
            <w:tcW w:type="dxa" w:w="1605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Puntaje JPA</w:t>
            </w:r>
          </w:p>
        </w:tc>
      </w:tr>
      <w:tr>
        <w:tc>
          <w:tcPr>
            <w:tcW w:type="dxa" w:w="160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Control del SQL (citas, disponibilidad, conflictos)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1.25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0.75</w:t>
            </w:r>
          </w:p>
        </w:tc>
      </w:tr>
      <w:tr>
        <w:tc>
          <w:tcPr>
            <w:tcW w:type="dxa" w:w="1605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Encaje con SQL Server Express del policlínico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0.80</w:t>
            </w:r>
          </w:p>
        </w:tc>
      </w:tr>
      <w:tr>
        <w:tc>
          <w:tcPr>
            <w:tcW w:type="dxa" w:w="160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Simplicidad junto a Servlets (sin ORM extra)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0.40</w:t>
            </w:r>
          </w:p>
        </w:tc>
      </w:tr>
      <w:tr>
        <w:tc>
          <w:tcPr>
            <w:tcW w:type="dxa" w:w="1605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Mantenimiento de consultas críticas (TIME/DATETIME, 409)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0.75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0.45</w:t>
            </w:r>
          </w:p>
        </w:tc>
      </w:tr>
      <w:tr>
        <w:tc>
          <w:tcPr>
            <w:tcW w:type="dxa" w:w="160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Productividad / menos código repetido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0.20</w:t>
            </w:r>
          </w:p>
        </w:tc>
        <w:tc>
          <w:tcPr>
            <w:tcW w:type="dxa" w:w="160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0.50</w:t>
            </w:r>
          </w:p>
        </w:tc>
      </w:tr>
      <w:tr>
        <w:tc>
          <w:tcPr>
            <w:tcW w:type="dxa" w:w="1605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Portabilidad a otro motor de BD a futuro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0.30</w:t>
            </w:r>
          </w:p>
        </w:tc>
        <w:tc>
          <w:tcPr>
            <w:tcW w:type="dxa" w:w="1605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0.50</w:t>
            </w:r>
          </w:p>
        </w:tc>
      </w:tr>
      <w:tr>
        <w:tc>
          <w:tcPr>
            <w:tcW w:type="dxa" w:w="1605"/>
            <w:shd w:fill="D1FAE5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Total</w:t>
            </w:r>
          </w:p>
        </w:tc>
        <w:tc>
          <w:tcPr>
            <w:tcW w:type="dxa" w:w="1605"/>
            <w:shd w:fill="D1FAE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100</w:t>
            </w:r>
          </w:p>
        </w:tc>
        <w:tc>
          <w:tcPr>
            <w:tcW w:type="dxa" w:w="1605"/>
            <w:shd w:fill="D1FAE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—</w:t>
            </w:r>
          </w:p>
        </w:tc>
        <w:tc>
          <w:tcPr>
            <w:tcW w:type="dxa" w:w="1605"/>
            <w:shd w:fill="D1FAE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—</w:t>
            </w:r>
          </w:p>
        </w:tc>
        <w:tc>
          <w:tcPr>
            <w:tcW w:type="dxa" w:w="1605"/>
            <w:shd w:fill="D1FAE5" w:val="clear"/>
            <w:shd w:fill="A7F3D0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4.50</w:t>
            </w:r>
          </w:p>
        </w:tc>
        <w:tc>
          <w:tcPr>
            <w:tcW w:type="dxa" w:w="1605"/>
            <w:shd w:fill="D1FAE5" w:val="clear"/>
            <w:shd w:fill="FECAC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3.40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sz w:val="22"/>
        </w:rPr>
        <w:t>Decisión: nos quedamos con JDBC y capa DAO (4.50 vs 3.40).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JPA puntúa mejor en productividad y portabilidad, pero para el agendamiento del policlínico necesitamos controlar el SQL (sobre todo la disponibilidad y que no se duplique un horario). Con DAO mantenemos: Servlet → Service → DAO → SQL Server.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4.4. Diseño de la comunicación frontend–backend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Angular es el cliente: después del login guarda el token y, en las llamadas, envía el header Authorization. Los servicios de Angular (HttpClient) consumen endpoints REST del WAR.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sz w:val="22"/>
        </w:rPr>
        <w:t>Ejemplos de lo que viaja por la API: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Login / registro de paciente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Listar y crear citas, disponibilidad, cancelar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Agenda médica, diagnóstico y receta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Catálogos: sedes, especialidades, médicos, usuarios, medicamentos</w:t>
      </w:r>
    </w:p>
    <w:p>
      <w:pPr>
        <w:spacing w:after="200" w:before="120" w:line="276" w:lineRule="auto"/>
      </w:pPr>
      <w:r>
        <w:rPr>
          <w:rFonts w:ascii="Calibri" w:hAnsi="Calibri" w:eastAsia="Calibri"/>
          <w:b w:val="0"/>
          <w:i w:val="0"/>
          <w:sz w:val="22"/>
        </w:rPr>
        <w:t>Para que el navegador pueda llamar al API cuando front y back están en orígenes distintos, el backend incluye filtro CORS. Los errores se muestran en pantalla: 400 (datos incompletos), 401/403 (sesión o rol), 409 (horario ocupado), con mensajes en español para recepción y pacientes.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4321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2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Figura 4.4. Comunicación Frontend – API REST – JDBC – SQL Server.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854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5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Figura 4.2. Flujo de una petición en el servidor (Servlet y capa de servicio).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4.5. Justificación técnica de las decisiones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Tres capas: recepción y médicos trabajan en pantallas simples; la lógica de “no duplicar horario” y los permisos viven en el servidor.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Servlets: API REST directa sobre Tomcat, suficiente para citas y catálogos del policlínico.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Services: validaciones y reglas (fecha no pasada, conflicto 409, roles) en un solo lugar.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DAO/JDBC: control del SQL sobre SQL Server Express.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Angular SPA: la UI no se recarga entera al filtrar citas o cambiar de sede/especialidad.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Token + roles: paciente, recepción, médico y admin ven solo lo suyo.</w:t>
      </w:r>
    </w:p>
    <w:p>
      <w:pPr>
        <w:spacing w:after="200" w:before="160" w:line="276" w:lineRule="auto"/>
      </w:pPr>
      <w:r>
        <w:rPr>
          <w:rFonts w:ascii="Calibri" w:hAnsi="Calibri" w:eastAsia="Calibri"/>
          <w:b w:val="0"/>
          <w:i w:val="0"/>
          <w:sz w:val="22"/>
        </w:rPr>
        <w:t>En corto: elegimos lo que mejor separa pantallas, reglas y base de datos para un policlínico con varias sedes y roles distintos.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4.6. Herramientas y librerías a utilizar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4816"/>
            <w:shd w:fill="0F6E6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Herramienta / librería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Backend</w:t>
            </w:r>
          </w:p>
        </w:tc>
        <w:tc>
          <w:tcPr>
            <w:tcW w:type="dxa" w:w="481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JDK 17, Maven, Apache Tomcat 10, Jakarta Servlets 6</w:t>
            </w:r>
          </w:p>
        </w:tc>
      </w:tr>
      <w:tr>
        <w:tc>
          <w:tcPr>
            <w:tcW w:type="dxa" w:w="4816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Utilidades API</w:t>
            </w:r>
          </w:p>
        </w:tc>
        <w:tc>
          <w:tcPr>
            <w:tcW w:type="dxa" w:w="4816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JsonUtil (JSON), CorsFilter, AuthFilter, TokenStore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Base de datos</w:t>
            </w:r>
          </w:p>
        </w:tc>
        <w:tc>
          <w:tcPr>
            <w:tcW w:type="dxa" w:w="481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SQL Server Express, driver JDBC, scripts de esquema/seed</w:t>
            </w:r>
          </w:p>
        </w:tc>
      </w:tr>
      <w:tr>
        <w:tc>
          <w:tcPr>
            <w:tcW w:type="dxa" w:w="4816"/>
            <w:shd w:fill="F3F4F6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Frontend</w:t>
            </w:r>
          </w:p>
        </w:tc>
        <w:tc>
          <w:tcPr>
            <w:tcW w:type="dxa" w:w="4816"/>
            <w:shd w:fill="F3F4F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Angular (standalone), Bootstrap 5, HttpClient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Pruebas de API</w:t>
            </w:r>
          </w:p>
        </w:tc>
        <w:tc>
          <w:tcPr>
            <w:tcW w:type="dxa" w:w="481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Postman (colección SICIMED)</w:t>
            </w:r>
          </w:p>
        </w:tc>
      </w:tr>
      <w:tr>
        <w:tc>
          <w:tcPr>
            <w:tcW w:type="dxa" w:w="4816"/>
            <w:shd w:fill="D1FAE5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Control de versiones</w:t>
            </w:r>
          </w:p>
        </w:tc>
        <w:tc>
          <w:tcPr>
            <w:tcW w:type="dxa" w:w="4816"/>
            <w:shd w:fill="D1FAE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Git / GitHub (repositorio del proyecto SICIMED)</w:t>
            </w:r>
          </w:p>
        </w:tc>
      </w:tr>
    </w:tbl>
    <w:p/>
    <w:p>
      <w:pPr>
        <w:spacing w:after="160" w:before="16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4.7. Diagrama de arquitectura del sistema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La visión general del sistema se muestra en las Figuras 4.1 y 4.3 (capas y componentes). El detalle de cómo Angular consume el API y cómo el servidor llega a SQL Server está en la Figura 4.4. La Figura 4.2 complementa el recorrido interno de una petición en el backend.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Con esos diagramas se entiende el camino completo: usuario en el navegador → Angular → REST → Servlet → Service → DAO → SQL Server → respuesta JSON.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i w:val="0"/>
          <w:color w:val="0F6E66"/>
          <w:sz w:val="26"/>
        </w:rPr>
        <w:t>4.8. Análisis de viabilidad técnica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Dentro de las condiciones reales del proyecto (stack web Java + Angular, SQL Server, sin presupuesto para herramientas de pago), la arquitectura es viable: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Cubre lo que el policlínico necesita ahora: login por rol, citas, agenda, receta y catálogos.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Se puede levantar en un servidor chico (Tomcat + SQL Express) sin comprar un framework comercial.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Los riesgos técnicos (CORS entre front y back, choques de horario, tipos de fecha/hora en SQL Server, no mezclar SQL en el Servlet) tienen solución con filtros, Services y DAOs, sin cambiar el modelo de tres capas.</w:t>
      </w:r>
    </w:p>
    <w:p>
      <w:pPr>
        <w:spacing w:after="280" w:before="160" w:line="276" w:lineRule="auto"/>
      </w:pPr>
      <w:r>
        <w:rPr>
          <w:rFonts w:ascii="Calibri" w:hAnsi="Calibri" w:eastAsia="Calibri"/>
          <w:b w:val="0"/>
          <w:i w:val="0"/>
          <w:sz w:val="22"/>
        </w:rPr>
        <w:t>Por eso consideramos que SICIMED, con esta arquitectura, es una base sólida para operar el agendamiento del Policlínico San Rafael y crecer después (más sedes o más reportes) sin rehacer todo.</w:t>
      </w:r>
    </w:p>
    <w:p>
      <w:pPr>
        <w:spacing w:after="160" w:before="0" w:line="276" w:lineRule="auto"/>
        <w:jc w:val="center"/>
      </w:pPr>
      <w:r>
        <w:rPr>
          <w:rFonts w:ascii="Calibri" w:hAnsi="Calibri" w:eastAsia="Calibri"/>
          <w:b w:val="0"/>
          <w:i/>
          <w:color w:val="888888"/>
          <w:sz w:val="20"/>
        </w:rPr>
        <w:t>— Fin del Capítulo 4 —</w:t>
      </w:r>
    </w:p>
    <w:p>
      <w:pPr>
        <w:spacing w:after="160" w:before="0" w:line="276" w:lineRule="auto"/>
        <w:jc w:val="center"/>
      </w:pPr>
      <w:r>
        <w:rPr>
          <w:rFonts w:ascii="Calibri" w:hAnsi="Calibri" w:eastAsia="Calibri"/>
          <w:b w:val="0"/>
          <w:i/>
          <w:color w:val="888888"/>
          <w:sz w:val="18"/>
        </w:rPr>
        <w:t>Copia este contenido al informe principal. Las capturas de pantalla del sistema van en el Capítulo 6 (evidencias), no aquí.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