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EACAC7" w14:textId="77777777" w:rsidR="001A53DF" w:rsidRDefault="00000000">
      <w:pPr>
        <w:pStyle w:val="Heading1"/>
        <w:jc w:val="center"/>
        <w:rPr>
          <w:rFonts w:ascii="Google Sans" w:eastAsia="Google Sans" w:hAnsi="Google Sans" w:cs="Google Sans"/>
        </w:rPr>
      </w:pPr>
      <w:bookmarkStart w:id="0" w:name="_evidx83t54sc" w:colFirst="0" w:colLast="0"/>
      <w:bookmarkEnd w:id="0"/>
      <w:proofErr w:type="spellStart"/>
      <w:r>
        <w:rPr>
          <w:rFonts w:ascii="Google Sans" w:eastAsia="Google Sans" w:hAnsi="Google Sans" w:cs="Google Sans"/>
        </w:rPr>
        <w:t>Botium</w:t>
      </w:r>
      <w:proofErr w:type="spellEnd"/>
      <w:r>
        <w:rPr>
          <w:rFonts w:ascii="Google Sans" w:eastAsia="Google Sans" w:hAnsi="Google Sans" w:cs="Google Sans"/>
        </w:rPr>
        <w:t xml:space="preserve"> Toys: Scope, goals, and risk assessment report</w:t>
      </w:r>
    </w:p>
    <w:p w14:paraId="7771E811" w14:textId="77777777" w:rsidR="001A53DF" w:rsidRDefault="00000000">
      <w:pPr>
        <w:rPr>
          <w:rFonts w:ascii="Google Sans" w:eastAsia="Google Sans" w:hAnsi="Google Sans" w:cs="Google Sans"/>
          <w:color w:val="CC0000"/>
          <w:sz w:val="24"/>
          <w:szCs w:val="24"/>
        </w:rPr>
      </w:pPr>
      <w:r>
        <w:rPr>
          <w:rFonts w:ascii="Google Sans" w:eastAsia="Google Sans" w:hAnsi="Google Sans" w:cs="Google Sans"/>
          <w:noProof/>
          <w:color w:val="CC0000"/>
          <w:sz w:val="24"/>
          <w:szCs w:val="24"/>
        </w:rPr>
        <mc:AlternateContent>
          <mc:Choice Requires="wpg">
            <w:drawing>
              <wp:inline distT="114300" distB="114300" distL="114300" distR="114300" wp14:anchorId="294C6346" wp14:editId="72894460">
                <wp:extent cx="5943600" cy="14118"/>
                <wp:effectExtent l="0" t="0" r="0" b="0"/>
                <wp:docPr id="1" name="Straight Arrow Connector 1"/>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p>
    <w:p w14:paraId="67E0C1B8" w14:textId="77777777" w:rsidR="001A53DF" w:rsidRDefault="00000000">
      <w:pPr>
        <w:pStyle w:val="Heading2"/>
        <w:rPr>
          <w:rFonts w:ascii="Google Sans" w:eastAsia="Google Sans" w:hAnsi="Google Sans" w:cs="Google Sans"/>
          <w:b/>
          <w:color w:val="000000"/>
          <w:sz w:val="24"/>
          <w:szCs w:val="24"/>
        </w:rPr>
      </w:pPr>
      <w:bookmarkStart w:id="1" w:name="_kc2jqdd8nifa" w:colFirst="0" w:colLast="0"/>
      <w:bookmarkEnd w:id="1"/>
      <w:r>
        <w:rPr>
          <w:rFonts w:ascii="Google Sans" w:eastAsia="Google Sans" w:hAnsi="Google Sans" w:cs="Google Sans"/>
        </w:rPr>
        <w:t>Scope and goals of the audit</w:t>
      </w:r>
    </w:p>
    <w:p w14:paraId="34749F43" w14:textId="77777777" w:rsidR="001A53DF" w:rsidRDefault="00000000">
      <w:pPr>
        <w:pStyle w:val="Subtitle"/>
        <w:rPr>
          <w:rFonts w:ascii="Google Sans" w:eastAsia="Google Sans" w:hAnsi="Google Sans" w:cs="Google Sans"/>
          <w:color w:val="000000"/>
          <w:sz w:val="24"/>
          <w:szCs w:val="24"/>
        </w:rPr>
      </w:pPr>
      <w:bookmarkStart w:id="2" w:name="_5amnjv9mhbsx" w:colFirst="0" w:colLast="0"/>
      <w:bookmarkEnd w:id="2"/>
      <w:r>
        <w:rPr>
          <w:rFonts w:ascii="Google Sans" w:eastAsia="Google Sans" w:hAnsi="Google Sans" w:cs="Google Sans"/>
          <w:b/>
          <w:color w:val="000000"/>
          <w:sz w:val="24"/>
          <w:szCs w:val="24"/>
        </w:rPr>
        <w:t xml:space="preserve">Scope: </w:t>
      </w:r>
      <w:r>
        <w:rPr>
          <w:rFonts w:ascii="Google Sans" w:eastAsia="Google Sans" w:hAnsi="Google Sans" w:cs="Google Sans"/>
          <w:color w:val="000000"/>
          <w:sz w:val="24"/>
          <w:szCs w:val="24"/>
        </w:rPr>
        <w:t xml:space="preserve">The scope is defined as the entire security program at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This means all assets need to be assessed alongside internal processes and procedures related to the implementation of controls and compliance best practices.</w:t>
      </w:r>
    </w:p>
    <w:p w14:paraId="790EAAFF" w14:textId="77777777" w:rsidR="001A53DF" w:rsidRDefault="00000000">
      <w:pPr>
        <w:pStyle w:val="Subtitle"/>
        <w:rPr>
          <w:rFonts w:ascii="Google Sans" w:eastAsia="Google Sans" w:hAnsi="Google Sans" w:cs="Google Sans"/>
          <w:color w:val="000000"/>
        </w:rPr>
      </w:pPr>
      <w:bookmarkStart w:id="3" w:name="_17mak1awllyh" w:colFirst="0" w:colLast="0"/>
      <w:bookmarkEnd w:id="3"/>
      <w:r>
        <w:rPr>
          <w:rFonts w:ascii="Google Sans" w:eastAsia="Google Sans" w:hAnsi="Google Sans" w:cs="Google Sans"/>
          <w:b/>
          <w:color w:val="000000"/>
          <w:sz w:val="24"/>
          <w:szCs w:val="24"/>
        </w:rPr>
        <w:t>Goals:</w:t>
      </w:r>
      <w:r>
        <w:rPr>
          <w:rFonts w:ascii="Google Sans" w:eastAsia="Google Sans" w:hAnsi="Google Sans" w:cs="Google Sans"/>
          <w:color w:val="000000"/>
          <w:sz w:val="24"/>
          <w:szCs w:val="24"/>
        </w:rPr>
        <w:t xml:space="preserve"> Assess existing assets and complete the controls and compliance checklist to determine which controls and compliance best practices need to be implemented </w:t>
      </w:r>
      <w:proofErr w:type="gramStart"/>
      <w:r>
        <w:rPr>
          <w:rFonts w:ascii="Google Sans" w:eastAsia="Google Sans" w:hAnsi="Google Sans" w:cs="Google Sans"/>
          <w:color w:val="000000"/>
          <w:sz w:val="24"/>
          <w:szCs w:val="24"/>
        </w:rPr>
        <w:t>to  improve</w:t>
      </w:r>
      <w:proofErr w:type="gramEnd"/>
      <w:r>
        <w:rPr>
          <w:rFonts w:ascii="Google Sans" w:eastAsia="Google Sans" w:hAnsi="Google Sans" w:cs="Google Sans"/>
          <w:color w:val="000000"/>
          <w:sz w:val="24"/>
          <w:szCs w:val="24"/>
        </w:rPr>
        <w:t xml:space="preserve">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security posture.</w:t>
      </w:r>
    </w:p>
    <w:p w14:paraId="42C2FACA" w14:textId="77777777" w:rsidR="001A53DF" w:rsidRDefault="00000000">
      <w:pPr>
        <w:pStyle w:val="Heading2"/>
        <w:rPr>
          <w:rFonts w:ascii="Google Sans" w:eastAsia="Google Sans" w:hAnsi="Google Sans" w:cs="Google Sans"/>
        </w:rPr>
      </w:pPr>
      <w:bookmarkStart w:id="4" w:name="_jdudu6fs5rtm" w:colFirst="0" w:colLast="0"/>
      <w:bookmarkEnd w:id="4"/>
      <w:r>
        <w:rPr>
          <w:rFonts w:ascii="Google Sans" w:eastAsia="Google Sans" w:hAnsi="Google Sans" w:cs="Google Sans"/>
        </w:rPr>
        <w:t>Current assets</w:t>
      </w:r>
    </w:p>
    <w:p w14:paraId="4D1BDE7D" w14:textId="77777777" w:rsidR="001A53DF"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Assets managed by the IT Department include: </w:t>
      </w:r>
    </w:p>
    <w:p w14:paraId="413349B6" w14:textId="77777777" w:rsidR="001A53DF"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On-premises equipment for in-office business needs  </w:t>
      </w:r>
    </w:p>
    <w:p w14:paraId="679F9EF6" w14:textId="77777777" w:rsidR="001A53DF"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Employee equipment: end-user devices (desktops/laptops, smartphones), remote workstations, headsets, cables, keyboards, mice, docking stations, surveillance cameras, etc.</w:t>
      </w:r>
    </w:p>
    <w:p w14:paraId="71A22705" w14:textId="77777777" w:rsidR="001A53DF"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Storefront products available for retail sale on site and online; stored in the company’s adjoining warehouse</w:t>
      </w:r>
    </w:p>
    <w:p w14:paraId="74BFDAFB" w14:textId="77777777" w:rsidR="001A53DF"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Management of systems, software, and services: accounting, telecommunication, database, security, ecommerce, and inventory management</w:t>
      </w:r>
    </w:p>
    <w:p w14:paraId="7F40CC3C" w14:textId="77777777" w:rsidR="001A53DF"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Internet access</w:t>
      </w:r>
    </w:p>
    <w:p w14:paraId="73E82024" w14:textId="77777777" w:rsidR="001A53DF"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Internal network</w:t>
      </w:r>
    </w:p>
    <w:p w14:paraId="2B25F925" w14:textId="77777777" w:rsidR="001A53DF"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Data retention and storage</w:t>
      </w:r>
    </w:p>
    <w:p w14:paraId="6AD3C1DA" w14:textId="77777777" w:rsidR="001A53DF"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Legacy system maintenance: end-of-life systems that require human monitoring </w:t>
      </w:r>
    </w:p>
    <w:p w14:paraId="58C0B7FD" w14:textId="77777777" w:rsidR="001A53DF" w:rsidRDefault="00000000">
      <w:pPr>
        <w:pStyle w:val="Heading2"/>
        <w:rPr>
          <w:rFonts w:ascii="Google Sans" w:eastAsia="Google Sans" w:hAnsi="Google Sans" w:cs="Google Sans"/>
        </w:rPr>
      </w:pPr>
      <w:bookmarkStart w:id="5" w:name="_5i80k6dm51vy" w:colFirst="0" w:colLast="0"/>
      <w:bookmarkEnd w:id="5"/>
      <w:r>
        <w:rPr>
          <w:rFonts w:ascii="Google Sans" w:eastAsia="Google Sans" w:hAnsi="Google Sans" w:cs="Google Sans"/>
        </w:rPr>
        <w:lastRenderedPageBreak/>
        <w:t>Risk assessment</w:t>
      </w:r>
    </w:p>
    <w:p w14:paraId="745F3F0C" w14:textId="77777777" w:rsidR="001A53DF" w:rsidRDefault="00000000">
      <w:pPr>
        <w:pStyle w:val="Heading3"/>
        <w:rPr>
          <w:rFonts w:ascii="Google Sans" w:eastAsia="Google Sans" w:hAnsi="Google Sans" w:cs="Google Sans"/>
        </w:rPr>
      </w:pPr>
      <w:bookmarkStart w:id="6" w:name="_tkycrv8qc7kh" w:colFirst="0" w:colLast="0"/>
      <w:bookmarkEnd w:id="6"/>
      <w:r>
        <w:rPr>
          <w:rFonts w:ascii="Google Sans" w:eastAsia="Google Sans" w:hAnsi="Google Sans" w:cs="Google Sans"/>
        </w:rPr>
        <w:t>Risk description</w:t>
      </w:r>
    </w:p>
    <w:p w14:paraId="05029CE9" w14:textId="77777777" w:rsidR="001A53DF" w:rsidRDefault="00000000">
      <w:pPr>
        <w:rPr>
          <w:rFonts w:ascii="Google Sans" w:eastAsia="Google Sans" w:hAnsi="Google Sans" w:cs="Google Sans"/>
        </w:rPr>
      </w:pPr>
      <w:r>
        <w:rPr>
          <w:rFonts w:ascii="Google Sans" w:eastAsia="Google Sans" w:hAnsi="Google Sans" w:cs="Google Sans"/>
          <w:sz w:val="24"/>
          <w:szCs w:val="24"/>
        </w:rPr>
        <w:t xml:space="preserve">Currently, there is inadequate management of assets. Additionally,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proper controls in place and may not be fully compliant with U.S. and international regulations and standards.</w:t>
      </w:r>
      <w:r>
        <w:rPr>
          <w:rFonts w:ascii="Google Sans" w:eastAsia="Google Sans" w:hAnsi="Google Sans" w:cs="Google Sans"/>
        </w:rPr>
        <w:t xml:space="preserve"> </w:t>
      </w:r>
    </w:p>
    <w:p w14:paraId="504A3956" w14:textId="77777777" w:rsidR="001A53DF" w:rsidRDefault="00000000">
      <w:pPr>
        <w:pStyle w:val="Heading3"/>
        <w:rPr>
          <w:rFonts w:ascii="Google Sans" w:eastAsia="Google Sans" w:hAnsi="Google Sans" w:cs="Google Sans"/>
        </w:rPr>
      </w:pPr>
      <w:bookmarkStart w:id="7" w:name="_pepjp18yvpjs" w:colFirst="0" w:colLast="0"/>
      <w:bookmarkEnd w:id="7"/>
      <w:r>
        <w:rPr>
          <w:rFonts w:ascii="Google Sans" w:eastAsia="Google Sans" w:hAnsi="Google Sans" w:cs="Google Sans"/>
        </w:rPr>
        <w:t>Control best practices</w:t>
      </w:r>
    </w:p>
    <w:p w14:paraId="4A8675E7" w14:textId="77777777" w:rsidR="001A53DF"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first of the five functions of the NIST CSF is Identify.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will need to dedicate resources to identify assets so they can appropriately manage them. Additionally, they will need to classify existing assets and determine the impact of the loss of existing assets, including systems, on business continuity.</w:t>
      </w:r>
    </w:p>
    <w:p w14:paraId="2365FAB5" w14:textId="77777777" w:rsidR="001A53DF" w:rsidRDefault="00000000">
      <w:pPr>
        <w:pStyle w:val="Heading3"/>
        <w:rPr>
          <w:rFonts w:ascii="Google Sans" w:eastAsia="Google Sans" w:hAnsi="Google Sans" w:cs="Google Sans"/>
        </w:rPr>
      </w:pPr>
      <w:bookmarkStart w:id="8" w:name="_ghnlzhum2uiy" w:colFirst="0" w:colLast="0"/>
      <w:bookmarkEnd w:id="8"/>
      <w:r>
        <w:rPr>
          <w:rFonts w:ascii="Google Sans" w:eastAsia="Google Sans" w:hAnsi="Google Sans" w:cs="Google Sans"/>
        </w:rPr>
        <w:t>Risk score</w:t>
      </w:r>
    </w:p>
    <w:p w14:paraId="1A4FB8CA" w14:textId="77777777" w:rsidR="001A53DF"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On a scale of 1 to 10, the risk score is 8, which is </w:t>
      </w:r>
      <w:proofErr w:type="gramStart"/>
      <w:r>
        <w:rPr>
          <w:rFonts w:ascii="Google Sans" w:eastAsia="Google Sans" w:hAnsi="Google Sans" w:cs="Google Sans"/>
          <w:sz w:val="24"/>
          <w:szCs w:val="24"/>
        </w:rPr>
        <w:t>fairly high</w:t>
      </w:r>
      <w:proofErr w:type="gramEnd"/>
      <w:r>
        <w:rPr>
          <w:rFonts w:ascii="Google Sans" w:eastAsia="Google Sans" w:hAnsi="Google Sans" w:cs="Google Sans"/>
          <w:sz w:val="24"/>
          <w:szCs w:val="24"/>
        </w:rPr>
        <w:t xml:space="preserve">. This is due to a lack of controls and adherence to </w:t>
      </w:r>
      <w:proofErr w:type="gramStart"/>
      <w:r>
        <w:rPr>
          <w:rFonts w:ascii="Google Sans" w:eastAsia="Google Sans" w:hAnsi="Google Sans" w:cs="Google Sans"/>
          <w:sz w:val="24"/>
          <w:szCs w:val="24"/>
        </w:rPr>
        <w:t>compliance</w:t>
      </w:r>
      <w:proofErr w:type="gramEnd"/>
      <w:r>
        <w:rPr>
          <w:rFonts w:ascii="Google Sans" w:eastAsia="Google Sans" w:hAnsi="Google Sans" w:cs="Google Sans"/>
          <w:sz w:val="24"/>
          <w:szCs w:val="24"/>
        </w:rPr>
        <w:t xml:space="preserve"> best practices.</w:t>
      </w:r>
    </w:p>
    <w:p w14:paraId="7F70D859" w14:textId="77777777" w:rsidR="001A53DF" w:rsidRDefault="00000000">
      <w:pPr>
        <w:pStyle w:val="Heading3"/>
        <w:rPr>
          <w:rFonts w:ascii="Google Sans" w:eastAsia="Google Sans" w:hAnsi="Google Sans" w:cs="Google Sans"/>
        </w:rPr>
      </w:pPr>
      <w:bookmarkStart w:id="9" w:name="_kmpxjpzb7q2o" w:colFirst="0" w:colLast="0"/>
      <w:bookmarkEnd w:id="9"/>
      <w:r>
        <w:rPr>
          <w:rFonts w:ascii="Google Sans" w:eastAsia="Google Sans" w:hAnsi="Google Sans" w:cs="Google Sans"/>
        </w:rPr>
        <w:t>Additional comments</w:t>
      </w:r>
    </w:p>
    <w:p w14:paraId="2728CCAA" w14:textId="77777777" w:rsidR="001A53DF"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potential impact from the loss of an asset is rated as medium, because the IT department does not know which assets would be at risk. The risk to assets or fines from governing bodies is high because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necessary controls in place and is not fully adhering to best practices related to compliance regulations that keep critical data private/secure. Review the following bullet points for specific details:</w:t>
      </w:r>
    </w:p>
    <w:p w14:paraId="634052D3" w14:textId="77777777" w:rsidR="001A53DF" w:rsidRDefault="001A53DF">
      <w:pPr>
        <w:rPr>
          <w:rFonts w:ascii="Google Sans" w:eastAsia="Google Sans" w:hAnsi="Google Sans" w:cs="Google Sans"/>
          <w:sz w:val="24"/>
          <w:szCs w:val="24"/>
          <w:highlight w:val="yellow"/>
        </w:rPr>
      </w:pPr>
    </w:p>
    <w:p w14:paraId="35B643EA" w14:textId="77777777" w:rsidR="001A53DF"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Currently, all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employees have access to internally stored data and may be able to access cardholder data and customers’ PII/SPII.</w:t>
      </w:r>
    </w:p>
    <w:p w14:paraId="2C584AFD" w14:textId="77777777" w:rsidR="001A53DF"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Encryption is not currently used to ensure confidentiality of customers’ credit card information that is accepted, processed, transmitted, and stored locally in the company’s internal database. </w:t>
      </w:r>
    </w:p>
    <w:p w14:paraId="5241A3BA" w14:textId="77777777" w:rsidR="001A53DF"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controls pertaining to least privilege and separation of duties have not been implemented.</w:t>
      </w:r>
    </w:p>
    <w:p w14:paraId="3B32EBEA" w14:textId="77777777" w:rsidR="001A53DF"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ensured availability and integrated controls to ensure data integrity.</w:t>
      </w:r>
    </w:p>
    <w:p w14:paraId="2B914594" w14:textId="77777777" w:rsidR="001A53D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a firewall that blocks traffic based on an appropriately defined set of security rules.</w:t>
      </w:r>
    </w:p>
    <w:p w14:paraId="7F2702DF" w14:textId="77777777" w:rsidR="001A53D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Antivirus software is installed and monitored regularly by the IT department. </w:t>
      </w:r>
    </w:p>
    <w:p w14:paraId="16A6297D" w14:textId="77777777" w:rsidR="001A53D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The IT department has not installed an intrusion detection system (IDS).</w:t>
      </w:r>
    </w:p>
    <w:p w14:paraId="7F925947" w14:textId="77777777" w:rsidR="001A53D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There are no disaster recovery plans currently in place, and the company does not have backups of critical data. </w:t>
      </w:r>
    </w:p>
    <w:p w14:paraId="2C77F3D4" w14:textId="77777777" w:rsidR="001A53D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14:paraId="10D1C963" w14:textId="77777777" w:rsidR="001A53D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Although a password policy exists, its requirements are nominal and not in line with current minimum password complexity requirements (e.g., at least eight characters, a combination of letters and at least one number; special characters). </w:t>
      </w:r>
    </w:p>
    <w:p w14:paraId="5B27855F" w14:textId="77777777" w:rsidR="001A53D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no centralized password management system that enforces the password policy’s minimum requirements, which sometimes affects productivity when employees/vendors submit a ticket to the IT department to recover or reset a password.</w:t>
      </w:r>
    </w:p>
    <w:p w14:paraId="16348660" w14:textId="77777777" w:rsidR="001A53D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While legacy systems are monitored and maintained, there is no regular schedule in place for these tasks and intervention methods are unclear.</w:t>
      </w:r>
    </w:p>
    <w:p w14:paraId="7813C3D3" w14:textId="77777777" w:rsidR="001A53D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store’s physical location, which includes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main offices, store front, and warehouse of products, has sufficient locks, up-to-date closed-circuit television (CCTV) surveillance, as well as functioning fire detection and prevention systems.</w:t>
      </w:r>
    </w:p>
    <w:sectPr w:rsidR="001A53DF">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6441F4" w14:textId="77777777" w:rsidR="00CC22E4" w:rsidRDefault="00CC22E4">
      <w:pPr>
        <w:spacing w:line="240" w:lineRule="auto"/>
      </w:pPr>
      <w:r>
        <w:separator/>
      </w:r>
    </w:p>
  </w:endnote>
  <w:endnote w:type="continuationSeparator" w:id="0">
    <w:p w14:paraId="0841055B" w14:textId="77777777" w:rsidR="00CC22E4" w:rsidRDefault="00CC22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2E2431C3-FD06-4180-86A2-56B8877C6AEC}"/>
    <w:embedBold r:id="rId2" w:fontKey="{DB9B1CB2-0B12-439C-9CA4-591520006BB4}"/>
  </w:font>
  <w:font w:name="Calibri">
    <w:panose1 w:val="020F0502020204030204"/>
    <w:charset w:val="00"/>
    <w:family w:val="swiss"/>
    <w:pitch w:val="variable"/>
    <w:sig w:usb0="E4002EFF" w:usb1="C000247B" w:usb2="00000009" w:usb3="00000000" w:csb0="000001FF" w:csb1="00000000"/>
    <w:embedRegular r:id="rId3" w:fontKey="{7E52DA69-4226-42F7-9814-B6366914912D}"/>
  </w:font>
  <w:font w:name="Cambria">
    <w:panose1 w:val="02040503050406030204"/>
    <w:charset w:val="00"/>
    <w:family w:val="roman"/>
    <w:pitch w:val="variable"/>
    <w:sig w:usb0="E00006FF" w:usb1="420024FF" w:usb2="02000000" w:usb3="00000000" w:csb0="0000019F" w:csb1="00000000"/>
    <w:embedRegular r:id="rId4" w:fontKey="{C746BEA5-DBE0-4265-ABF0-B2E3C33EDF3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C005E7" w14:textId="77777777" w:rsidR="00CC22E4" w:rsidRDefault="00CC22E4">
      <w:pPr>
        <w:spacing w:line="240" w:lineRule="auto"/>
      </w:pPr>
      <w:r>
        <w:separator/>
      </w:r>
    </w:p>
  </w:footnote>
  <w:footnote w:type="continuationSeparator" w:id="0">
    <w:p w14:paraId="5DFF9B35" w14:textId="77777777" w:rsidR="00CC22E4" w:rsidRDefault="00CC22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7CAEB" w14:textId="77777777" w:rsidR="001A53DF" w:rsidRDefault="001A53D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F4F25"/>
    <w:multiLevelType w:val="multilevel"/>
    <w:tmpl w:val="FA7E40EE"/>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8E10832"/>
    <w:multiLevelType w:val="multilevel"/>
    <w:tmpl w:val="209C4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97094875">
    <w:abstractNumId w:val="1"/>
  </w:num>
  <w:num w:numId="2" w16cid:durableId="17045954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3DF"/>
    <w:rsid w:val="001A53DF"/>
    <w:rsid w:val="009C078D"/>
    <w:rsid w:val="00CC22E4"/>
    <w:rsid w:val="00F0477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7C177"/>
  <w15:docId w15:val="{DBD1A3DA-715B-4796-A22E-6A1BD968E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Pages>
  <Words>668</Words>
  <Characters>3808</Characters>
  <Application>Microsoft Office Word</Application>
  <DocSecurity>0</DocSecurity>
  <Lines>31</Lines>
  <Paragraphs>8</Paragraphs>
  <ScaleCrop>false</ScaleCrop>
  <Company/>
  <LinksUpToDate>false</LinksUpToDate>
  <CharactersWithSpaces>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Daryl Julio (Contractor)</cp:lastModifiedBy>
  <cp:revision>2</cp:revision>
  <dcterms:created xsi:type="dcterms:W3CDTF">2024-07-23T03:11:00Z</dcterms:created>
  <dcterms:modified xsi:type="dcterms:W3CDTF">2024-07-23T03:11:00Z</dcterms:modified>
</cp:coreProperties>
</file>