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3B0C51" w:rsidRDefault="00400724" w:rsidP="005951F1">
      <w:pPr>
        <w:pStyle w:val="Portadaycreditos"/>
        <w:jc w:val="center"/>
        <w:rPr>
          <w:b/>
          <w:sz w:val="40"/>
          <w:szCs w:val="40"/>
        </w:rPr>
      </w:pPr>
      <w:r w:rsidRPr="00400724">
        <w:rPr>
          <w:b/>
          <w:sz w:val="40"/>
          <w:szCs w:val="40"/>
        </w:rPr>
        <w:t>Anexo V - Manuales de Usuario</w:t>
      </w:r>
      <w:bookmarkStart w:id="0" w:name="_GoBack"/>
      <w:bookmarkEnd w:id="0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7F12FF" w:rsidRDefault="007F12FF"/>
    <w:sectPr w:rsidR="007F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400724"/>
    <w:rsid w:val="005951F1"/>
    <w:rsid w:val="007F12FF"/>
    <w:rsid w:val="007F6CCE"/>
    <w:rsid w:val="00C22B3D"/>
    <w:rsid w:val="00EF302D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80B799-AF30-48FD-97DE-6AF1C00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1F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72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rsid w:val="005951F1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2018-08-06T16:41:00Z</dcterms:created>
  <dcterms:modified xsi:type="dcterms:W3CDTF">2018-08-06T16:44:00Z</dcterms:modified>
</cp:coreProperties>
</file>