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09f44573bf71df7ded3588c235a8fa8dacb6b3a.png"/>
            <a:graphic>
              <a:graphicData uri="http://schemas.openxmlformats.org/drawingml/2006/picture">
                <pic:pic>
                  <pic:nvPicPr>
                    <pic:cNvPr id="1" name="image-f09f44573bf71df7ded3588c235a8fa8dacb6b3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analyze_and_select_based_on_scien_f16eaa"/>
      <w:r>
        <w:rPr>
          <w:rFonts w:eastAsia="inter" w:cs="inter" w:ascii="inter" w:hAnsi="inter"/>
          <w:b/>
          <w:color w:val="000000"/>
          <w:sz w:val="39"/>
        </w:rPr>
        <w:t xml:space="preserve">Analyze and select, based on scientific and technical literature published in recent years, ten (10) years, machine learning and computer vision models oriented to the detection of diseases and pests in rice crops, prioritizing criteria of computational efficiency, operation in offline mode and compatibility with entry-level mobile devices. a. Deliverable: i. Benchmarking executive report, including comparison of Models, advantages, limitations and technical justification of the proposals selected.</w:t>
      </w:r>
      <w:bookmarkEnd w:id="0"/>
    </w:p>
    <w:p>
      <w:pPr>
        <w:spacing w:line="360" w:after="210" w:lineRule="auto"/>
      </w:pPr>
      <w:r>
        <w:rPr>
          <w:rFonts w:eastAsia="inter" w:cs="inter" w:ascii="inter" w:hAnsi="inter"/>
          <w:color w:val="000000"/>
        </w:rPr>
        <w:t xml:space="preserve">Recent scientific literature highlights lightweight deep learning models like MobileNet variants and YOLO adaptations as top performers for rice disease and pest detection on resource-constrained devices. These prioritize low parameters, FLOPs, offline inference via ONNX/TensorFlow Lite, and mobile compatibility while achieving high accuracy on datasets like Rice Leaf Diseases.</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4" w:name="model_selection_criteria"/>
      <w:r>
        <w:rPr>
          <w:rFonts w:eastAsia="inter" w:cs="inter" w:ascii="inter" w:hAnsi="inter"/>
          <w:b/>
          <w:color w:val="000000"/>
          <w:sz w:val="24"/>
        </w:rPr>
        <w:t xml:space="preserve">Model Selection Criteria</w:t>
      </w:r>
      <w:bookmarkEnd w:id="4"/>
    </w:p>
    <w:p>
      <w:pPr>
        <w:spacing w:line="360" w:after="210" w:lineRule="auto"/>
      </w:pPr>
      <w:r>
        <w:rPr>
          <w:rFonts w:eastAsia="inter" w:cs="inter" w:ascii="inter" w:hAnsi="inter"/>
          <w:color w:val="000000"/>
        </w:rPr>
        <w:t xml:space="preserve">Models were selected from 2016-2026 publications emphasizing CNNs and object detectors for rice-specific tasks. Key metrics include parameters (&lt;10M preferred), FLOPs (&lt;1G for mobiles), accuracy/mAP &gt;90%, and explicit mobile/offline mentions. Excluded heavy models like standard ResNet50 despite good accuracy (92.5%) due to high compute.</w:t>
      </w:r>
      <w:bookmarkStart w:id="5" w:name="fnref4"/>
      <w:bookmarkEnd w:id="5"/>
      <w:hyperlink w:anchor="fn4">
        <w:r>
          <w:rPr>
            <w:rFonts w:eastAsia="inter" w:cs="inter" w:ascii="inter" w:hAnsi="inter"/>
            <w:color w:val="#000"/>
            <w:u w:val="single"/>
            <w:vertAlign w:val="superscript"/>
          </w:rPr>
          <w:t xml:space="preserve">[4]</w:t>
        </w:r>
      </w:hyperlink>
      <w:bookmarkStart w:id="6" w:name="fnref5"/>
      <w:bookmarkEnd w:id="6"/>
      <w:hyperlink w:anchor="fn5">
        <w:r>
          <w:rPr>
            <w:rFonts w:eastAsia="inter" w:cs="inter" w:ascii="inter" w:hAnsi="inter"/>
            <w:color w:val="#000"/>
            <w:u w:val="single"/>
            <w:vertAlign w:val="superscript"/>
          </w:rPr>
          <w:t xml:space="preserve">[5]</w:t>
        </w:r>
      </w:hyperlink>
      <w:bookmarkStart w:id="7" w:name="fnref6"/>
      <w:bookmarkEnd w:id="7"/>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8" w:name="benchmark_comparison"/>
      <w:r>
        <w:rPr>
          <w:rFonts w:eastAsia="inter" w:cs="inter" w:ascii="inter" w:hAnsi="inter"/>
          <w:b/>
          <w:color w:val="000000"/>
          <w:sz w:val="24"/>
        </w:rPr>
        <w:t xml:space="preserve">Benchmark Comparison</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 Architecture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Accuracy/mAP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Params (M)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FLOPs (G)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Mobile FPS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Offline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LiSA-MobileNetV2 </w:t>
            </w:r>
            <w:hyperlink w:anchor="fn7">
              <w:r>
                <w:rPr>
                  <w:rFonts w:eastAsia="inter" w:cs="inter" w:ascii="inter" w:hAnsi="inter"/>
                  <w:color w:val="#000"/>
                  <w:sz w:val="17"/>
                  <w:u w:val="single"/>
                  <w:vertAlign w:val="superscript"/>
                </w:rPr>
                <w:t xml:space="preserve">[7]</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MobileNetV2 + Attention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 (TFLite)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MobileNet-CA-YOLO </w:t>
            </w:r>
            <w:hyperlink w:anchor="fn8">
              <w:r>
                <w:rPr>
                  <w:rFonts w:eastAsia="inter" w:cs="inter" w:ascii="inter" w:hAnsi="inter"/>
                  <w:color w:val="#000"/>
                  <w:sz w:val="17"/>
                  <w:u w:val="single"/>
                  <w:vertAlign w:val="superscript"/>
                </w:rPr>
                <w:t xml:space="preserve">[8]</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YOLOv7 + MobileNetV3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93.7% mAP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TLI-YOLO (YOLOv8n) </w:t>
            </w:r>
            <w:hyperlink w:anchor="fn9">
              <w:r>
                <w:rPr>
                  <w:rFonts w:eastAsia="inter" w:cs="inter" w:ascii="inter" w:hAnsi="inter"/>
                  <w:color w:val="#000"/>
                  <w:sz w:val="17"/>
                  <w:u w:val="single"/>
                  <w:vertAlign w:val="superscript"/>
                </w:rPr>
                <w:t xml:space="preserve">[9]</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YOLOv8 + Transfer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 (Android)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GE-ShuffleNet </w:t>
            </w:r>
            <w:hyperlink w:anchor="fn6">
              <w:r>
                <w:rPr>
                  <w:rFonts w:eastAsia="inter" w:cs="inter" w:ascii="inter" w:hAnsi="inter"/>
                  <w:color w:val="#000"/>
                  <w:sz w:val="17"/>
                  <w:u w:val="single"/>
                  <w:vertAlign w:val="superscript"/>
                </w:rPr>
                <w:t xml:space="preserve">[6]</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ShuffleNetV2 + Ghost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96.6%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SSD-YOLO </w:t>
            </w:r>
            <w:hyperlink w:anchor="fn10">
              <w:r>
                <w:rPr>
                  <w:rFonts w:eastAsia="inter" w:cs="inter" w:ascii="inter" w:hAnsi="inter"/>
                  <w:color w:val="#000"/>
                  <w:sz w:val="17"/>
                  <w:u w:val="single"/>
                  <w:vertAlign w:val="superscript"/>
                </w:rPr>
                <w:t xml:space="preserve">[10]</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YOLO + SSD lightweight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98.99% (blast)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EfficientNet-B0 </w:t>
            </w:r>
            <w:hyperlink w:anchor="fn11">
              <w:r>
                <w:rPr>
                  <w:rFonts w:eastAsia="inter" w:cs="inter" w:ascii="inter" w:hAnsi="inter"/>
                  <w:color w:val="#000"/>
                  <w:sz w:val="17"/>
                  <w:u w:val="single"/>
                  <w:vertAlign w:val="superscript"/>
                </w:rPr>
                <w:t xml:space="preserve">[11]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EfficientNet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0.39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 (TFLite)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MobileNetV3 Large </w:t>
            </w:r>
            <w:hyperlink w:anchor="fn4">
              <w:r>
                <w:rPr>
                  <w:rFonts w:eastAsia="inter" w:cs="inter" w:ascii="inter" w:hAnsi="inter"/>
                  <w:color w:val="#000"/>
                  <w:sz w:val="17"/>
                  <w:u w:val="single"/>
                  <w:vertAlign w:val="superscript"/>
                </w:rPr>
                <w:t xml:space="preserve">[4]</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MobileNetV3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96.3%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Lightweight CNN (2018) </w:t>
            </w:r>
            <w:hyperlink w:anchor="fn3">
              <w:r>
                <w:rPr>
                  <w:rFonts w:eastAsia="inter" w:cs="inter" w:ascii="inter" w:hAnsi="inter"/>
                  <w:color w:val="#000"/>
                  <w:sz w:val="17"/>
                  <w:u w:val="single"/>
                  <w:vertAlign w:val="superscript"/>
                </w:rPr>
                <w:t xml:space="preserve">[3]</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Custom two-stage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(mobile-tuned)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Small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Mobile-suited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Improved ShuffleNet V2 </w:t>
            </w:r>
            <w:hyperlink w:anchor="fn6">
              <w:r>
                <w:rPr>
                  <w:rFonts w:eastAsia="inter" w:cs="inter" w:ascii="inter" w:hAnsi="inter"/>
                  <w:color w:val="#000"/>
                  <w:sz w:val="17"/>
                  <w:u w:val="single"/>
                  <w:vertAlign w:val="superscript"/>
                </w:rPr>
                <w:t xml:space="preserve">[6]</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ShuffleNet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94.4%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Rice-DP-YOLO (YOLOv8n) </w:t>
            </w:r>
            <w:hyperlink w:anchor="fn12">
              <w:r>
                <w:rPr>
                  <w:rFonts w:eastAsia="inter" w:cs="inter" w:ascii="inter" w:hAnsi="inter"/>
                  <w:color w:val="#000"/>
                  <w:sz w:val="17"/>
                  <w:u w:val="single"/>
                  <w:vertAlign w:val="superscript"/>
                </w:rPr>
                <w:t xml:space="preserve">[12]</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YOLOv8n improved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77.8% (15 classes)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w:t>
            </w:r>
          </w:p>
        </w:tc>
      </w:tr>
    </w:tbl>
    <w:p>
      <w:pPr>
        <w:spacing w:lineRule="auto"/>
      </w:pPr>
    </w:p>
    <w:p>
      <w:pPr>
        <w:spacing w:line="360" w:after="210" w:lineRule="auto"/>
      </w:pPr>
      <w:r>
        <w:rPr>
          <w:rFonts w:eastAsia="inter" w:cs="inter" w:ascii="inter" w:hAnsi="inter"/>
          <w:color w:val="000000"/>
        </w:rPr>
        <w:t xml:space="preserve">Data aggregated from benchmarks; FPS on entry-level Android (e.g., Snapdragon 6xx).</w:t>
      </w:r>
      <w:bookmarkStart w:id="9" w:name="fnref10_1"/>
      <w:bookmarkEnd w:id="9"/>
      <w:hyperlink w:anchor="fn10">
        <w:r>
          <w:rPr>
            <w:rFonts w:eastAsia="inter" w:cs="inter" w:ascii="inter" w:hAnsi="inter"/>
            <w:color w:val="#000"/>
            <w:u w:val="single"/>
            <w:vertAlign w:val="superscript"/>
          </w:rPr>
          <w:t xml:space="preserve">[10]</w:t>
        </w:r>
      </w:hyperlink>
      <w:bookmarkStart w:id="10" w:name="fnref8_1"/>
      <w:bookmarkEnd w:id="10"/>
      <w:hyperlink w:anchor="fn8">
        <w:r>
          <w:rPr>
            <w:rFonts w:eastAsia="inter" w:cs="inter" w:ascii="inter" w:hAnsi="inter"/>
            <w:color w:val="#000"/>
            <w:u w:val="single"/>
            <w:vertAlign w:val="superscript"/>
          </w:rPr>
          <w:t xml:space="preserve">[8]</w:t>
        </w:r>
      </w:hyperlink>
      <w:bookmarkStart w:id="11" w:name="fnref9_1"/>
      <w:bookmarkEnd w:id="11"/>
      <w:hyperlink w:anchor="fn9">
        <w:r>
          <w:rPr>
            <w:rFonts w:eastAsia="inter" w:cs="inter" w:ascii="inter" w:hAnsi="inter"/>
            <w:color w:val="#000"/>
            <w:u w:val="single"/>
            <w:vertAlign w:val="superscript"/>
          </w:rPr>
          <w:t xml:space="preserve">[9]</w:t>
        </w:r>
      </w:hyperlink>
      <w:bookmarkStart w:id="12" w:name="fnref6_3"/>
      <w:bookmarkEnd w:id="12"/>
      <w:hyperlink w:anchor="fn6">
        <w:r>
          <w:rPr>
            <w:rFonts w:eastAsia="inter" w:cs="inter" w:ascii="inter" w:hAnsi="inter"/>
            <w:color w:val="#000"/>
            <w:u w:val="single"/>
            <w:vertAlign w:val="superscript"/>
          </w:rPr>
          <w:t xml:space="preserve">[6]</w:t>
        </w:r>
      </w:hyperlink>
      <w:bookmarkStart w:id="13" w:name="fnref7_1"/>
      <w:bookmarkEnd w:id="13"/>
      <w:hyperlink w:anchor="fn7">
        <w:r>
          <w:rPr>
            <w:rFonts w:eastAsia="inter" w:cs="inter" w:ascii="inter" w:hAnsi="inter"/>
            <w:color w:val="#000"/>
            <w:u w:val="single"/>
            <w:vertAlign w:val="superscript"/>
          </w:rPr>
          <w:t xml:space="preserve">[7]</w:t>
        </w:r>
      </w:hyperlink>
      <w:bookmarkStart w:id="14" w:name="fnref12_1"/>
      <w:bookmarkEnd w:id="14"/>
      <w:hyperlink w:anchor="fn12">
        <w:r>
          <w:rPr>
            <w:rFonts w:eastAsia="inter" w:cs="inter" w:ascii="inter" w:hAnsi="inter"/>
            <w:color w:val="#000"/>
            <w:u w:val="single"/>
            <w:vertAlign w:val="superscript"/>
          </w:rPr>
          <w:t xml:space="preserve">[12]</w:t>
        </w:r>
      </w:hyperlink>
      <w:bookmarkStart w:id="15" w:name="fnref4_2"/>
      <w:bookmarkEnd w:id="15"/>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16" w:name="advantages_and_limitations"/>
      <w:r>
        <w:rPr>
          <w:rFonts w:eastAsia="inter" w:cs="inter" w:ascii="inter" w:hAnsi="inter"/>
          <w:b/>
          <w:color w:val="000000"/>
          <w:sz w:val="24"/>
        </w:rPr>
        <w:t xml:space="preserve">Advantages and Limitations</w:t>
      </w:r>
      <w:bookmarkEnd w:id="16"/>
    </w:p>
    <w:p>
      <w:pPr>
        <w:spacing w:line="360" w:after="210" w:lineRule="auto"/>
      </w:pPr>
      <w:r>
        <w:rPr>
          <w:rFonts w:eastAsia="inter" w:cs="inter" w:ascii="inter" w:hAnsi="inter"/>
          <w:b/>
          <w:color w:val="000000"/>
        </w:rPr>
        <w:t xml:space="preserve">Advantages:</w:t>
      </w:r>
      <w:r>
        <w:rPr>
          <w:rFonts w:eastAsia="inter" w:cs="inter" w:ascii="inter" w:hAnsi="inter"/>
          <w:color w:val="000000"/>
        </w:rPr>
        <w:t xml:space="preserve"> These models excel in edge deployment with depthwise convolutions (MobileNet/ShuffleNet) reducing compute by 50-75% vs. VGG/ResNet, enabling 20-30 FPS offline on mobiles without internet. YOLO variants add real-time pest bounding boxes for multi-class detection. Attention (CA/SE) boosts accuracy 2-6% on small datasets.</w:t>
      </w:r>
      <w:bookmarkStart w:id="17" w:name="fnref3_2"/>
      <w:bookmarkEnd w:id="17"/>
      <w:hyperlink w:anchor="fn3">
        <w:r>
          <w:rPr>
            <w:rFonts w:eastAsia="inter" w:cs="inter" w:ascii="inter" w:hAnsi="inter"/>
            <w:color w:val="#000"/>
            <w:u w:val="single"/>
            <w:vertAlign w:val="superscript"/>
          </w:rPr>
          <w:t xml:space="preserve">[3]</w:t>
        </w:r>
      </w:hyperlink>
      <w:bookmarkStart w:id="18" w:name="fnref8_2"/>
      <w:bookmarkEnd w:id="18"/>
      <w:hyperlink w:anchor="fn8">
        <w:r>
          <w:rPr>
            <w:rFonts w:eastAsia="inter" w:cs="inter" w:ascii="inter" w:hAnsi="inter"/>
            <w:color w:val="#000"/>
            <w:u w:val="single"/>
            <w:vertAlign w:val="superscript"/>
          </w:rPr>
          <w:t xml:space="preserve">[8]</w:t>
        </w:r>
      </w:hyperlink>
      <w:bookmarkStart w:id="19" w:name="fnref7_2"/>
      <w:bookmarkEnd w:id="19"/>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Limitations:</w:t>
      </w:r>
      <w:r>
        <w:rPr>
          <w:rFonts w:eastAsia="inter" w:cs="inter" w:ascii="inter" w:hAnsi="inter"/>
          <w:color w:val="000000"/>
        </w:rPr>
        <w:t xml:space="preserve"> Smaller models trade ~1-5% accuracy for speed; struggle with tiny pests or diverse lighting (mAP drops 5-10%). Limited multi-pest coverage in some (focus on 3-6 diseases); need fine-tuning for local rice varieties.</w:t>
      </w:r>
      <w:bookmarkStart w:id="20" w:name="fnref9_2"/>
      <w:bookmarkEnd w:id="20"/>
      <w:hyperlink w:anchor="fn9">
        <w:r>
          <w:rPr>
            <w:rFonts w:eastAsia="inter" w:cs="inter" w:ascii="inter" w:hAnsi="inter"/>
            <w:color w:val="#000"/>
            <w:u w:val="single"/>
            <w:vertAlign w:val="superscript"/>
          </w:rPr>
          <w:t xml:space="preserve">[9]</w:t>
        </w:r>
      </w:hyperlink>
      <w:bookmarkStart w:id="21" w:name="fnref13"/>
      <w:bookmarkEnd w:id="21"/>
      <w:hyperlink w:anchor="fn13">
        <w:r>
          <w:rPr>
            <w:rFonts w:eastAsia="inter" w:cs="inter" w:ascii="inter" w:hAnsi="inter"/>
            <w:color w:val="#000"/>
            <w:u w:val="single"/>
            <w:vertAlign w:val="superscript"/>
          </w:rPr>
          <w:t xml:space="preserve">[13]</w:t>
        </w:r>
      </w:hyperlink>
      <w:bookmarkStart w:id="22" w:name="fnref10_2"/>
      <w:bookmarkEnd w:id="22"/>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23" w:name="technical_justification"/>
      <w:r>
        <w:rPr>
          <w:rFonts w:eastAsia="inter" w:cs="inter" w:ascii="inter" w:hAnsi="inter"/>
          <w:b/>
          <w:color w:val="000000"/>
          <w:sz w:val="24"/>
        </w:rPr>
        <w:t xml:space="preserve">Technical Justification</w:t>
      </w:r>
      <w:bookmarkEnd w:id="23"/>
    </w:p>
    <w:p>
      <w:pPr>
        <w:spacing w:line="360" w:after="210" w:lineRule="auto"/>
      </w:pPr>
      <w:r>
        <w:rPr>
          <w:rFonts w:eastAsia="inter" w:cs="inter" w:ascii="inter" w:hAnsi="inter"/>
          <w:color w:val="000000"/>
        </w:rPr>
        <w:t xml:space="preserve">Selections favor inverted residuals (MobileNetV3/EfficientNet) and ghost modules (GE-ShuffleNet) for parameter efficiency, proven in rice datasets (e.g., 3000+ images). YOLO adaptations suit pests needing localization, with SIoU loss improving small-object mAP. All convert to TFLite for offline mobile use, aligning with entry-level hardware (2-4GB RAM). Top picks: LiSA-MobileNetV2 for classification, MobileNet-CA-YOLO for detection.</w:t>
      </w:r>
      <w:bookmarkStart w:id="24" w:name="fnref2_1"/>
      <w:bookmarkEnd w:id="24"/>
      <w:hyperlink w:anchor="fn2">
        <w:r>
          <w:rPr>
            <w:rFonts w:eastAsia="inter" w:cs="inter" w:ascii="inter" w:hAnsi="inter"/>
            <w:color w:val="#000"/>
            <w:u w:val="single"/>
            <w:vertAlign w:val="superscript"/>
          </w:rPr>
          <w:t xml:space="preserve">[2]</w:t>
        </w:r>
      </w:hyperlink>
      <w:bookmarkStart w:id="25" w:name="fnref11_1"/>
      <w:bookmarkEnd w:id="25"/>
      <w:hyperlink w:anchor="fn11">
        <w:r>
          <w:rPr>
            <w:rFonts w:eastAsia="inter" w:cs="inter" w:ascii="inter" w:hAnsi="inter"/>
            <w:color w:val="#000"/>
            <w:u w:val="single"/>
            <w:vertAlign w:val="superscript"/>
          </w:rPr>
          <w:t xml:space="preserve">[11]</w:t>
        </w:r>
      </w:hyperlink>
      <w:bookmarkStart w:id="26" w:name="fnref8_3"/>
      <w:bookmarkEnd w:id="26"/>
      <w:hyperlink w:anchor="fn8">
        <w:r>
          <w:rPr>
            <w:rFonts w:eastAsia="inter" w:cs="inter" w:ascii="inter" w:hAnsi="inter"/>
            <w:color w:val="#000"/>
            <w:u w:val="single"/>
            <w:vertAlign w:val="superscript"/>
          </w:rPr>
          <w:t xml:space="preserve">[8]</w:t>
        </w:r>
      </w:hyperlink>
      <w:bookmarkStart w:id="27" w:name="fnref7_3"/>
      <w:bookmarkEnd w:id="27"/>
      <w:hyperlink w:anchor="fn7">
        <w:r>
          <w:rPr>
            <w:rFonts w:eastAsia="inter" w:cs="inter" w:ascii="inter" w:hAnsi="inter"/>
            <w:color w:val="#000"/>
            <w:u w:val="single"/>
            <w:vertAlign w:val="superscript"/>
          </w:rPr>
          <w:t xml:space="preserve">[7]</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8" w:name="fn1"/>
    <w:bookmarkEnd w:id="28"/>
    <w:p>
      <w:pPr>
        <w:numPr>
          <w:ilvl w:val="0"/>
          <w:numId w:val="2"/>
        </w:numPr>
        <w:spacing w:line="360" w:after="210" w:lineRule="auto"/>
      </w:pPr>
      <w:hyperlink r:id="rId6">
        <w:r>
          <w:rPr>
            <w:rFonts w:eastAsia="inter" w:cs="inter" w:ascii="inter" w:hAnsi="inter"/>
            <w:color w:val="#000"/>
            <w:sz w:val="18"/>
            <w:u w:val="single"/>
          </w:rPr>
          <w:t xml:space="preserve">https://pmc.ncbi.nlm.nih.gov/articles/PMC10088765/</w:t>
        </w:r>
      </w:hyperlink>
      <w:r>
        <w:rPr>
          <w:rFonts w:eastAsia="inter" w:cs="inter" w:ascii="inter" w:hAnsi="inter"/>
          <w:color w:val="000000"/>
          <w:sz w:val="18"/>
        </w:rPr>
        <w:t xml:space="preserve"> </w:t>
      </w:r>
    </w:p>
    <w:bookmarkStart w:id="29" w:name="fn2"/>
    <w:bookmarkEnd w:id="29"/>
    <w:p>
      <w:pPr>
        <w:numPr>
          <w:ilvl w:val="0"/>
          <w:numId w:val="2"/>
        </w:numPr>
        <w:spacing w:line="360" w:after="210" w:lineRule="auto"/>
      </w:pPr>
      <w:hyperlink r:id="rId7">
        <w:r>
          <w:rPr>
            <w:rFonts w:eastAsia="inter" w:cs="inter" w:ascii="inter" w:hAnsi="inter"/>
            <w:color w:val="#000"/>
            <w:sz w:val="18"/>
            <w:u w:val="single"/>
          </w:rPr>
          <w:t xml:space="preserve">https://pmc.ncbi.nlm.nih.gov/articles/PMC11253532/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 w:name="fn3"/>
    <w:bookmarkEnd w:id="30"/>
    <w:p>
      <w:pPr>
        <w:numPr>
          <w:ilvl w:val="0"/>
          <w:numId w:val="2"/>
        </w:numPr>
        <w:spacing w:line="360" w:after="210" w:lineRule="auto"/>
      </w:pPr>
      <w:hyperlink r:id="rId8">
        <w:r>
          <w:rPr>
            <w:rFonts w:eastAsia="inter" w:cs="inter" w:ascii="inter" w:hAnsi="inter"/>
            <w:color w:val="#000"/>
            <w:sz w:val="18"/>
            <w:u w:val="single"/>
          </w:rPr>
          <w:t xml:space="preserve">https://ar5iv.labs.arxiv.org/html/1812.01043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 w:name="fn4"/>
    <w:bookmarkEnd w:id="31"/>
    <w:p>
      <w:pPr>
        <w:numPr>
          <w:ilvl w:val="0"/>
          <w:numId w:val="2"/>
        </w:numPr>
        <w:spacing w:line="360" w:after="210" w:lineRule="auto"/>
      </w:pPr>
      <w:hyperlink r:id="rId9">
        <w:r>
          <w:rPr>
            <w:rFonts w:eastAsia="inter" w:cs="inter" w:ascii="inter" w:hAnsi="inter"/>
            <w:color w:val="#000"/>
            <w:sz w:val="18"/>
            <w:u w:val="single"/>
          </w:rPr>
          <w:t xml:space="preserve">https://d-nb.info/1371393532/34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 w:name="fn5"/>
    <w:bookmarkEnd w:id="32"/>
    <w:p>
      <w:pPr>
        <w:numPr>
          <w:ilvl w:val="0"/>
          <w:numId w:val="2"/>
        </w:numPr>
        <w:spacing w:line="360" w:after="210" w:lineRule="auto"/>
      </w:pPr>
      <w:hyperlink r:id="rId10">
        <w:r>
          <w:rPr>
            <w:rFonts w:eastAsia="inter" w:cs="inter" w:ascii="inter" w:hAnsi="inter"/>
            <w:color w:val="#000"/>
            <w:sz w:val="18"/>
            <w:u w:val="single"/>
          </w:rPr>
          <w:t xml:space="preserve">https://arxiv.org/html/2501.06740v1</w:t>
        </w:r>
      </w:hyperlink>
      <w:r>
        <w:rPr>
          <w:rFonts w:eastAsia="inter" w:cs="inter" w:ascii="inter" w:hAnsi="inter"/>
          <w:color w:val="000000"/>
          <w:sz w:val="18"/>
        </w:rPr>
        <w:t xml:space="preserve"> </w:t>
      </w:r>
    </w:p>
    <w:bookmarkStart w:id="33" w:name="fn6"/>
    <w:bookmarkEnd w:id="33"/>
    <w:p>
      <w:pPr>
        <w:numPr>
          <w:ilvl w:val="0"/>
          <w:numId w:val="2"/>
        </w:numPr>
        <w:spacing w:line="360" w:after="210" w:lineRule="auto"/>
      </w:pPr>
      <w:hyperlink r:id="rId11">
        <w:r>
          <w:rPr>
            <w:rFonts w:eastAsia="inter" w:cs="inter" w:ascii="inter" w:hAnsi="inter"/>
            <w:color w:val="#000"/>
            <w:sz w:val="18"/>
            <w:u w:val="single"/>
          </w:rPr>
          <w:t xml:space="preserve">https://www.techscience.com/cmc/v75n2/52135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 w:name="fn7"/>
    <w:bookmarkEnd w:id="34"/>
    <w:p>
      <w:pPr>
        <w:numPr>
          <w:ilvl w:val="0"/>
          <w:numId w:val="2"/>
        </w:numPr>
        <w:spacing w:line="360" w:after="210" w:lineRule="auto"/>
      </w:pPr>
      <w:hyperlink r:id="rId12">
        <w:r>
          <w:rPr>
            <w:rFonts w:eastAsia="inter" w:cs="inter" w:ascii="inter" w:hAnsi="inter"/>
            <w:color w:val="#000"/>
            <w:sz w:val="18"/>
            <w:u w:val="single"/>
          </w:rPr>
          <w:t xml:space="preserve">https://pmc.ncbi.nlm.nih.gov/articles/PMC12370686/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 w:name="fn8"/>
    <w:bookmarkEnd w:id="35"/>
    <w:p>
      <w:pPr>
        <w:numPr>
          <w:ilvl w:val="0"/>
          <w:numId w:val="2"/>
        </w:numPr>
        <w:spacing w:line="360" w:after="210" w:lineRule="auto"/>
      </w:pPr>
      <w:hyperlink r:id="rId13">
        <w:r>
          <w:rPr>
            <w:rFonts w:eastAsia="inter" w:cs="inter" w:ascii="inter" w:hAnsi="inter"/>
            <w:color w:val="#000"/>
            <w:sz w:val="18"/>
            <w:u w:val="single"/>
          </w:rPr>
          <w:t xml:space="preserve">https://ui.adsabs.harvard.edu/abs/2023Agric..13.1285J/abstract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 w:name="fn9"/>
    <w:bookmarkEnd w:id="36"/>
    <w:p>
      <w:pPr>
        <w:numPr>
          <w:ilvl w:val="0"/>
          <w:numId w:val="2"/>
        </w:numPr>
        <w:spacing w:line="360" w:after="210" w:lineRule="auto"/>
      </w:pPr>
      <w:hyperlink r:id="rId14">
        <w:r>
          <w:rPr>
            <w:rFonts w:eastAsia="inter" w:cs="inter" w:ascii="inter" w:hAnsi="inter"/>
            <w:color w:val="#000"/>
            <w:sz w:val="18"/>
            <w:u w:val="single"/>
          </w:rPr>
          <w:t xml:space="preserve">https://pmc.ncbi.nlm.nih.gov/articles/PMC12031063/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 w:name="fn10"/>
    <w:bookmarkEnd w:id="37"/>
    <w:p>
      <w:pPr>
        <w:numPr>
          <w:ilvl w:val="0"/>
          <w:numId w:val="2"/>
        </w:numPr>
        <w:spacing w:line="360" w:after="210" w:lineRule="auto"/>
      </w:pPr>
      <w:hyperlink r:id="rId15">
        <w:r>
          <w:rPr>
            <w:rFonts w:eastAsia="inter" w:cs="inter" w:ascii="inter" w:hAnsi="inter"/>
            <w:color w:val="#000"/>
            <w:sz w:val="18"/>
            <w:u w:val="single"/>
          </w:rPr>
          <w:t xml:space="preserve">https://www.frontiersin.org/journals/plant-science/articles/10.3389/fpls.2025.1643096/full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8" w:name="fn11"/>
    <w:bookmarkEnd w:id="38"/>
    <w:p>
      <w:pPr>
        <w:numPr>
          <w:ilvl w:val="0"/>
          <w:numId w:val="2"/>
        </w:numPr>
        <w:spacing w:line="360" w:after="210" w:lineRule="auto"/>
      </w:pPr>
      <w:hyperlink r:id="rId16">
        <w:r>
          <w:rPr>
            <w:rFonts w:eastAsia="inter" w:cs="inter" w:ascii="inter" w:hAnsi="inter"/>
            <w:color w:val="#000"/>
            <w:sz w:val="18"/>
            <w:u w:val="single"/>
          </w:rPr>
          <w:t xml:space="preserve">https://www.arxiv.org/pdf/2408.01752.pdf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9" w:name="fn12"/>
    <w:bookmarkEnd w:id="39"/>
    <w:p>
      <w:pPr>
        <w:numPr>
          <w:ilvl w:val="0"/>
          <w:numId w:val="2"/>
        </w:numPr>
        <w:spacing w:line="360" w:after="210" w:lineRule="auto"/>
      </w:pPr>
      <w:hyperlink r:id="rId17">
        <w:r>
          <w:rPr>
            <w:rFonts w:eastAsia="inter" w:cs="inter" w:ascii="inter" w:hAnsi="inter"/>
            <w:color w:val="#000"/>
            <w:sz w:val="18"/>
            <w:u w:val="single"/>
          </w:rPr>
          <w:t xml:space="preserve">https://pmc.ncbi.nlm.nih.gov/articles/PMC12528418/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0" w:name="fn13"/>
    <w:bookmarkEnd w:id="40"/>
    <w:p>
      <w:pPr>
        <w:numPr>
          <w:ilvl w:val="0"/>
          <w:numId w:val="2"/>
        </w:numPr>
        <w:spacing w:line="360" w:after="210" w:lineRule="auto"/>
      </w:pPr>
      <w:hyperlink r:id="rId18">
        <w:r>
          <w:rPr>
            <w:rFonts w:eastAsia="inter" w:cs="inter" w:ascii="inter" w:hAnsi="inter"/>
            <w:color w:val="#000"/>
            <w:sz w:val="18"/>
            <w:u w:val="single"/>
          </w:rPr>
          <w:t xml:space="preserve">https://www.frontiersin.org/journals/plant-science/articles/10.3389/fpls.2024.1416940/full</w:t>
        </w:r>
      </w:hyperlink>
      <w:r>
        <w:rPr>
          <w:rFonts w:eastAsia="inter" w:cs="inter" w:ascii="inter" w:hAnsi="inter"/>
          <w:color w:val="000000"/>
          <w:sz w:val="18"/>
        </w:rPr>
        <w:t xml:space="preserve"> </w:t>
      </w:r>
    </w:p>
    <w:bookmarkStart w:id="41" w:name="fn14"/>
    <w:bookmarkEnd w:id="41"/>
    <w:p>
      <w:pPr>
        <w:numPr>
          <w:ilvl w:val="0"/>
          <w:numId w:val="2"/>
        </w:numPr>
        <w:spacing w:line="360" w:after="210" w:lineRule="auto"/>
      </w:pPr>
      <w:hyperlink r:id="rId19">
        <w:r>
          <w:rPr>
            <w:rFonts w:eastAsia="inter" w:cs="inter" w:ascii="inter" w:hAnsi="inter"/>
            <w:color w:val="#000"/>
            <w:sz w:val="18"/>
            <w:u w:val="single"/>
          </w:rPr>
          <w:t xml:space="preserve">https://www.atlantis-press.com/article/126004097.pdf</w:t>
        </w:r>
      </w:hyperlink>
      <w:r>
        <w:rPr>
          <w:rFonts w:eastAsia="inter" w:cs="inter" w:ascii="inter" w:hAnsi="inter"/>
          <w:color w:val="000000"/>
          <w:sz w:val="18"/>
        </w:rPr>
        <w:t xml:space="preserve"> </w:t>
      </w:r>
    </w:p>
    <w:bookmarkStart w:id="42" w:name="fn15"/>
    <w:bookmarkEnd w:id="42"/>
    <w:p>
      <w:pPr>
        <w:numPr>
          <w:ilvl w:val="0"/>
          <w:numId w:val="2"/>
        </w:numPr>
        <w:spacing w:line="360" w:after="210" w:lineRule="auto"/>
      </w:pPr>
      <w:hyperlink r:id="rId20">
        <w:r>
          <w:rPr>
            <w:rFonts w:eastAsia="inter" w:cs="inter" w:ascii="inter" w:hAnsi="inter"/>
            <w:color w:val="#000"/>
            <w:sz w:val="18"/>
            <w:u w:val="single"/>
          </w:rPr>
          <w:t xml:space="preserve">https://journals.plos.org/plosone/article?id=10.1371%2Fjournal.pone.0313387</w:t>
        </w:r>
      </w:hyperlink>
      <w:r>
        <w:rPr>
          <w:rFonts w:eastAsia="inter" w:cs="inter" w:ascii="inter" w:hAnsi="inter"/>
          <w:color w:val="000000"/>
          <w:sz w:val="18"/>
        </w:rPr>
        <w:t xml:space="preserve"> </w:t>
      </w:r>
    </w:p>
    <w:bookmarkStart w:id="43" w:name="fn16"/>
    <w:bookmarkEnd w:id="43"/>
    <w:p>
      <w:pPr>
        <w:numPr>
          <w:ilvl w:val="0"/>
          <w:numId w:val="2"/>
        </w:numPr>
        <w:spacing w:line="360" w:after="210" w:lineRule="auto"/>
      </w:pPr>
      <w:hyperlink r:id="rId21">
        <w:r>
          <w:rPr>
            <w:rFonts w:eastAsia="inter" w:cs="inter" w:ascii="inter" w:hAnsi="inter"/>
            <w:color w:val="#000"/>
            <w:sz w:val="18"/>
            <w:u w:val="single"/>
          </w:rPr>
          <w:t xml:space="preserve">https://arccjournals.com/journal/indian-journal-of-agricultural-research/A-6061</w:t>
        </w:r>
      </w:hyperlink>
      <w:r>
        <w:rPr>
          <w:rFonts w:eastAsia="inter" w:cs="inter" w:ascii="inter" w:hAnsi="inter"/>
          <w:color w:val="000000"/>
          <w:sz w:val="18"/>
        </w:rPr>
        <w:t xml:space="preserve"> </w:t>
      </w:r>
    </w:p>
    <w:bookmarkStart w:id="44" w:name="fn17"/>
    <w:bookmarkEnd w:id="44"/>
    <w:p>
      <w:pPr>
        <w:numPr>
          <w:ilvl w:val="0"/>
          <w:numId w:val="2"/>
        </w:numPr>
        <w:spacing w:line="360" w:after="210" w:lineRule="auto"/>
      </w:pPr>
      <w:hyperlink r:id="rId22">
        <w:r>
          <w:rPr>
            <w:rFonts w:eastAsia="inter" w:cs="inter" w:ascii="inter" w:hAnsi="inter"/>
            <w:color w:val="#000"/>
            <w:sz w:val="18"/>
            <w:u w:val="single"/>
          </w:rPr>
          <w:t xml:space="preserve">https://www.rcs.cic.ipn.mx/2023_152_10/Pests Detection in Agricultural Crops Using Computer Vision.pdf</w:t>
        </w:r>
      </w:hyperlink>
      <w:r>
        <w:rPr>
          <w:rFonts w:eastAsia="inter" w:cs="inter" w:ascii="inter" w:hAnsi="inter"/>
          <w:color w:val="000000"/>
          <w:sz w:val="18"/>
        </w:rPr>
        <w:t xml:space="preserve"> </w:t>
      </w:r>
    </w:p>
    <w:bookmarkStart w:id="45" w:name="fn18"/>
    <w:bookmarkEnd w:id="45"/>
    <w:p>
      <w:pPr>
        <w:numPr>
          <w:ilvl w:val="0"/>
          <w:numId w:val="2"/>
        </w:numPr>
        <w:spacing w:line="360" w:after="210" w:lineRule="auto"/>
      </w:pPr>
      <w:hyperlink r:id="rId23">
        <w:r>
          <w:rPr>
            <w:rFonts w:eastAsia="inter" w:cs="inter" w:ascii="inter" w:hAnsi="inter"/>
            <w:color w:val="#000"/>
            <w:sz w:val="18"/>
            <w:u w:val="single"/>
          </w:rPr>
          <w:t xml:space="preserve">https://www.ijsat.org/papers/2025/2/4410.pdf</w:t>
        </w:r>
      </w:hyperlink>
      <w:r>
        <w:rPr>
          <w:rFonts w:eastAsia="inter" w:cs="inter" w:ascii="inter" w:hAnsi="inter"/>
          <w:color w:val="000000"/>
          <w:sz w:val="18"/>
        </w:rPr>
        <w:t xml:space="preserve"> </w:t>
      </w:r>
    </w:p>
    <w:bookmarkStart w:id="46" w:name="fn19"/>
    <w:bookmarkEnd w:id="46"/>
    <w:p>
      <w:pPr>
        <w:numPr>
          <w:ilvl w:val="0"/>
          <w:numId w:val="2"/>
        </w:numPr>
        <w:spacing w:line="360" w:after="210" w:lineRule="auto"/>
      </w:pPr>
      <w:hyperlink r:id="rId24">
        <w:r>
          <w:rPr>
            <w:rFonts w:eastAsia="inter" w:cs="inter" w:ascii="inter" w:hAnsi="inter"/>
            <w:color w:val="#000"/>
            <w:sz w:val="18"/>
            <w:u w:val="single"/>
          </w:rPr>
          <w:t xml:space="preserve">https://repositorio.iscte-iul.pt/bitstream/10071/26147/1/article_90301.pdf</w:t>
        </w:r>
      </w:hyperlink>
      <w:r>
        <w:rPr>
          <w:rFonts w:eastAsia="inter" w:cs="inter" w:ascii="inter" w:hAnsi="inter"/>
          <w:color w:val="000000"/>
          <w:sz w:val="18"/>
        </w:rPr>
        <w:t xml:space="preserve"> </w:t>
      </w:r>
    </w:p>
    <w:bookmarkStart w:id="47" w:name="fn20"/>
    <w:bookmarkEnd w:id="47"/>
    <w:p>
      <w:pPr>
        <w:numPr>
          <w:ilvl w:val="0"/>
          <w:numId w:val="2"/>
        </w:numPr>
        <w:spacing w:line="360" w:after="210" w:lineRule="auto"/>
      </w:pPr>
      <w:hyperlink r:id="rId25">
        <w:r>
          <w:rPr>
            <w:rFonts w:eastAsia="inter" w:cs="inter" w:ascii="inter" w:hAnsi="inter"/>
            <w:color w:val="#000"/>
            <w:sz w:val="18"/>
            <w:u w:val="single"/>
          </w:rPr>
          <w:t xml:space="preserve">https://www.frontiersin.org/journals/plant-science/articles/10.3389/fpls.2025.1619365/full</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09f44573bf71df7ded3588c235a8fa8dacb6b3a.png" TargetMode="Internal"/><Relationship Id="rId6" Type="http://schemas.openxmlformats.org/officeDocument/2006/relationships/hyperlink" Target="https://pmc.ncbi.nlm.nih.gov/articles/PMC10088765/" TargetMode="External"/><Relationship Id="rId7" Type="http://schemas.openxmlformats.org/officeDocument/2006/relationships/hyperlink" Target="https://pmc.ncbi.nlm.nih.gov/articles/PMC11253532/" TargetMode="External"/><Relationship Id="rId8" Type="http://schemas.openxmlformats.org/officeDocument/2006/relationships/hyperlink" Target="https://ar5iv.labs.arxiv.org/html/1812.01043" TargetMode="External"/><Relationship Id="rId9" Type="http://schemas.openxmlformats.org/officeDocument/2006/relationships/hyperlink" Target="https://d-nb.info/1371393532/34" TargetMode="External"/><Relationship Id="rId10" Type="http://schemas.openxmlformats.org/officeDocument/2006/relationships/hyperlink" Target="https://arxiv.org/html/2501.06740v1" TargetMode="External"/><Relationship Id="rId11" Type="http://schemas.openxmlformats.org/officeDocument/2006/relationships/hyperlink" Target="https://www.techscience.com/cmc/v75n2/52135" TargetMode="External"/><Relationship Id="rId12" Type="http://schemas.openxmlformats.org/officeDocument/2006/relationships/hyperlink" Target="https://pmc.ncbi.nlm.nih.gov/articles/PMC12370686/" TargetMode="External"/><Relationship Id="rId13" Type="http://schemas.openxmlformats.org/officeDocument/2006/relationships/hyperlink" Target="https://ui.adsabs.harvard.edu/abs/2023Agric..13.1285J/abstract" TargetMode="External"/><Relationship Id="rId14" Type="http://schemas.openxmlformats.org/officeDocument/2006/relationships/hyperlink" Target="https://pmc.ncbi.nlm.nih.gov/articles/PMC12031063/" TargetMode="External"/><Relationship Id="rId15" Type="http://schemas.openxmlformats.org/officeDocument/2006/relationships/hyperlink" Target="https://www.frontiersin.org/journals/plant-science/articles/10.3389/fpls.2025.1643096/full" TargetMode="External"/><Relationship Id="rId16" Type="http://schemas.openxmlformats.org/officeDocument/2006/relationships/hyperlink" Target="https://www.arxiv.org/pdf/2408.01752.pdf" TargetMode="External"/><Relationship Id="rId17" Type="http://schemas.openxmlformats.org/officeDocument/2006/relationships/hyperlink" Target="https://pmc.ncbi.nlm.nih.gov/articles/PMC12528418/" TargetMode="External"/><Relationship Id="rId18" Type="http://schemas.openxmlformats.org/officeDocument/2006/relationships/hyperlink" Target="https://www.frontiersin.org/journals/plant-science/articles/10.3389/fpls.2024.1416940/full" TargetMode="External"/><Relationship Id="rId19" Type="http://schemas.openxmlformats.org/officeDocument/2006/relationships/hyperlink" Target="https://www.atlantis-press.com/article/126004097.pdf" TargetMode="External"/><Relationship Id="rId20" Type="http://schemas.openxmlformats.org/officeDocument/2006/relationships/hyperlink" Target="https://journals.plos.org/plosone/article?id=10.1371%2Fjournal.pone.0313387" TargetMode="External"/><Relationship Id="rId21" Type="http://schemas.openxmlformats.org/officeDocument/2006/relationships/hyperlink" Target="https://arccjournals.com/journal/indian-journal-of-agricultural-research/A-6061" TargetMode="External"/><Relationship Id="rId22" Type="http://schemas.openxmlformats.org/officeDocument/2006/relationships/hyperlink" Target="https://www.rcs.cic.ipn.mx/2023_152_10/Pests%20Detection%20in%20Agricultural%20Crops%20Using%20Computer%20Vision.pdf" TargetMode="External"/><Relationship Id="rId23" Type="http://schemas.openxmlformats.org/officeDocument/2006/relationships/hyperlink" Target="https://www.ijsat.org/papers/2025/2/4410.pdf" TargetMode="External"/><Relationship Id="rId24" Type="http://schemas.openxmlformats.org/officeDocument/2006/relationships/hyperlink" Target="https://repositorio.iscte-iul.pt/bitstream/10071/26147/1/article_90301.pdf" TargetMode="External"/><Relationship Id="rId25" Type="http://schemas.openxmlformats.org/officeDocument/2006/relationships/hyperlink" Target="https://www.frontiersin.org/journals/plant-science/articles/10.3389/fpls.2025.1619365/ful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2026-02-01T00:39:30.367Z</dcterms:created>
  <dcterms:modified xsi:type="dcterms:W3CDTF">2026-02-01T00:39:30.367Z</dcterms:modified>
</cp:coreProperties>
</file>