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450" w:rsidRDefault="00125C8B">
      <w:hyperlink r:id="rId5" w:history="1">
        <w:r w:rsidRPr="00BC6731">
          <w:rPr>
            <w:rStyle w:val="Hipervnculo"/>
          </w:rPr>
          <w:t>http://www.congreso.gob.pe/ntley/Imagenes/Leyes/27265.pdf</w:t>
        </w:r>
      </w:hyperlink>
    </w:p>
    <w:p w:rsidR="00125C8B" w:rsidRDefault="00125C8B">
      <w:bookmarkStart w:id="0" w:name="_GoBack"/>
      <w:bookmarkEnd w:id="0"/>
    </w:p>
    <w:sectPr w:rsidR="00125C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C8B"/>
    <w:rsid w:val="00106450"/>
    <w:rsid w:val="0012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5C8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5C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ngreso.gob.pe/ntley/Imagenes/Leyes/27265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BIVIANA</dc:creator>
  <cp:lastModifiedBy>BIVIANA</cp:lastModifiedBy>
  <cp:revision>1</cp:revision>
  <dcterms:created xsi:type="dcterms:W3CDTF">2014-03-24T16:12:00Z</dcterms:created>
  <dcterms:modified xsi:type="dcterms:W3CDTF">2014-03-24T16:14:00Z</dcterms:modified>
</cp:coreProperties>
</file>