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926A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>INTRODUÇÃO</w:t>
      </w:r>
    </w:p>
    <w:p w14:paraId="3675DD93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>O turismo consolida-se como um vetor estratégico de desenvolvimento socioeconômico e de descentralização da renda em países em desenvolvimento, especialmente em regiões afetadas pela retração das atividades industriais e agrícolas tradicionais. Alinhada a essa tendência, a Nova Lei Geral do Turismo (Lei nº 14.978/2024) oficializou a atividade turística em pequenas propriedades e na agricultura familiar como uma extensão complementar do trabalho no campo. Nesse cenário, a transição para modalidades alternativas — com destaque para o ecoturismo, o agroturismo e o turismo ecológico — surge como uma via para diversificar a matriz econômica local. O grande diferencial dessa dinâmica é que, mesmo após o sucesso da exploração turística, a propriedade mantém suas práticas produtivas tradicionais plenamente ativas (SENAR, 2020). Essas vertentes promovem a valorização da cultura regional, a permanência das famílias no campo, a inclusão social e o fortalecimento do orgulho comunitário. Distanciando-se do turismo de massa, o modelo valoriza o "saber fazer" local, a autenticidade das paisagens e o patrimônio imaterial de cada território, gerando ocupações complementares e renda sem descaracterizar a identidade camponesa (NIEDERLE; SCHNEIDER, 2011).</w:t>
      </w:r>
    </w:p>
    <w:p w14:paraId="62C22DE9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 xml:space="preserve">Segundo dados do Instituto Brasileiro de Geografia e Estatística (IBGE, 2019), </w:t>
      </w:r>
      <w:proofErr w:type="gramStart"/>
      <w:r w:rsidRPr="00D82926">
        <w:rPr>
          <w:lang w:val="pt-BR"/>
        </w:rPr>
        <w:t>cerca de 77% do total dos estabelecimentos agrícolas no país pertencem</w:t>
      </w:r>
      <w:proofErr w:type="gramEnd"/>
      <w:r w:rsidRPr="00D82926">
        <w:rPr>
          <w:lang w:val="pt-BR"/>
        </w:rPr>
        <w:t xml:space="preserve"> à agricultura familiar, o que reforça a relevância de articular o turismo rural como uma estratégia de apoio e fortalecimento desse setor produtivo. Sustenta-se, que, apesar desse expressivo potencial, a expansão da atividade no Brasil ocorre sob uma profunda heterogeneidade estrutural. Esse panorama revela a coexistência de setores modernos e altamente produtivos ao lado de bolsões de subsistência (BARTHOLO; BURSZTYN; SANSOLO, 2009). Enquanto o mercado turístico tradicional se consolida por meio de grandes empreendimentos de capital intensivo, as iniciativas de turismo de base comunitária e rural frequentemente operam às margens desses fluxos econômicos, lutando por autonomia financeira e inclusão social. Essa disparidade reflete-se diretamente na distribuição espacial dos recursos de fomento e crédito no território (CRUZ, 2009): enquanto municípios-polo e capitais regionais concentram a maior parte dos investimentos privados e da infraestrutura de grande escala, pequenas localidades vocacionadas ao ecoturismo comunitário enfrentam severas restrições de liquidez financeira (CORIOLANO, 2009).</w:t>
      </w:r>
    </w:p>
    <w:p w14:paraId="4E6837DC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 xml:space="preserve">Ressalta-se, que a mera existência de atrativos naturais ou culturais não garante o desenvolvimento regional (CAETANO; WEGNER; XAVIER, 2023). Atualmente, a base econômica de muitas comunidades é fragilizada pela falta de planejamento público e pela escassez de investimentos — recursos que se mostram fundamentais para fomentar um setor que, apenas nas zonas rurais, tem o potencial de impactar 25 milhões de brasileiros (IBGE, 2022). Diante desse cenário de subinvestimento e da ausência de políticas integradas para mitigar tais assimetrias, o sucesso operacional de um destino turístico passa </w:t>
      </w:r>
      <w:r w:rsidRPr="00D82926">
        <w:rPr>
          <w:lang w:val="pt-BR"/>
        </w:rPr>
        <w:lastRenderedPageBreak/>
        <w:t>a depender do nível de articulação organizacional e da capacidade do território de converter seus ativos em produtos comercializáveis e sustentáveis. Essa conversão é crucial para que a diversificação gere valor cultural, preserve a biodiversidade e promova o avanço socioeconômico local. Afinal, as limitações no acesso a mecanismos formais de financiamento e a falta de infraestrutura de suporte (como telecomunicações e transporte) constituem, hoje, os dois maiores gargalos para o desenvolvimento turístico sustentável em áreas não urbanas (UN TOURISM, 2023).</w:t>
      </w:r>
    </w:p>
    <w:p w14:paraId="0F33C233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>Nesse contexto, o objetivo central deste trabalho é analisar a estrutura dos municípios para o desenvolvimento do ecoturismo de base comunitária, avaliando em que medida a circulação de capital financeiro no campo dialoga com a oferta produtiva e a atratividade dos destinos. A escolha dos recortes espaciais justifica-se por seus perfis geográficos e institucionais marcadamente contrastantes. O Rio Grande do Sul apresenta um histórico consolidado de rotas rurais e um cooperativismo de crédito integrado; por outro lado, a Bahia conta com polos turísticos de grande escala concentrados na faixa litorânea, enfrentando o desafio de interiorizar as receitas do setor em direção ao Semiárido e à Chapada Diamantina.</w:t>
      </w:r>
    </w:p>
    <w:p w14:paraId="4FADD8BF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 xml:space="preserve">A presente pesquisa propõe, portanto, a formulação do Índice Sintético de Viabilidade Territorial (ISVT) como uma ferramenta de </w:t>
      </w:r>
      <w:proofErr w:type="spellStart"/>
      <w:r w:rsidRPr="00D82926">
        <w:rPr>
          <w:lang w:val="pt-BR"/>
        </w:rPr>
        <w:t>geointeligência</w:t>
      </w:r>
      <w:proofErr w:type="spellEnd"/>
      <w:r w:rsidRPr="00D82926">
        <w:rPr>
          <w:lang w:val="pt-BR"/>
        </w:rPr>
        <w:t xml:space="preserve"> aplicada à governança do turismo na Bahia e no Rio Grande do Sul. Estruturado a partir da convergência de Big Data de plataformas digitais, dados censitários e indicadores de crédito do Banco Central, o ISVT funciona como um modelo de inteligência territorial desenhado para mapear contrastes latentes e fundamentar critérios científicos universais de monitoramento (MISKALO-CRUZ; GÂNDARA, 2017). O objetivo central é otimizar a alocação de capital público e corrigir assimetrias na distribuição regional de fomento ao ecoturismo e à economia comunitária (BOLZÁN; MENDES FILHO, 2024), subsidiando o planejamento de políticas públicas integradas de desenvolvimento regional em estados com estruturas macroeconômicas tão distintas (BREGOLIN, 2018).</w:t>
      </w:r>
    </w:p>
    <w:p w14:paraId="5B60F665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 xml:space="preserve">Este artigo está organizado em três seções que, integradas, discutem a alocação de capital público para o desenvolvimento regional e a superação da assimetria de informação geográfica. A primeira seção estabelece um diálogo teórico entre os conceitos de assimetria de crédito (Stiglitz), planejamento do capital regional (Furtado) e território usado (Milton Santos), apresentando uma crítica aos modelos puramente cadastrais de concessão bancária em favor de abordagens baseadas em inteligência territorial. A segunda seção detalha o protocolo metodológico de coleta, anonimização e compatibilização dos microdados do Banco Central do Brasil (BCB) e de plataformas digitais para as malhas estaduais analisadas, além de demonstrar as equações matemáticas e os critérios de pesos do modelo </w:t>
      </w:r>
      <w:proofErr w:type="spellStart"/>
      <w:r w:rsidRPr="00D82926">
        <w:rPr>
          <w:lang w:val="pt-BR"/>
        </w:rPr>
        <w:t>Analytic</w:t>
      </w:r>
      <w:proofErr w:type="spellEnd"/>
      <w:r w:rsidRPr="00D82926">
        <w:rPr>
          <w:lang w:val="pt-BR"/>
        </w:rPr>
        <w:t xml:space="preserve"> </w:t>
      </w:r>
      <w:proofErr w:type="spellStart"/>
      <w:r w:rsidRPr="00D82926">
        <w:rPr>
          <w:lang w:val="pt-BR"/>
        </w:rPr>
        <w:t>Hierarchy</w:t>
      </w:r>
      <w:proofErr w:type="spellEnd"/>
      <w:r w:rsidRPr="00D82926">
        <w:rPr>
          <w:lang w:val="pt-BR"/>
        </w:rPr>
        <w:t xml:space="preserve"> </w:t>
      </w:r>
      <w:proofErr w:type="spellStart"/>
      <w:r w:rsidRPr="00D82926">
        <w:rPr>
          <w:lang w:val="pt-BR"/>
        </w:rPr>
        <w:t>Process</w:t>
      </w:r>
      <w:proofErr w:type="spellEnd"/>
      <w:r w:rsidRPr="00D82926">
        <w:rPr>
          <w:lang w:val="pt-BR"/>
        </w:rPr>
        <w:t xml:space="preserve"> (AHP). A terceira seção dedica-se à exibição analítica e visual dos mapas de clusters do Rio Grande do Sul e da Bahia, realizando uma análise comparada que identifica padrões de falhas de mercado e contrasta a atuação das redes de crédito, </w:t>
      </w:r>
      <w:r w:rsidRPr="00D82926">
        <w:rPr>
          <w:lang w:val="pt-BR"/>
        </w:rPr>
        <w:lastRenderedPageBreak/>
        <w:t>especificamente a capilaridade das cooperativas rurais no cenário gaúcho versus a centralidade observada no território baiano.</w:t>
      </w:r>
    </w:p>
    <w:p w14:paraId="31D966D2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 xml:space="preserve">As considerações finais apresentam recomendações de políticas públicas para o desenho de editais de fundos constitucionais e governança bancária de fomento, discutindo também as limitações de escala dos dados </w:t>
      </w:r>
      <w:proofErr w:type="spellStart"/>
      <w:r w:rsidRPr="00D82926">
        <w:rPr>
          <w:lang w:val="pt-BR"/>
        </w:rPr>
        <w:t>biestaduais</w:t>
      </w:r>
      <w:proofErr w:type="spellEnd"/>
      <w:r w:rsidRPr="00D82926">
        <w:rPr>
          <w:lang w:val="pt-BR"/>
        </w:rPr>
        <w:t xml:space="preserve"> e os horizontes para o uso de Big Data governamental.</w:t>
      </w:r>
    </w:p>
    <w:p w14:paraId="7C4A4FDE" w14:textId="77777777" w:rsidR="00F9718C" w:rsidRPr="00D82926" w:rsidRDefault="00F9718C">
      <w:pPr>
        <w:ind w:firstLine="420"/>
        <w:jc w:val="both"/>
        <w:rPr>
          <w:lang w:val="pt-BR"/>
        </w:rPr>
      </w:pPr>
    </w:p>
    <w:p w14:paraId="49E6DFB9" w14:textId="5836213B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>M</w:t>
      </w:r>
      <w:r w:rsidR="00D82926">
        <w:rPr>
          <w:lang w:val="pt-BR"/>
        </w:rPr>
        <w:t>ETODOLOGIA</w:t>
      </w:r>
    </w:p>
    <w:p w14:paraId="3921A196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 xml:space="preserve">A presente pesquisa adota uma abordagem analítica de natureza aplicada e quantitativa, estruturada a partir da convergência de múltiplas fontes oficiais de microdados territoriais. O universo amostral foi delimitado com base nas diretrizes do Ministério do Turismo para o Mapa do Turismo Brasileiro (BRASIL, 2026), resultando em um recorte focado em 420 municípios-alvo com vocação ativa para o ecoturismo e o turismo de base comunitária (TBC), dos quais 136 estão localizados na Bahia e 284 no Rio Grande do Sul. Embora as bases de dados do </w:t>
      </w:r>
      <w:proofErr w:type="spellStart"/>
      <w:r w:rsidRPr="00D82926">
        <w:rPr>
          <w:lang w:val="pt-BR"/>
        </w:rPr>
        <w:t>Cadastur</w:t>
      </w:r>
      <w:proofErr w:type="spellEnd"/>
      <w:r w:rsidRPr="00D82926">
        <w:rPr>
          <w:lang w:val="pt-BR"/>
        </w:rPr>
        <w:t xml:space="preserve"> e da plataforma </w:t>
      </w:r>
      <w:proofErr w:type="spellStart"/>
      <w:r w:rsidRPr="00D82926">
        <w:rPr>
          <w:lang w:val="pt-BR"/>
        </w:rPr>
        <w:t>Airbnb</w:t>
      </w:r>
      <w:proofErr w:type="spellEnd"/>
      <w:r w:rsidRPr="00D82926">
        <w:rPr>
          <w:lang w:val="pt-BR"/>
        </w:rPr>
        <w:t xml:space="preserve"> registrem o fluxo turístico de forma generalista, sua aplicação nesta pesquisa foi delimitada geograficamente a esse universo ecológico e rural. Desse modo, tais registros operam como variáveis de proximidade (proxies) para capturar a infraestrutura de serviços, uma modelagem metodológica validada pela literatura de inteligência territorial diante da escassez de microdados governamentais estritos para a atividade camponesa (GUTTENTAG, 2015; MENDES FILHO et al., 2021).</w:t>
      </w:r>
    </w:p>
    <w:p w14:paraId="5A40C81D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>Para superar a invisibilidade estatística das dinâmicas informais no campo e capturar a real viabilidade das localidades, a matriz de dados foi estruturada em quatro dimensões analíticas interdependentes. A primeira dimensão é o Crédito e Fomento Financeiro, composta pelas operações de crédito rural (Pronaf) e microcrédito orientado obtidas via Sistema ESTECO do Banco Central do Brasil (BCB), acrescida de uma análise temporal de 8 anos dos repasses e contratos do Fundo Geral de Turismo (</w:t>
      </w:r>
      <w:proofErr w:type="spellStart"/>
      <w:r w:rsidRPr="00D82926">
        <w:rPr>
          <w:lang w:val="pt-BR"/>
        </w:rPr>
        <w:t>Fungetur</w:t>
      </w:r>
      <w:proofErr w:type="spellEnd"/>
      <w:r w:rsidRPr="00D82926">
        <w:rPr>
          <w:lang w:val="pt-BR"/>
        </w:rPr>
        <w:t>). Em seguida a Demanda e Dinâmica Digital, estimada por meio de variáveis de proximidade (proxies) de densidade de anúncios e fluxos de plataformas de economia compartilhada (</w:t>
      </w:r>
      <w:proofErr w:type="spellStart"/>
      <w:r w:rsidRPr="00D82926">
        <w:rPr>
          <w:lang w:val="pt-BR"/>
        </w:rPr>
        <w:t>Airbnb</w:t>
      </w:r>
      <w:proofErr w:type="spellEnd"/>
      <w:r w:rsidRPr="00D82926">
        <w:rPr>
          <w:lang w:val="pt-BR"/>
        </w:rPr>
        <w:t xml:space="preserve">), assumidas metodologicamente como indicadores da infraestrutura comercial instalada. Também a Estrutura Produtiva Local, mensurada através das Declarações de Aptidão ao Pronaf/CAF, registros de cooperativas ativas e prestadores homologados no </w:t>
      </w:r>
      <w:proofErr w:type="spellStart"/>
      <w:r w:rsidRPr="00D82926">
        <w:rPr>
          <w:lang w:val="pt-BR"/>
        </w:rPr>
        <w:t>Cadastur</w:t>
      </w:r>
      <w:proofErr w:type="spellEnd"/>
      <w:r w:rsidRPr="00D82926">
        <w:rPr>
          <w:lang w:val="pt-BR"/>
        </w:rPr>
        <w:t>, mapeando o grau de organização da base comunitária. Por fim a Vulnerabilidade e Conectividade, balizada por indicadores do Censo Demográfico do IBGE (rendimento e IDH-M) e mapas de cobertura de telecomunicações da Anatel, atuando como ponderadores de equidade social e viabilidade tecnológica.</w:t>
      </w:r>
    </w:p>
    <w:p w14:paraId="0249EB76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>Para viabilizar a inserção dessas variáveis quantitativas no modelo de inteligência territorial e mitigar distorções causadas por municípios-polo de alta concentração, aplicou-</w:t>
      </w:r>
      <w:r w:rsidRPr="00D82926">
        <w:rPr>
          <w:lang w:val="pt-BR"/>
        </w:rPr>
        <w:lastRenderedPageBreak/>
        <w:t>se o procedimento estatístico de transformação logarítmica (Log-</w:t>
      </w:r>
      <w:proofErr w:type="spellStart"/>
      <w:r w:rsidRPr="00D82926">
        <w:rPr>
          <w:lang w:val="pt-BR"/>
        </w:rPr>
        <w:t>Transform</w:t>
      </w:r>
      <w:proofErr w:type="spellEnd"/>
      <w:r w:rsidRPr="00D82926">
        <w:rPr>
          <w:lang w:val="pt-BR"/>
        </w:rPr>
        <w:t>), operacionalizado em ambiente Python pela função np.log1p através da equação:</w:t>
      </w:r>
    </w:p>
    <w:p w14:paraId="68DAC90F" w14:textId="77777777" w:rsidR="00F9718C" w:rsidRPr="00D82926" w:rsidRDefault="00000000">
      <w:pPr>
        <w:ind w:firstLine="420"/>
        <w:jc w:val="both"/>
        <w:rPr>
          <w:lang w:val="pt-BR"/>
        </w:rPr>
      </w:pPr>
      <w:proofErr w:type="gramStart"/>
      <w:r w:rsidRPr="00D82926">
        <w:rPr>
          <w:lang w:val="pt-BR"/>
        </w:rPr>
        <w:t>\(</w:t>
      </w:r>
      <w:proofErr w:type="gramEnd"/>
      <w:r w:rsidRPr="00D82926">
        <w:rPr>
          <w:lang w:val="pt-BR"/>
        </w:rPr>
        <w:t>Y=\</w:t>
      </w:r>
      <w:proofErr w:type="spellStart"/>
      <w:r w:rsidRPr="00D82926">
        <w:rPr>
          <w:lang w:val="pt-BR"/>
        </w:rPr>
        <w:t>ln</w:t>
      </w:r>
      <w:proofErr w:type="spellEnd"/>
      <w:r w:rsidRPr="00D82926">
        <w:rPr>
          <w:lang w:val="pt-BR"/>
        </w:rPr>
        <w:t xml:space="preserve"> (X+</w:t>
      </w:r>
      <w:proofErr w:type="gramStart"/>
      <w:r w:rsidRPr="00D82926">
        <w:rPr>
          <w:lang w:val="pt-BR"/>
        </w:rPr>
        <w:t>1)\</w:t>
      </w:r>
      <w:proofErr w:type="gramEnd"/>
      <w:r w:rsidRPr="00D82926">
        <w:rPr>
          <w:lang w:val="pt-BR"/>
        </w:rPr>
        <w:t>)</w:t>
      </w:r>
    </w:p>
    <w:p w14:paraId="5EFACEE8" w14:textId="77777777" w:rsidR="001A4A2A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 xml:space="preserve">A escolha dessa transformação fundamenta-se nas diretrizes econométricas de </w:t>
      </w:r>
      <w:proofErr w:type="spellStart"/>
      <w:r w:rsidRPr="00D82926">
        <w:rPr>
          <w:lang w:val="pt-BR"/>
        </w:rPr>
        <w:t>Gujarati</w:t>
      </w:r>
      <w:proofErr w:type="spellEnd"/>
      <w:r w:rsidRPr="00D82926">
        <w:rPr>
          <w:lang w:val="pt-BR"/>
        </w:rPr>
        <w:t xml:space="preserve"> e Porter (2011), em que o logaritmo natural atua como medida corretiva para mitigar a heterocedasticidade em distribuições socioeconômicas de corte transversal. A adição da constante unitária (+1) assegura a preservação dos valores nulos correspondentes à ausência de crédito ou anúncios em pequenas localidades sem gerar indeterminações matemáticas, visto que</w:t>
      </w:r>
    </w:p>
    <w:p w14:paraId="2C603153" w14:textId="2FE77EDE" w:rsidR="00F9718C" w:rsidRPr="00D82926" w:rsidRDefault="00000000">
      <w:pPr>
        <w:ind w:firstLine="420"/>
        <w:jc w:val="both"/>
        <w:rPr>
          <w:lang w:val="pt-BR"/>
        </w:rPr>
      </w:pPr>
      <w:proofErr w:type="gramStart"/>
      <w:r w:rsidRPr="00D82926">
        <w:rPr>
          <w:lang w:val="pt-BR"/>
        </w:rPr>
        <w:t>\(</w:t>
      </w:r>
      <w:proofErr w:type="gramEnd"/>
      <w:r w:rsidRPr="00D82926">
        <w:rPr>
          <w:lang w:val="pt-BR"/>
        </w:rPr>
        <w:t>\</w:t>
      </w:r>
      <w:proofErr w:type="spellStart"/>
      <w:proofErr w:type="gramStart"/>
      <w:r w:rsidRPr="00D82926">
        <w:rPr>
          <w:lang w:val="pt-BR"/>
        </w:rPr>
        <w:t>ln</w:t>
      </w:r>
      <w:proofErr w:type="spellEnd"/>
      <w:r w:rsidRPr="00D82926">
        <w:rPr>
          <w:lang w:val="pt-BR"/>
        </w:rPr>
        <w:t>(</w:t>
      </w:r>
      <w:proofErr w:type="gramEnd"/>
      <w:r w:rsidRPr="00D82926">
        <w:rPr>
          <w:lang w:val="pt-BR"/>
        </w:rPr>
        <w:t>0 + 1) = 0\).</w:t>
      </w:r>
    </w:p>
    <w:p w14:paraId="015104B7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>Na sequência, visando integrar variáveis de naturezas distintas em uma escala comum adimensional no intervalo contínuo de 0,0 a 1,0 (MENDES, 2026; MALCZEWSKI, 1999), aplicou-se a técnica de Normalização Min-Max:</w:t>
      </w:r>
    </w:p>
    <w:p w14:paraId="1C2E7F81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>\(X_{</w:t>
      </w:r>
      <w:proofErr w:type="spellStart"/>
      <w:r w:rsidRPr="00D82926">
        <w:rPr>
          <w:lang w:val="pt-BR"/>
        </w:rPr>
        <w:t>norm</w:t>
      </w:r>
      <w:proofErr w:type="spellEnd"/>
      <w:r w:rsidRPr="00D82926">
        <w:rPr>
          <w:lang w:val="pt-BR"/>
        </w:rPr>
        <w:t>}=\</w:t>
      </w:r>
      <w:proofErr w:type="spellStart"/>
      <w:r w:rsidRPr="00D82926">
        <w:rPr>
          <w:lang w:val="pt-BR"/>
        </w:rPr>
        <w:t>frac</w:t>
      </w:r>
      <w:proofErr w:type="spellEnd"/>
      <w:r w:rsidRPr="00D82926">
        <w:rPr>
          <w:lang w:val="pt-BR"/>
        </w:rPr>
        <w:t>{X-X_{min</w:t>
      </w:r>
      <w:proofErr w:type="gramStart"/>
      <w:r w:rsidRPr="00D82926">
        <w:rPr>
          <w:lang w:val="pt-BR"/>
        </w:rPr>
        <w:t>}}{</w:t>
      </w:r>
      <w:proofErr w:type="gramEnd"/>
      <w:r w:rsidRPr="00D82926">
        <w:rPr>
          <w:lang w:val="pt-BR"/>
        </w:rPr>
        <w:t>X_{</w:t>
      </w:r>
      <w:proofErr w:type="spellStart"/>
      <w:r w:rsidRPr="00D82926">
        <w:rPr>
          <w:lang w:val="pt-BR"/>
        </w:rPr>
        <w:t>max</w:t>
      </w:r>
      <w:proofErr w:type="spellEnd"/>
      <w:r w:rsidRPr="00D82926">
        <w:rPr>
          <w:lang w:val="pt-BR"/>
        </w:rPr>
        <w:t>}-X_{min</w:t>
      </w:r>
      <w:proofErr w:type="gramStart"/>
      <w:r w:rsidRPr="00D82926">
        <w:rPr>
          <w:lang w:val="pt-BR"/>
        </w:rPr>
        <w:t>}}\</w:t>
      </w:r>
      <w:proofErr w:type="gramEnd"/>
      <w:r w:rsidRPr="00D82926">
        <w:rPr>
          <w:lang w:val="pt-BR"/>
        </w:rPr>
        <w:t>)</w:t>
      </w:r>
    </w:p>
    <w:p w14:paraId="3EDE32FC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 xml:space="preserve">Para responder à tese de universalidade do modelo sem desconsiderar os desequilíbrios federativos, a normalização foi processada em duas camadas complementares: uma escala </w:t>
      </w:r>
      <w:proofErr w:type="spellStart"/>
      <w:r w:rsidRPr="00D82926">
        <w:rPr>
          <w:lang w:val="pt-BR"/>
        </w:rPr>
        <w:t>Intra-Estado</w:t>
      </w:r>
      <w:proofErr w:type="spellEnd"/>
      <w:r w:rsidRPr="00D82926">
        <w:rPr>
          <w:lang w:val="pt-BR"/>
        </w:rPr>
        <w:t xml:space="preserve"> (utilizando o argumento </w:t>
      </w:r>
      <w:proofErr w:type="spellStart"/>
      <w:r w:rsidRPr="00D82926">
        <w:rPr>
          <w:lang w:val="pt-BR"/>
        </w:rPr>
        <w:t>groupby</w:t>
      </w:r>
      <w:proofErr w:type="spellEnd"/>
      <w:r w:rsidRPr="00D82926">
        <w:rPr>
          <w:lang w:val="pt-BR"/>
        </w:rPr>
        <w:t>('uf') em Python) para calibrar os limites internos face à teoria da heterogeneidade estrutural cepalina (PORCILE, 2011; PINTO, 1970), e uma escala Global/</w:t>
      </w:r>
      <w:proofErr w:type="spellStart"/>
      <w:r w:rsidRPr="00D82926">
        <w:rPr>
          <w:lang w:val="pt-BR"/>
        </w:rPr>
        <w:t>Inter-Estado</w:t>
      </w:r>
      <w:proofErr w:type="spellEnd"/>
      <w:r w:rsidRPr="00D82926">
        <w:rPr>
          <w:lang w:val="pt-BR"/>
        </w:rPr>
        <w:t>, permitindo o confronto direto entre as capacidades macroeconômicas do Sul e do Nordeste.</w:t>
      </w:r>
    </w:p>
    <w:p w14:paraId="6D56B896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>A modelagem de tomada de decisão seguiu um arranjo metodológico integrado em dois estágios sucessivos para evitar vieses de transição matemática. No primeiro estágio, utilizou-se o algoritmo do Processo de Hierarquia Analítica (</w:t>
      </w:r>
      <w:proofErr w:type="spellStart"/>
      <w:r w:rsidRPr="00D82926">
        <w:rPr>
          <w:lang w:val="pt-BR"/>
        </w:rPr>
        <w:t>Analytic</w:t>
      </w:r>
      <w:proofErr w:type="spellEnd"/>
      <w:r w:rsidRPr="00D82926">
        <w:rPr>
          <w:lang w:val="pt-BR"/>
        </w:rPr>
        <w:t xml:space="preserve"> </w:t>
      </w:r>
      <w:proofErr w:type="spellStart"/>
      <w:r w:rsidRPr="00D82926">
        <w:rPr>
          <w:lang w:val="pt-BR"/>
        </w:rPr>
        <w:t>Hierarchy</w:t>
      </w:r>
      <w:proofErr w:type="spellEnd"/>
      <w:r w:rsidRPr="00D82926">
        <w:rPr>
          <w:lang w:val="pt-BR"/>
        </w:rPr>
        <w:t xml:space="preserve"> </w:t>
      </w:r>
      <w:proofErr w:type="spellStart"/>
      <w:r w:rsidRPr="00D82926">
        <w:rPr>
          <w:lang w:val="pt-BR"/>
        </w:rPr>
        <w:t>Process</w:t>
      </w:r>
      <w:proofErr w:type="spellEnd"/>
      <w:r w:rsidRPr="00D82926">
        <w:rPr>
          <w:lang w:val="pt-BR"/>
        </w:rPr>
        <w:t xml:space="preserve"> - AHP) para a calibração de pesos dos critérios a partir de julgamentos estruturados, gerando o score final do Índice Sintético de Viabilidade Territorial (ISVT) para cada município. No segundo estágio, os scores consolidados do ISVT foram submetidos à Análise Espacial de Dados de Área (AEDA) por meio do Índice de Moran Local (Local </w:t>
      </w:r>
      <w:proofErr w:type="spellStart"/>
      <w:r w:rsidRPr="00D82926">
        <w:rPr>
          <w:lang w:val="pt-BR"/>
        </w:rPr>
        <w:t>Indicators</w:t>
      </w:r>
      <w:proofErr w:type="spellEnd"/>
      <w:r w:rsidRPr="00D82926">
        <w:rPr>
          <w:lang w:val="pt-BR"/>
        </w:rPr>
        <w:t xml:space="preserve"> </w:t>
      </w:r>
      <w:proofErr w:type="spellStart"/>
      <w:r w:rsidRPr="00D82926">
        <w:rPr>
          <w:lang w:val="pt-BR"/>
        </w:rPr>
        <w:t>of</w:t>
      </w:r>
      <w:proofErr w:type="spellEnd"/>
      <w:r w:rsidRPr="00D82926">
        <w:rPr>
          <w:lang w:val="pt-BR"/>
        </w:rPr>
        <w:t xml:space="preserve"> </w:t>
      </w:r>
      <w:proofErr w:type="spellStart"/>
      <w:r w:rsidRPr="00D82926">
        <w:rPr>
          <w:lang w:val="pt-BR"/>
        </w:rPr>
        <w:t>Spatial</w:t>
      </w:r>
      <w:proofErr w:type="spellEnd"/>
      <w:r w:rsidRPr="00D82926">
        <w:rPr>
          <w:lang w:val="pt-BR"/>
        </w:rPr>
        <w:t xml:space="preserve"> </w:t>
      </w:r>
      <w:proofErr w:type="spellStart"/>
      <w:r w:rsidRPr="00D82926">
        <w:rPr>
          <w:lang w:val="pt-BR"/>
        </w:rPr>
        <w:t>Association</w:t>
      </w:r>
      <w:proofErr w:type="spellEnd"/>
      <w:r w:rsidRPr="00D82926">
        <w:rPr>
          <w:lang w:val="pt-BR"/>
        </w:rPr>
        <w:t xml:space="preserve"> - LISA), </w:t>
      </w:r>
      <w:proofErr w:type="spellStart"/>
      <w:r w:rsidRPr="00D82926">
        <w:rPr>
          <w:lang w:val="pt-BR"/>
        </w:rPr>
        <w:t>Anselin</w:t>
      </w:r>
      <w:proofErr w:type="spellEnd"/>
      <w:r w:rsidRPr="00D82926">
        <w:rPr>
          <w:lang w:val="pt-BR"/>
        </w:rPr>
        <w:t xml:space="preserve"> (1995). Essa arquitetura metodológica baseia-se na decomposição de indicadores globais de autocorrelação para identificar padrões locais de associação e heterogeneidade espacial (ANSELIN, 1995), permitindo que o ISVT identifique numericamente as assimetrias distributivas.</w:t>
      </w:r>
    </w:p>
    <w:p w14:paraId="32F43C24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 xml:space="preserve">Essa arquitetura metodológica permite que o ISVT identifique numericamente as assimetrias distributivas e os "vazios financeiros" — municípios com forte apelo endógeno e infraestrutura latente, mas desprovidos de liquidez —, enquanto o algoritmo LISA espacializa esses descasamentos na forma de clusters geográficos de intervenção prioritária. Por fim, assume-se como limitação do modelo a impossibilidade de capturar fluxos </w:t>
      </w:r>
      <w:r w:rsidRPr="00D82926">
        <w:rPr>
          <w:lang w:val="pt-BR"/>
        </w:rPr>
        <w:lastRenderedPageBreak/>
        <w:t>financeiros privados não monitorados pelo ecossistema do BCB, bem como a sensibilidade do índice a choques climáticos agudos de curto prazo (secas prolongadas na Bahia ou enchentes severas no Rio Grande do Sul), os quais introduzem volatilidades exógenas nas cadeias produtivas analisadas.</w:t>
      </w:r>
    </w:p>
    <w:p w14:paraId="5EB40F69" w14:textId="77777777" w:rsidR="00F9718C" w:rsidRPr="00D82926" w:rsidRDefault="00F9718C">
      <w:pPr>
        <w:ind w:firstLine="420"/>
        <w:jc w:val="both"/>
        <w:rPr>
          <w:lang w:val="pt-BR"/>
        </w:rPr>
      </w:pPr>
    </w:p>
    <w:p w14:paraId="3CC02349" w14:textId="77777777" w:rsidR="00F9718C" w:rsidRPr="00D82926" w:rsidRDefault="00F9718C">
      <w:pPr>
        <w:ind w:firstLine="420"/>
        <w:jc w:val="both"/>
        <w:rPr>
          <w:lang w:val="pt-BR"/>
        </w:rPr>
      </w:pPr>
    </w:p>
    <w:p w14:paraId="32166FD4" w14:textId="21ABEED5" w:rsidR="00F9718C" w:rsidRDefault="00000000">
      <w:pPr>
        <w:ind w:firstLine="420"/>
        <w:jc w:val="both"/>
      </w:pPr>
      <w:r>
        <w:t>R</w:t>
      </w:r>
      <w:r w:rsidR="00D82926">
        <w:t>EFERÊNCIAS</w:t>
      </w:r>
    </w:p>
    <w:p w14:paraId="21CCD65C" w14:textId="77777777" w:rsidR="00F9718C" w:rsidRPr="00D82926" w:rsidRDefault="00000000">
      <w:pPr>
        <w:ind w:firstLine="420"/>
        <w:jc w:val="both"/>
        <w:rPr>
          <w:lang w:val="pt-BR"/>
        </w:rPr>
      </w:pPr>
      <w:r>
        <w:t xml:space="preserve">ANSELIN, Luc. Local Indicators of Spatial Association—LISA. Geographical Analysis, v. 27, n. 2, p. 93-115, 1995. </w:t>
      </w:r>
      <w:r w:rsidRPr="00D82926">
        <w:rPr>
          <w:lang w:val="pt-BR"/>
        </w:rPr>
        <w:t>Disponível em: https://onlinelibrary.wiley.com/doi/abs/10.1111/j.1538-4632.1995.tb00338.x. Acesso em: 13 set. 2026.</w:t>
      </w:r>
    </w:p>
    <w:p w14:paraId="4A483FB1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>BARTHOLO, Roberto; SANSOLO, Davis Gruber; BURSZTYN, Ivan (</w:t>
      </w:r>
      <w:proofErr w:type="spellStart"/>
      <w:r w:rsidRPr="00D82926">
        <w:rPr>
          <w:lang w:val="pt-BR"/>
        </w:rPr>
        <w:t>Orgs</w:t>
      </w:r>
      <w:proofErr w:type="spellEnd"/>
      <w:r w:rsidRPr="00D82926">
        <w:rPr>
          <w:lang w:val="pt-BR"/>
        </w:rPr>
        <w:t>.). Turismo de Base Comunitária: diversidade de olhares e experiências brasileiras. Rio de Janeiro: Letra e Imagem, 2009. 460 p.</w:t>
      </w:r>
    </w:p>
    <w:p w14:paraId="50C052F3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>BOLZÁN, Ricardo; MENDES FILHO, Luiz. Gestão turística inteligente e datificação: Design de plataformas digitais no turismo através da lente da justiça de dados. Revista de Turismo Contemporâneo, v. 12, n. 2, p. 1-22, 2024.</w:t>
      </w:r>
    </w:p>
    <w:p w14:paraId="7D3B1275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 xml:space="preserve">BRASIL. Lei nº 14.978, de 18 de setembro de 2024. Altera as Leis </w:t>
      </w:r>
      <w:proofErr w:type="spellStart"/>
      <w:r w:rsidRPr="00D82926">
        <w:rPr>
          <w:lang w:val="pt-BR"/>
        </w:rPr>
        <w:t>nºs</w:t>
      </w:r>
      <w:proofErr w:type="spellEnd"/>
      <w:r w:rsidRPr="00D82926">
        <w:rPr>
          <w:lang w:val="pt-BR"/>
        </w:rPr>
        <w:t xml:space="preserve"> 7.064, de 6 de dezembro de 1982, 7.565, de 19 de dezembro de 1986 (Código Brasileiro de Aeronáutica), 11.771, de 17 de setembro de 2008 (Lei Geral do Turismo), para promover a modernização do turismo. Brasília, DF: Presidência da República, [2024]. Disponível em: http://www.planalto.gov.br/ccivil_03/_ato2023-2026/2024/lei/l14978.htm. Acesso em: 13 set. 2026.</w:t>
      </w:r>
    </w:p>
    <w:p w14:paraId="5E401F11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>BRASIL. Ministério do Turismo. Portaria MTur nº 1, de 30 de janeiro de 2026. Dispõe sobre as normas do Programa de Regionalização do Turismo, do Mapa do Turismo Brasileiro e da Categorização dos Municípios no Mapa do Turismo Brasileiro. Diário Oficial da União: seção 1, Brasília, DF, ano 2026. Disponível em: https://www.gov.br/turismo/pt-br/centrais-de-conteudo-/publicacoes/atos-normativos-2/2026/portaria-mtur-no-1-de-30-de-janeiro-de-2026. Acesso em: 13 set. 2026.</w:t>
      </w:r>
    </w:p>
    <w:p w14:paraId="5CF4C616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>BREGOLIN, Marta. Inteligência territorial em turismo: aplicação do Sistema de Capitais para análise de observatórios de turismo da Europa e da América Latina. 2018. 240 f. Tese (Doutorado em Administração) – Pontifícia Universidade Católica do Rio Grande do Sul, Porto Alegre, 2018.</w:t>
      </w:r>
    </w:p>
    <w:p w14:paraId="35601DF3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lastRenderedPageBreak/>
        <w:t>CAETANO, Jean Gilberto; WEGNER, Douglas; Xavier, Thiago Reis. Fatores de desenvolvimento regional do turismo: um estudo de caso em um circuito de cicloturismo no Brasil. Revista Ciências Administrativas, Fortaleza, v. 29, p. 1-15, 2023.</w:t>
      </w:r>
    </w:p>
    <w:p w14:paraId="4369B298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>CORIOLANO, Valdir Augusto. O turismo comunitário no Nordeste brasileiro. In: BARTHOLO, Roberto; SANSOLO, Davis Gruber; BURSZTYN, Ivan (</w:t>
      </w:r>
      <w:proofErr w:type="spellStart"/>
      <w:r w:rsidRPr="00D82926">
        <w:rPr>
          <w:lang w:val="pt-BR"/>
        </w:rPr>
        <w:t>Orgs</w:t>
      </w:r>
      <w:proofErr w:type="spellEnd"/>
      <w:r w:rsidRPr="00D82926">
        <w:rPr>
          <w:lang w:val="pt-BR"/>
        </w:rPr>
        <w:t>.). Turismo de Base Comunitária: diversidade de olhares e experiências brasileiras. Rio de Janeiro: Letra e Imagem, 2009. p. 291-303.</w:t>
      </w:r>
    </w:p>
    <w:p w14:paraId="48F5375A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 xml:space="preserve">CRUZ, Rita de Cássia </w:t>
      </w:r>
      <w:proofErr w:type="spellStart"/>
      <w:r w:rsidRPr="00D82926">
        <w:rPr>
          <w:lang w:val="pt-BR"/>
        </w:rPr>
        <w:t>Ariza</w:t>
      </w:r>
      <w:proofErr w:type="spellEnd"/>
      <w:r w:rsidRPr="00D82926">
        <w:rPr>
          <w:lang w:val="pt-BR"/>
        </w:rPr>
        <w:t xml:space="preserve"> da. Turismo, produção do espaço e desenvolvimento desigual: para pensar a realidade brasileira. In: BARTHOLO, Roberto; SANSOLO, Davis Gruber; BURSZTYN, Ivan (</w:t>
      </w:r>
      <w:proofErr w:type="spellStart"/>
      <w:r w:rsidRPr="00D82926">
        <w:rPr>
          <w:lang w:val="pt-BR"/>
        </w:rPr>
        <w:t>Orgs</w:t>
      </w:r>
      <w:proofErr w:type="spellEnd"/>
      <w:r w:rsidRPr="00D82926">
        <w:rPr>
          <w:lang w:val="pt-BR"/>
        </w:rPr>
        <w:t>.). Turismo de Base Comunitária: diversidade de olhares e experiências brasileiras. Rio de Janeiro: Letra e Imagem, 2009. p. 55-67.</w:t>
      </w:r>
    </w:p>
    <w:p w14:paraId="02595223" w14:textId="77777777" w:rsidR="00F9718C" w:rsidRDefault="00000000">
      <w:pPr>
        <w:ind w:firstLine="420"/>
        <w:jc w:val="both"/>
      </w:pPr>
      <w:r w:rsidRPr="00D82926">
        <w:rPr>
          <w:lang w:val="pt-BR"/>
        </w:rPr>
        <w:t xml:space="preserve">GUJARATI, </w:t>
      </w:r>
      <w:proofErr w:type="spellStart"/>
      <w:r w:rsidRPr="00D82926">
        <w:rPr>
          <w:lang w:val="pt-BR"/>
        </w:rPr>
        <w:t>Damodar</w:t>
      </w:r>
      <w:proofErr w:type="spellEnd"/>
      <w:r w:rsidRPr="00D82926">
        <w:rPr>
          <w:lang w:val="pt-BR"/>
        </w:rPr>
        <w:t xml:space="preserve"> N.; PORTER, Dawn C. Econometria Básica. 5. ed. Porto Alegre: AMGH Editora, 2011. </w:t>
      </w:r>
      <w:r>
        <w:t>924 p. ISBN 9788563308320.</w:t>
      </w:r>
    </w:p>
    <w:p w14:paraId="37B0C568" w14:textId="77777777" w:rsidR="00F9718C" w:rsidRPr="00D82926" w:rsidRDefault="00000000">
      <w:pPr>
        <w:ind w:firstLine="420"/>
        <w:jc w:val="both"/>
        <w:rPr>
          <w:lang w:val="pt-BR"/>
        </w:rPr>
      </w:pPr>
      <w:r>
        <w:t xml:space="preserve">GUTTENTAG, Daniel. Airbnb: disruptive innovation and the rise of the sharing economy. </w:t>
      </w:r>
      <w:proofErr w:type="spellStart"/>
      <w:r w:rsidRPr="00D82926">
        <w:rPr>
          <w:lang w:val="pt-BR"/>
        </w:rPr>
        <w:t>Current</w:t>
      </w:r>
      <w:proofErr w:type="spellEnd"/>
      <w:r w:rsidRPr="00D82926">
        <w:rPr>
          <w:lang w:val="pt-BR"/>
        </w:rPr>
        <w:t xml:space="preserve"> </w:t>
      </w:r>
      <w:proofErr w:type="spellStart"/>
      <w:r w:rsidRPr="00D82926">
        <w:rPr>
          <w:lang w:val="pt-BR"/>
        </w:rPr>
        <w:t>Issues</w:t>
      </w:r>
      <w:proofErr w:type="spellEnd"/>
      <w:r w:rsidRPr="00D82926">
        <w:rPr>
          <w:lang w:val="pt-BR"/>
        </w:rPr>
        <w:t xml:space="preserve"> in </w:t>
      </w:r>
      <w:proofErr w:type="spellStart"/>
      <w:r w:rsidRPr="00D82926">
        <w:rPr>
          <w:lang w:val="pt-BR"/>
        </w:rPr>
        <w:t>Tourism</w:t>
      </w:r>
      <w:proofErr w:type="spellEnd"/>
      <w:r w:rsidRPr="00D82926">
        <w:rPr>
          <w:lang w:val="pt-BR"/>
        </w:rPr>
        <w:t>, v. 18, n. 12, p. 1192-1217, 2015.</w:t>
      </w:r>
    </w:p>
    <w:p w14:paraId="13920592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>INSTITUTO BRASILEIRO DE GEOGRAFIA E ESTATÍSTICA (IBGE). Censo Agropecuário 2017: Resultados Definitivos. Rio de Janeiro: IBGE, 2019. Disponível em: https://www.ibge.gov.br/estatisticas/economicas/agricultura-e-pecuaria/9827-censo-agropecuario.html. Acesso em: 13 set. 2026.</w:t>
      </w:r>
    </w:p>
    <w:p w14:paraId="63EC73E6" w14:textId="77777777" w:rsidR="00F9718C" w:rsidRDefault="00000000">
      <w:pPr>
        <w:ind w:firstLine="420"/>
        <w:jc w:val="both"/>
      </w:pPr>
      <w:r w:rsidRPr="00D82926">
        <w:rPr>
          <w:lang w:val="pt-BR"/>
        </w:rPr>
        <w:t xml:space="preserve">INSTITUTO BRASILEIRO DE GEOGRAFIA E ESTATÍSTICA (IBGE). Censo Demográfico 2022: Trabalho e Rendimento: Notas metodológicas e conceitos. </w:t>
      </w:r>
      <w:r>
        <w:t>Rio de Janeiro: IBGE, 2022.</w:t>
      </w:r>
    </w:p>
    <w:p w14:paraId="012731CC" w14:textId="77777777" w:rsidR="00F9718C" w:rsidRDefault="00000000">
      <w:pPr>
        <w:ind w:firstLine="420"/>
        <w:jc w:val="both"/>
      </w:pPr>
      <w:r>
        <w:t xml:space="preserve">MALCZEWSKI, Jacek. GIS and Multicriteria Decision Analysis. New York: John Wiley &amp; Sons, 1999. </w:t>
      </w:r>
    </w:p>
    <w:p w14:paraId="57AE2085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>MENDES, J. Análise Multicritério no Planejamento Territorial e Urbano. São Paulo: Editora Acadêmica, 2026</w:t>
      </w:r>
    </w:p>
    <w:p w14:paraId="4E227E1C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>MENDES FILHO, Luiz; et al. Inteligência de dados e destinos turísticos inteligentes: transformações na gestão pública e privada do turismo brasileiro. Revista de Turismo Contemporâneo, v. 9, n. 3, p. 412-435, 2021.</w:t>
      </w:r>
    </w:p>
    <w:p w14:paraId="1C4CDDC7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 xml:space="preserve">MISKALO-CRUZ, Marcelle; GÂNDARA, José Manoel. Indicadores para Monitoramento e Gestão de Destinos Turísticos Inteligentes. </w:t>
      </w:r>
      <w:proofErr w:type="spellStart"/>
      <w:r w:rsidRPr="00D82926">
        <w:rPr>
          <w:lang w:val="pt-BR"/>
        </w:rPr>
        <w:t>Estudios</w:t>
      </w:r>
      <w:proofErr w:type="spellEnd"/>
      <w:r w:rsidRPr="00D82926">
        <w:rPr>
          <w:lang w:val="pt-BR"/>
        </w:rPr>
        <w:t xml:space="preserve"> y Perspectivas </w:t>
      </w:r>
      <w:proofErr w:type="spellStart"/>
      <w:r w:rsidRPr="00D82926">
        <w:rPr>
          <w:lang w:val="pt-BR"/>
        </w:rPr>
        <w:t>en</w:t>
      </w:r>
      <w:proofErr w:type="spellEnd"/>
      <w:r w:rsidRPr="00D82926">
        <w:rPr>
          <w:lang w:val="pt-BR"/>
        </w:rPr>
        <w:t xml:space="preserve"> Turismo, v. 26, n. 1, p. 1-21, 2017.</w:t>
      </w:r>
    </w:p>
    <w:p w14:paraId="4BE4DA75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 xml:space="preserve">NIEDERLE, Paulo André; SCHNEIDER, Sergio. </w:t>
      </w:r>
      <w:proofErr w:type="gramStart"/>
      <w:r w:rsidRPr="00D82926">
        <w:rPr>
          <w:lang w:val="pt-BR"/>
        </w:rPr>
        <w:t>Aonde</w:t>
      </w:r>
      <w:proofErr w:type="gramEnd"/>
      <w:r w:rsidRPr="00D82926">
        <w:rPr>
          <w:lang w:val="pt-BR"/>
        </w:rPr>
        <w:t xml:space="preserve"> estão os mercados? Mudanças institucionais e orientação política na agricultura familiar. In: SCHNEIDER, </w:t>
      </w:r>
      <w:r w:rsidRPr="00D82926">
        <w:rPr>
          <w:lang w:val="pt-BR"/>
        </w:rPr>
        <w:lastRenderedPageBreak/>
        <w:t>Sergio; CONTERATO, Marcelo Antonio (Org.). Dinâmica regional e desenvolvimento rural. Porto Alegre: Editora da UFRGS, 2011. p. 101-125.</w:t>
      </w:r>
    </w:p>
    <w:p w14:paraId="259D9911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>PINTO, Aníbal. Heterogeneidade estrutural e modelo de desenvolvimento recente. In: JOSÉ, Serra (Org.). América Latina: ensaios de interpretação econômica. Rio de Janeiro: Paz e Terra, 1970. p. 10-31.</w:t>
      </w:r>
    </w:p>
    <w:p w14:paraId="2A05DD7F" w14:textId="77777777" w:rsidR="00F9718C" w:rsidRPr="00D82926" w:rsidRDefault="00000000">
      <w:pPr>
        <w:ind w:firstLine="420"/>
        <w:jc w:val="both"/>
        <w:rPr>
          <w:lang w:val="pt-BR"/>
        </w:rPr>
      </w:pPr>
      <w:r w:rsidRPr="00D82926">
        <w:rPr>
          <w:lang w:val="pt-BR"/>
        </w:rPr>
        <w:t xml:space="preserve">PORCILE, Gabriel. A evolução das ideias da CEPAL: de </w:t>
      </w:r>
      <w:proofErr w:type="spellStart"/>
      <w:r w:rsidRPr="00D82926">
        <w:rPr>
          <w:lang w:val="pt-BR"/>
        </w:rPr>
        <w:t>Raúl</w:t>
      </w:r>
      <w:proofErr w:type="spellEnd"/>
      <w:r w:rsidRPr="00D82926">
        <w:rPr>
          <w:lang w:val="pt-BR"/>
        </w:rPr>
        <w:t xml:space="preserve"> Prebisch à heterogeneidade estrutural. Santiago: Nações Unidas, 2011.</w:t>
      </w:r>
    </w:p>
    <w:p w14:paraId="3E0F0D14" w14:textId="77777777" w:rsidR="00F9718C" w:rsidRDefault="00000000">
      <w:pPr>
        <w:ind w:firstLine="420"/>
        <w:jc w:val="both"/>
      </w:pPr>
      <w:r w:rsidRPr="00D82926">
        <w:rPr>
          <w:lang w:val="pt-BR"/>
        </w:rPr>
        <w:t xml:space="preserve">SERVIÇO NACIONAL DE APRENDIZAGEM RURAL. Turismo rural: legislação e gestão de empreendimentos. </w:t>
      </w:r>
      <w:r>
        <w:t xml:space="preserve">Brasília: </w:t>
      </w:r>
      <w:proofErr w:type="spellStart"/>
      <w:r>
        <w:t>Senar</w:t>
      </w:r>
      <w:proofErr w:type="spellEnd"/>
      <w:r>
        <w:t>, 2020. 108 p. il. (Coleção Senar, 286). ISBN 978-85-7664-239-8.</w:t>
      </w:r>
    </w:p>
    <w:p w14:paraId="62759E17" w14:textId="77777777" w:rsidR="00F9718C" w:rsidRDefault="00000000">
      <w:pPr>
        <w:ind w:firstLine="420"/>
        <w:jc w:val="both"/>
      </w:pPr>
      <w:r>
        <w:t>UN TOURISM. Tourism and Rural Development: A Policy Perspective. Madrid: World Tourism Organization, 2023.</w:t>
      </w:r>
    </w:p>
    <w:p w14:paraId="553ED2CA" w14:textId="77777777" w:rsidR="00F9718C" w:rsidRDefault="00F9718C">
      <w:pPr>
        <w:ind w:firstLine="420"/>
        <w:jc w:val="both"/>
      </w:pPr>
    </w:p>
    <w:p w14:paraId="66296194" w14:textId="77777777" w:rsidR="00F9718C" w:rsidRDefault="00F9718C">
      <w:pPr>
        <w:ind w:firstLine="420"/>
        <w:jc w:val="both"/>
      </w:pPr>
    </w:p>
    <w:sectPr w:rsidR="00F9718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6964108">
    <w:abstractNumId w:val="8"/>
  </w:num>
  <w:num w:numId="2" w16cid:durableId="1111508682">
    <w:abstractNumId w:val="6"/>
  </w:num>
  <w:num w:numId="3" w16cid:durableId="1267957042">
    <w:abstractNumId w:val="5"/>
  </w:num>
  <w:num w:numId="4" w16cid:durableId="830171659">
    <w:abstractNumId w:val="4"/>
  </w:num>
  <w:num w:numId="5" w16cid:durableId="2054688268">
    <w:abstractNumId w:val="7"/>
  </w:num>
  <w:num w:numId="6" w16cid:durableId="1164977876">
    <w:abstractNumId w:val="3"/>
  </w:num>
  <w:num w:numId="7" w16cid:durableId="275452300">
    <w:abstractNumId w:val="2"/>
  </w:num>
  <w:num w:numId="8" w16cid:durableId="980887372">
    <w:abstractNumId w:val="1"/>
  </w:num>
  <w:num w:numId="9" w16cid:durableId="145174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A2A"/>
    <w:rsid w:val="0029639D"/>
    <w:rsid w:val="00326F90"/>
    <w:rsid w:val="00636FF3"/>
    <w:rsid w:val="00AA1D8D"/>
    <w:rsid w:val="00B47730"/>
    <w:rsid w:val="00CB0664"/>
    <w:rsid w:val="00D82926"/>
    <w:rsid w:val="00F616A7"/>
    <w:rsid w:val="00F971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B50F0E"/>
  <w14:defaultImageDpi w14:val="300"/>
  <w15:docId w15:val="{22B96FFF-01E4-4C22-9B57-BD269A1B4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2672</Words>
  <Characters>14430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Julio Jose de Almeida</cp:lastModifiedBy>
  <cp:revision>3</cp:revision>
  <dcterms:created xsi:type="dcterms:W3CDTF">2026-09-14T13:21:00Z</dcterms:created>
  <dcterms:modified xsi:type="dcterms:W3CDTF">2026-09-14T13:40:00Z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2026-09-14T13:23:39Z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67dba54d-d20b-4d27-b026-dbbaee73122c</vt:lpwstr>
  </property>
  <property fmtid="{D5CDD505-2E9C-101B-9397-08002B2CF9AE}" pid="8" name="MSIP_Label_fde7aacd-7cc4-4c31-9e6f-7ef306428f09_ContentBits">
    <vt:lpwstr>1</vt:lpwstr>
  </property>
  <property fmtid="{D5CDD505-2E9C-101B-9397-08002B2CF9AE}" pid="9" name="MSIP_Label_fde7aacd-7cc4-4c31-9e6f-7ef306428f09_Tag">
    <vt:lpwstr>10, 0, 1, 1</vt:lpwstr>
  </property>
</Properties>
</file>