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53D8926A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>INTRODUÇÃO</w:t>
      </w:r>
    </w:p>
    <w:p w14:paraId="3675DD93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>O turismo consolida-se como um vetor estratégico de desenvolvimento socioeconômico e de descentralização da renda em países em desenvolvimento, especialmente em regiões afetadas pela retração das atividades industriais e agrícolas tradicionais. Alinhada a essa tendência, a Nova Lei Geral do Turismo (Lei nº 14.978/2024) oficializou a atividade turística em pequenas propriedades e na agricultura familiar como uma extensão complementar do trabalho no campo. Nesse cenário, a transição para modalidades alternativas — com destaque para o ecoturismo, o agroturismo e o turismo ecológico — surge como uma via para diversificar a matriz econômica local. O grande diferencial dessa dinâmica é que, mesmo após o sucesso da exploração turística, a propriedade mantém suas práticas produtivas tradicionais plenamente ativas (SENAR, 2020). Essas vertentes promovem a valorização da cultura regional, a permanência das famílias no campo, a inclusão social e o fortalecimento do orgulho comunitário. Distanciando-se do turismo de massa, o modelo valoriza o "saber fazer" local, a autenticidade das paisagens e o patrimônio imaterial de cada território, gerando ocupações complementares e renda sem descaracterizar a identidade camponesa (NIEDERLE; SCHNEIDER, 2011).</w:t>
      </w:r>
    </w:p>
    <w:p w14:paraId="62C22DE9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Segundo dados do Instituto Brasileiro de Geografia e Estatística (IBGE, 2019),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cerca de 77% do total dos estabelecimentos agrícolas no país pertencem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 à agricultura familiar, o que reforça a relevância de articular o turismo rural como uma estratégia de apoio e fortalecimento desse setor produtivo. Sustenta-se, que, apesar desse expressivo potencial, a expansão da atividade no Brasil ocorre sob uma profunda heterogeneidade estrutural. Esse panorama revela a coexistência de setores modernos e altamente produtivos ao lado de bolsões de subsistência (BARTHOLO; BURSZTYN; SANSOLO, 2009). Enquanto o mercado turístico tradicional se consolida por meio de grandes empreendimentos de capital intensivo, as iniciativas de turismo de base comunitária e rural frequentemente operam às margens desses fluxos econômicos, lutando por autonomia financeira e inclusão social. Essa disparidade reflete-se diretamente na distribuição espacial dos recursos de fomento e crédito no território (CRUZ, 2009): enquanto municípios-polo e capitais regionais concentram a maior parte dos investimentos privados e da infraestrutura de grande escala, pequenas localidades vocacionadas ao ecoturismo comunitário enfrentam severas restrições de liquidez financeira (CORIOLANO, 2009).</w:t>
      </w:r>
    </w:p>
    <w:p w14:paraId="4E6837DC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Ressalta-se, que a mera existência de atrativos naturais ou culturais não garante o desenvolvimento regional (CAETANO; WEGNER; XAVIER, 2023). Atualmente, a base econômica de muitas comunidades é fragilizada pela falta de planejamento público e pela escassez de investimentos — recursos que se mostram fundamentais para fomentar um setor que, apenas nas zonas rurais, tem o potencial de impactar 25 milhões de brasileiros (IBGE, 2022). Diante desse cenário de subinvestimento e da ausência de políticas integradas para mitigar tais assimetrias, o sucesso operacional de um destino turístico passa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a depender do nível de articulação organizacional e da capacidade do território de converter seus ativos em produtos comercializáveis e sustentáveis. Essa conversão é crucial para que a diversificação gere valor cultural, preserve a biodiversidade e promova o avanço socioeconômico local. Afinal, as limitações no acesso a mecanismos formais de financiamento e a falta de infraestrutura de suporte (como telecomunicações e transporte) constituem, hoje, os dois maiores gargalos para o desenvolvimento turístico sustentável em áreas não urbanas (UN TOURISM, 2023).</w:t>
      </w:r>
    </w:p>
    <w:p w14:paraId="0F33C233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>Nesse contexto, o objetivo central deste trabalho é analisar a estrutura dos municípios para o desenvolvimento do ecoturismo de base comunitária, avaliando em que medida a circulação de capital financeiro no campo dialoga com a oferta produtiva e a atratividade dos destinos. A escolha dos recortes espaciais justifica-se por seus perfis geográficos e institucionais marcadamente contrastantes. O Rio Grande do Sul apresenta um histórico consolidado de rotas rurais e um cooperativismo de crédito integrado; por outro lado, a Bahia conta com polos turísticos de grande escala concentrados na faixa litorânea, enfrentando o desafio de interiorizar as receitas do setor em direção ao Semiárido e à Chapada Diamantina.</w:t>
      </w:r>
    </w:p>
    <w:p w14:paraId="4FADD8BF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A presente pesquisa propõe, portanto, a formulação do Índice Sintético de Viabilidade Territorial (ISVT) como uma ferramenta de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geointeligência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 aplicada à governança do turismo na Bahia e no Rio Grande do Sul. Estruturado a partir da convergência de Big Data de plataformas digitais, dados censitários e indicadores de crédito do Banco Central, o ISVT funciona como um modelo de inteligência territorial desenhado para mapear contrastes latentes e fundamentar critérios científicos universais de monitoramento (MISKALO-CRUZ; GÂNDARA, 2017). O objetivo central é otimizar a alocação de capital público e corrigir assimetrias na distribuição regional de fomento ao ecoturismo e à economia comunitária (BOLZÁN; MENDES FILHO, 2024), subsidiando o planejamento de políticas públicas integradas de desenvolvimento regional em estados com estruturas macroeconômicas tão distintas (BREGOLIN, 2018).</w:t>
      </w:r>
    </w:p>
    <w:p w14:paraId="5B60F665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Este artigo está organizado em três seções que, integradas, discutem a alocação de capital público para o desenvolvimento regional e a superação da assimetria de informação geográfica. A primeira seção estabelece um diálogo teórico entre os conceitos de assimetria de crédito (Stiglitz), planejamento do capital regional (Furtado) e território usado (Milton Santos), apresentando uma crítica aos modelos puramente cadastrais de concessão bancária em favor de abordagens baseadas em inteligência territorial. A segunda seção detalha o protocolo metodológico de coleta, anonimização e compatibilização dos microdados do Banco Central do Brasil (BCB) e de plataformas digitais para as malhas estaduais analisadas, além de demonstrar as equações matemáticas e os critérios de pesos do modelo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Analytic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Hierarchy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Process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 (AHP). A terceira seção dedica-se à exibição analítica e visual dos mapas de clusters do Rio Grande do Sul e da Bahia, realizando uma análise comparada que identifica padrões de falhas de mercado e contrasta a atuação das redes de crédito,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especificamente a capilaridade das cooperativas rurais no cenário gaúcho versus a centralidade observada no território baiano.</w:t>
      </w:r>
    </w:p>
    <w:p w14:paraId="31D966D2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As considerações finais apresentam recomendações de políticas públicas para o desenho de editais de fundos constitucionais e governança bancária de fomento, discutindo também as limitações de escala dos dados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biestaduais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 e os horizontes para o uso de Big Data governamental.</w:t>
      </w:r>
    </w:p>
    <w:p w14:paraId="7C4A4FDE" w14:textId="77777777">
      <w:pPr>
        <w:ind w:firstLine="420"/>
        <w:jc w:val="both"/>
      </w:pPr>
    </w:p>
    <w:p w14:paraId="49E6DFB9" w14:textId="5836213B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>M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ETODOLOGIA</w:t>
      </w:r>
    </w:p>
    <w:p w14:paraId="3921A196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A presente pesquisa adota uma abordagem analítica de natureza aplicada e quantitativa, estruturada a partir da convergência de múltiplas fontes oficiais de microdados territoriais. O universo amostral foi delimitado com base nas diretrizes do Ministério do Turismo para o Mapa do Turismo Brasileiro (BRASIL, 2026), resultando em um recorte focado em 420 municípios-alvo com vocação ativa para o ecoturismo e o turismo de base comunitária (TBC), dos quais 136 estão localizados na Bahia e 284 no Rio Grande do Sul. Embora as bases de dados do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Cadastur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 e da plataforma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Airbnb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 registrem o fluxo turístico de forma generalista, sua aplicação nesta pesquisa foi delimitada geograficamente a esse universo ecológico e rural. Desse modo, tais registros operam como variáveis de proximidade (proxies) para capturar a infraestrutura de serviços, uma modelagem metodológica validada pela literatura de inteligência territorial diante da escassez de microdados governamentais estritos para a atividade camponesa (GUTTENTAG, 2015; MENDES FILHO et al., 2021).</w:t>
      </w:r>
    </w:p>
    <w:p w14:paraId="5A40C81D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>Para superar a invisibilidade estatística das dinâmicas informais no campo e capturar a real viabilidade das localidades, a matriz de dados foi estruturada em quatro dimensões analíticas interdependentes. A primeira dimensão é o Crédito e Fomento Financeiro, composta pelas operações de crédito rural (Pronaf) e microcrédito orientado obtidas via Sistema ESTECO do Banco Central do Brasil (BCB), acrescida de uma análise temporal de 8 anos dos repasses e contratos do Fundo Geral de Turismo (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Fungetur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). Em seguida a Demanda e Dinâmica Digital, estimada por meio de variáveis de proximidade (proxies) de densidade de anúncios e fluxos de plataformas de economia compartilhada (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Airbnb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), assumidas metodologicamente como indicadores da infraestrutura comercial instalada. Também a Estrutura Produtiva Local, mensurada através das Declarações de Aptidão ao Pronaf/CAF, registros de cooperativas ativas e prestadores homologados no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Cadastur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, mapeando o grau de organização da base comunitária. Por fim a Vulnerabilidade e Conectividade, balizada por indicadores do Censo Demográfico do IBGE (rendimento e IDH-M) e mapas de cobertura de telecomunicações da Anatel, atuando como ponderadores de equidade social e viabilidade tecnológica.</w:t>
      </w:r>
    </w:p>
    <w:p w14:paraId="0249EB76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>Para viabilizar a inserção dessas variáveis quantitativas no modelo de inteligência territorial e mitigar distorções causadas por municípios-polo de alta concentração, aplicou-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se o procedimento estatístico de transformação logarítmica (Log-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Transform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), operacionalizado em ambiente Python pela função np.log1p através da equação:</w:t>
      </w:r>
    </w:p>
    <w:p w14:paraId="68DAC90F" w14:textId="77777777">
      <w:pPr>
        <w:ind w:firstLine="420"/>
        <w:jc w:val="center"/>
      </w:pPr>
      <w:r>
        <w:rPr>
          <w:rFonts w:ascii="Segoe WPC" w:cs="Segoe WPC"/>
          <w:i/>
          <w:iCs/>
          <w:sz w:val="20"/>
          <w:szCs w:val="20"/>
        </w:rPr>
        <w:t>Y = ln(X + 1)</w:t>
      </w:r>
    </w:p>
    <w:p w14:paraId="5EFACEE8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A escolha dessa transformação fundamenta-se nas diretrizes econométricas de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Gujarati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 e Porter (2011), em que o logaritmo natural atua como medida corretiva para mitigar a heterocedasticidade em distribuições socioeconômicas de corte transversal. A adição da constante unitária (+1) assegura a preservação dos valores nulos correspondentes à ausência de crédito ou anúncios em pequenas localidades sem gerar indeterminações matemáticas, visto que</w:t>
      </w:r>
    </w:p>
    <w:p w14:paraId="2C603153" w14:textId="2FE77EDE">
      <w:pPr>
        <w:ind w:firstLine="420"/>
        <w:jc w:val="center"/>
      </w:pPr>
      <w:r>
        <w:rPr>
          <w:rFonts w:ascii="Segoe WPC" w:cs="Segoe WPC"/>
          <w:i/>
          <w:iCs/>
          <w:sz w:val="20"/>
          <w:szCs w:val="20"/>
        </w:rPr>
        <w:t>ln(0 + 1) = 0</w:t>
      </w:r>
    </w:p>
    <w:p w14:paraId="05562688"/>
    <w:p w14:paraId="015104B7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>Na sequência, visando integrar variáveis de naturezas distintas em uma escala comum adimensional no intervalo contínuo de 0,0 a 1,0 (MENDES, 2026; MALCZEWSKI, 1999), aplicou-se a técnica de Normalização Min-Max:</w:t>
      </w:r>
    </w:p>
    <w:p w14:paraId="1C2E7F81" w14:textId="77777777">
      <w:pPr>
        <w:ind w:firstLine="420"/>
        <w:jc w:val="center"/>
      </w:pPr>
      <w:r>
        <w:rPr>
          <w:rFonts w:ascii="Segoe WPC" w:cs="Segoe WPC"/>
          <w:i/>
          <w:iCs/>
          <w:sz w:val="20"/>
          <w:szCs w:val="20"/>
        </w:rPr>
        <w:t>Xnorm = (X - Xmin) / (Xmax - Xmin</w:t>
      </w:r>
    </w:p>
    <w:p w14:paraId="3EDE32FC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Para responder à tese de universalidade do modelo sem desconsiderar os desequilíbrios federativos, a normalização foi processada em duas camadas complementares: uma escala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Intra-Estado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 (utilizando o argumento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groupby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('uf') em Python) para calibrar os limites internos face à teoria da heterogeneidade estrutural cepalina (PORCILE, 2011; PINTO, 1970), e uma escala Global/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Inter-Estado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, permitindo o confronto direto entre as capacidades macroeconômicas do Sul e do Nordeste.</w:t>
      </w:r>
    </w:p>
    <w:p w14:paraId="6D56B896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>A modelagem de tomada de decisão seguiu um arranjo metodológico integrado em dois estágios sucessivos para evitar vieses de transição matemática. No primeiro estágio, utilizou-se o algoritmo do Processo de Hierarquia Analítica (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Analytic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Hierarchy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Process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 - AHP) para a calibração de pesos dos critérios a partir de julgamentos estruturados, gerando o score final do Índice Sintético de Viabilidade Territorial (ISVT) para cada município. No segundo estágio, os scores consolidados do ISVT foram submetidos à Análise Espacial de Dados de Área (AEDA) por meio do Índice de Moran Local (Local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Indicators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of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Spatial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Association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 - LISA),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Anselin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 (1995). Essa arquitetura metodológica baseia-se na decomposição de indicadores globais de autocorrelação para identificar padrões locais de associação e heterogeneidade espacial (ANSELIN, 1995), permitindo que o ISVT identifique numericamente as assimetrias distributivas.</w:t>
      </w:r>
    </w:p>
    <w:p w14:paraId="32F43C24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Essa arquitetura metodológica permite que o ISVT identifique numericamente as assimetrias distributivas e os "vazios financeiros" — municípios com forte apelo endógeno e infraestrutura latente, mas desprovidos de liquidez —, enquanto o algoritmo LISA espacializa esses descasamentos na forma de clusters geográficos de intervenção prioritária. Por fim, assume-se como limitação do modelo a impossibilidade de capturar fluxos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financeiros privados não monitorados pelo ecossistema do BCB, bem como a sensibilidade do índice a choques climáticos agudos de curto prazo (secas prolongadas na Bahia ou enchentes severas no Rio Grande do Sul), os quais introduzem volatilidades exógenas nas cadeias produtivas analisadas.</w:t>
      </w:r>
    </w:p>
    <w:p w14:paraId="5EB40F69" w14:textId="77777777">
      <w:pPr>
        <w:ind w:firstLine="420"/>
        <w:jc w:val="both"/>
      </w:pPr>
    </w:p>
    <w:p w14:paraId="3CC02349" w14:textId="77777777">
      <w:pPr>
        <w:ind w:firstLine="420"/>
        <w:jc w:val="both"/>
      </w:pPr>
    </w:p>
    <w:p w14:paraId="32166FD4" w14:textId="21ABEED5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>R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EFERÊNCIAS</w:t>
      </w:r>
    </w:p>
    <w:p w14:paraId="21CCD65C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ANSELIN, Luc. Local Indicators of Spatial Association—LISA. Geographical Analysis, v. 27, n. 2, p. 93-115, 1995.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Disponível em: https://onlinelibrary.wiley.com/doi/abs/10.1111/j.1538-4632.1995.tb00338.x. Acesso em: 13 set. 2026.</w:t>
      </w:r>
    </w:p>
    <w:p w14:paraId="4A483FB1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>BARTHOLO, Roberto; SANSOLO, Davis Gruber; BURSZTYN, Ivan (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Orgs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.). Turismo de Base Comunitária: diversidade de olhares e experiências brasileiras. Rio de Janeiro: Letra e Imagem, 2009. 460 p.</w:t>
      </w:r>
    </w:p>
    <w:p w14:paraId="50C052F3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>BOLZÁN, Ricardo; MENDES FILHO, Luiz. Gestão turística inteligente e datificação: Design de plataformas digitais no turismo através da lente da justiça de dados. Revista de Turismo Contemporâneo, v. 12, n. 2, p. 1-22, 2024.</w:t>
      </w:r>
    </w:p>
    <w:p w14:paraId="7D3B1275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BRASIL. Lei nº 14.978, de 18 de setembro de 2024. Altera as Leis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nºs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 7.064, de 6 de dezembro de 1982, 7.565, de 19 de dezembro de 1986 (Código Brasileiro de Aeronáutica), 11.771, de 17 de setembro de 2008 (Lei Geral do Turismo), para promover a modernização do turismo. Brasília, DF: Presidência da República, [2024]. Disponível em: http://www.planalto.gov.br/ccivil_03/_ato2023-2026/2024/lei/l14978.htm. Acesso em: 13 set. 2026.</w:t>
      </w:r>
    </w:p>
    <w:p w14:paraId="5E401F11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>BRASIL. Ministério do Turismo. Portaria MTur nº 1, de 30 de janeiro de 2026. Dispõe sobre as normas do Programa de Regionalização do Turismo, do Mapa do Turismo Brasileiro e da Categorização dos Municípios no Mapa do Turismo Brasileiro. Diário Oficial da União: seção 1, Brasília, DF, ano 2026. Disponível em: https://www.gov.br/turismo/pt-br/centrais-de-conteudo-/publicacoes/atos-normativos-2/2026/portaria-mtur-no-1-de-30-de-janeiro-de-2026. Acesso em: 13 set. 2026.</w:t>
      </w:r>
    </w:p>
    <w:p w14:paraId="5CF4C616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>BREGOLIN, Marta. Inteligência territorial em turismo: aplicação do Sistema de Capitais para análise de observatórios de turismo da Europa e da América Latina. 2018. 240 f. Tese (Doutorado em Administração) – Pontifícia Universidade Católica do Rio Grande do Sul, Porto Alegre, 2018.</w:t>
      </w:r>
    </w:p>
    <w:p w14:paraId="35601DF3" w14:textId="77777777">
      <w:pPr>
        <w:ind w:firstLine="420"/>
        <w:jc w:val="both"/>
      </w:pPr>
      <w:r>
        <w:lastRenderedPageBreak/>
        <w:rPr>
          <w:rFonts w:ascii="Times New Roman" w:hAnsi="Times New Roman" w:eastAsia="Times New Roman" w:cs="Times New Roman" w:csTheme="minorBidi"/>
          <w:sz w:val="24"/>
          <w:szCs w:val="22"/>
        </w:rPr>
        <w:t>CAETANO, Jean Gilberto; WEGNER, Douglas; Xavier, Thiago Reis. Fatores de desenvolvimento regional do turismo: um estudo de caso em um circuito de cicloturismo no Brasil. Revista Ciências Administrativas, Fortaleza, v. 29, p. 1-15, 2023.</w:t>
      </w:r>
    </w:p>
    <w:p w14:paraId="4369B298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>CORIOLANO, Valdir Augusto. O turismo comunitário no Nordeste brasileiro. In: BARTHOLO, Roberto; SANSOLO, Davis Gruber; BURSZTYN, Ivan (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Orgs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.). Turismo de Base Comunitária: diversidade de olhares e experiências brasileiras. Rio de Janeiro: Letra e Imagem, 2009. p. 291-303.</w:t>
      </w:r>
    </w:p>
    <w:p w14:paraId="48F5375A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CRUZ, Rita de Cássia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Ariza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 da. Turismo, produção do espaço e desenvolvimento desigual: para pensar a realidade brasileira. In: BARTHOLO, Roberto; SANSOLO, Davis Gruber; BURSZTYN, Ivan (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Orgs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.). Turismo de Base Comunitária: diversidade de olhares e experiências brasileiras. Rio de Janeiro: Letra e Imagem, 2009. p. 55-67.</w:t>
      </w:r>
    </w:p>
    <w:p w14:paraId="02595223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GUJARATI,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Damodar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 N.; PORTER, Dawn C. Econometria Básica. 5. ed. Porto Alegre: AMGH Editora, 2011.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924 p. ISBN 9788563308320.</w:t>
      </w:r>
    </w:p>
    <w:p w14:paraId="37B0C568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GUTTENTAG, Daniel. Airbnb: disruptive innovation and the rise of the sharing economy.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Current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Issues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 in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Tourism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, v. 18, n. 12, p. 1192-1217, 2015.</w:t>
      </w:r>
    </w:p>
    <w:p w14:paraId="13920592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>INSTITUTO BRASILEIRO DE GEOGRAFIA E ESTATÍSTICA (IBGE). Censo Agropecuário 2017: Resultados Definitivos. Rio de Janeiro: IBGE, 2019. Disponível em: https://www.ibge.gov.br/estatisticas/economicas/agricultura-e-pecuaria/9827-censo-agropecuario.html. Acesso em: 13 set. 2026.</w:t>
      </w:r>
    </w:p>
    <w:p w14:paraId="63EC73E6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INSTITUTO BRASILEIRO DE GEOGRAFIA E ESTATÍSTICA (IBGE). Censo Demográfico 2022: Trabalho e Rendimento: Notas metodológicas e conceitos.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Rio de Janeiro: IBGE, 2022.</w:t>
      </w:r>
    </w:p>
    <w:p w14:paraId="012731CC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MALCZEWSKI, Jacek. GIS and Multicriteria Decision Analysis. New York: John Wiley &amp; Sons, 1999. </w:t>
      </w:r>
    </w:p>
    <w:p w14:paraId="57AE2085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>MENDES, J. Análise Multicritério no Planejamento Territorial e Urbano. São Paulo: Editora Acadêmica, 2026</w:t>
      </w:r>
    </w:p>
    <w:p w14:paraId="4E227E1C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>MENDES FILHO, Luiz; et al. Inteligência de dados e destinos turísticos inteligentes: transformações na gestão pública e privada do turismo brasileiro. Revista de Turismo Contemporâneo, v. 9, n. 3, p. 412-435, 2021.</w:t>
      </w:r>
    </w:p>
    <w:p w14:paraId="1C4CDDC7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MISKALO-CRUZ, Marcelle; GÂNDARA, José Manoel. Indicadores para Monitoramento e Gestão de Destinos Turísticos Inteligentes.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Estudios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 y Perspectivas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en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 Turismo, v. 26, n. 1, p. 1-21, 2017.</w:t>
      </w:r>
    </w:p>
    <w:p w14:paraId="4BE4DA75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NIEDERLE, Paulo André; SCHNEIDER, Sergio.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Aonde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 estão os mercados? Mudanças institucionais e orientação política na agricultura familiar. In: SCHNEIDER,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Sergio; CONTERATO, Marcelo Antonio (Org.). Dinâmica regional e desenvolvimento rural. Porto Alegre: Editora da UFRGS, 2011. p. 101-125.</w:t>
      </w:r>
    </w:p>
    <w:p w14:paraId="259D9911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>PINTO, Aníbal. Heterogeneidade estrutural e modelo de desenvolvimento recente. In: JOSÉ, Serra (Org.). América Latina: ensaios de interpretação econômica. Rio de Janeiro: Paz e Terra, 1970. p. 10-31.</w:t>
      </w:r>
    </w:p>
    <w:p w14:paraId="2A05DD7F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PORCILE, Gabriel. A evolução das ideias da CEPAL: de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Raúl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 Prebisch à heterogeneidade estrutural. Santiago: Nações Unidas, 2011.</w:t>
      </w:r>
    </w:p>
    <w:p w14:paraId="3E0F0D14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SERVIÇO NACIONAL DE APRENDIZAGEM RURAL. Turismo rural: legislação e gestão de empreendimentos.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 xml:space="preserve">Brasília: 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Senar</w:t>
      </w:r>
      <w:r>
        <w:rPr>
          <w:rFonts w:ascii="Times New Roman" w:hAnsi="Times New Roman" w:eastAsia="Times New Roman" w:cs="Times New Roman" w:csTheme="minorBidi"/>
          <w:sz w:val="24"/>
          <w:szCs w:val="22"/>
        </w:rPr>
        <w:t>, 2020. 108 p. il. (Coleção Senar, 286). ISBN 978-85-7664-239-8.</w:t>
      </w:r>
    </w:p>
    <w:p w14:paraId="62759E17" w14:textId="77777777">
      <w:pPr>
        <w:ind w:firstLine="420"/>
        <w:jc w:val="both"/>
      </w:pPr>
      <w:r>
        <w:rPr>
          <w:rFonts w:ascii="Times New Roman" w:hAnsi="Times New Roman" w:eastAsia="Times New Roman" w:cs="Times New Roman" w:csTheme="minorBidi"/>
          <w:sz w:val="24"/>
          <w:szCs w:val="22"/>
        </w:rPr>
        <w:t>UN TOURISM. Tourism and Rural Development: A Policy Perspective. Madrid: World Tourism Organization, 2023.</w:t>
      </w:r>
    </w:p>
    <w:p w14:paraId="553ED2CA" w14:textId="77777777">
      <w:pPr>
        <w:ind w:firstLine="420"/>
        <w:jc w:val="both"/>
      </w:pPr>
    </w:p>
    <w:p w14:paraId="66296194" w14:textId="77777777">
      <w:pPr>
        <w:ind w:firstLine="420"/>
        <w:jc w:val="both"/>
      </w:pPr>
    </w:p>
    <w:sectPr>
      <w:pgSz w:w="12240" w:h="15840"/>
      <w:pgMar w:top="1417" w:right="1701" w:bottom="1417" w:left="1701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6964108">
    <w:abstractNumId w:val="8"/>
  </w:num>
  <w:num w:numId="2" w16cid:durableId="1111508682">
    <w:abstractNumId w:val="6"/>
  </w:num>
  <w:num w:numId="3" w16cid:durableId="1267957042">
    <w:abstractNumId w:val="5"/>
  </w:num>
  <w:num w:numId="4" w16cid:durableId="830171659">
    <w:abstractNumId w:val="4"/>
  </w:num>
  <w:num w:numId="5" w16cid:durableId="2054688268">
    <w:abstractNumId w:val="7"/>
  </w:num>
  <w:num w:numId="6" w16cid:durableId="1164977876">
    <w:abstractNumId w:val="3"/>
  </w:num>
  <w:num w:numId="7" w16cid:durableId="275452300">
    <w:abstractNumId w:val="2"/>
  </w:num>
  <w:num w:numId="8" w16cid:durableId="980887372">
    <w:abstractNumId w:val="1"/>
  </w:num>
  <w:num w:numId="9" w16cid:durableId="145174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4A2A"/>
    <w:rsid w:val="0029639D"/>
    <w:rsid w:val="00326F90"/>
    <w:rsid w:val="00636FF3"/>
    <w:rsid w:val="00AA1D8D"/>
    <w:rsid w:val="00B47730"/>
    <w:rsid w:val="00CB0664"/>
    <w:rsid w:val="00D82926"/>
    <w:rsid w:val="00F616A7"/>
    <w:rsid w:val="00F971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B50F0E"/>
  <w14:defaultImageDpi w14:val="300"/>
  <w15:docId w15:val="{22B96FFF-01E4-4C22-9B57-BD269A1B4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7</Pages>
  <Words>2672</Words>
  <Characters>14430</Characters>
  <Application>Microsoft Office Word</Application>
  <DocSecurity>0</DocSecurity>
  <Lines>120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17068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M365 Copilot</dc:creator>
  <cp:keywords/>
  <dc:description>generated by python-docx</dc:description>
  <cp:lastModifiedBy>Julio Jose de Almeida</cp:lastModifiedBy>
  <cp:revision>3</cp:revision>
  <dcterms:created xsi:type="dcterms:W3CDTF">2026-09-14T13:21:00Z</dcterms:created>
  <dcterms:modified xsi:type="dcterms:W3CDTF">2026-09-14T15:23:49.478Z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de7aacd-7cc4-4c31-9e6f-7ef306428f09_Enabled">
    <vt:lpwstr>true</vt:lpwstr>
  </property>
  <property fmtid="{D5CDD505-2E9C-101B-9397-08002B2CF9AE}" pid="3" name="MSIP_Label_fde7aacd-7cc4-4c31-9e6f-7ef306428f09_SetDate">
    <vt:lpwstr>2026-09-14T13:23:39Z</vt:lpwstr>
  </property>
  <property fmtid="{D5CDD505-2E9C-101B-9397-08002B2CF9AE}" pid="4" name="MSIP_Label_fde7aacd-7cc4-4c31-9e6f-7ef306428f09_Method">
    <vt:lpwstr>Privileged</vt:lpwstr>
  </property>
  <property fmtid="{D5CDD505-2E9C-101B-9397-08002B2CF9AE}" pid="5" name="MSIP_Label_fde7aacd-7cc4-4c31-9e6f-7ef306428f09_Name">
    <vt:lpwstr>_PUBLICO</vt:lpwstr>
  </property>
  <property fmtid="{D5CDD505-2E9C-101B-9397-08002B2CF9AE}" pid="6" name="MSIP_Label_fde7aacd-7cc4-4c31-9e6f-7ef306428f09_SiteId">
    <vt:lpwstr>ab9bba98-684a-43fb-add8-9c2bebede229</vt:lpwstr>
  </property>
  <property fmtid="{D5CDD505-2E9C-101B-9397-08002B2CF9AE}" pid="7" name="MSIP_Label_fde7aacd-7cc4-4c31-9e6f-7ef306428f09_ActionId">
    <vt:lpwstr>67dba54d-d20b-4d27-b026-dbbaee73122c</vt:lpwstr>
  </property>
  <property fmtid="{D5CDD505-2E9C-101B-9397-08002B2CF9AE}" pid="8" name="MSIP_Label_fde7aacd-7cc4-4c31-9e6f-7ef306428f09_ContentBits">
    <vt:lpwstr>1</vt:lpwstr>
  </property>
  <property fmtid="{D5CDD505-2E9C-101B-9397-08002B2CF9AE}" pid="9" name="MSIP_Label_fde7aacd-7cc4-4c31-9e6f-7ef306428f09_Tag">
    <vt:lpwstr>10, 0, 1, 1</vt:lpwstr>
  </property>
</Properties>
</file>