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A01F" w14:textId="77777777" w:rsidR="00947E6E" w:rsidRDefault="00000000" w:rsidP="008D384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color w:val="1F4E79"/>
          <w:sz w:val="36"/>
          <w:szCs w:val="36"/>
        </w:rPr>
        <w:t>MODELO DE OUTLINE</w:t>
      </w:r>
    </w:p>
    <w:p w14:paraId="4483A020" w14:textId="77777777" w:rsidR="00947E6E" w:rsidRDefault="00000000" w:rsidP="008D384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  <w:iCs/>
          <w:color w:val="555555"/>
          <w:sz w:val="24"/>
          <w:szCs w:val="24"/>
        </w:rPr>
        <w:t>Planejamento de Artigo</w:t>
      </w:r>
    </w:p>
    <w:p w14:paraId="4483A021" w14:textId="77777777" w:rsidR="00947E6E" w:rsidRDefault="00000000" w:rsidP="008D384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88888"/>
          <w:sz w:val="20"/>
          <w:szCs w:val="20"/>
        </w:rPr>
        <w:t>Escola de Governo e Desenvolvimento Maria da Conceição Tavares</w:t>
      </w:r>
    </w:p>
    <w:p w14:paraId="4483A022" w14:textId="77777777" w:rsidR="00947E6E" w:rsidRDefault="00000000" w:rsidP="008D384A">
      <w:pPr>
        <w:pStyle w:val="Ttulo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color w:val="1F4E79"/>
          <w:sz w:val="32"/>
          <w:szCs w:val="32"/>
        </w:rPr>
        <w:t>IDENTIFICAÇÃO</w:t>
      </w:r>
      <w:r>
        <w:rPr>
          <w:rFonts w:ascii="Open Sans" w:eastAsia="Open Sans" w:hAnsi="Open Sans" w:cs="Open Sans"/>
          <w:b/>
          <w:bCs/>
          <w:color w:val="1F4E79"/>
          <w:sz w:val="32"/>
          <w:szCs w:val="32"/>
        </w:rPr>
        <w:tab/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5860"/>
      </w:tblGrid>
      <w:tr w:rsidR="00947E6E" w14:paraId="4483A025" w14:textId="77777777" w:rsidTr="00DF6E44">
        <w:trPr>
          <w:trHeight w:val="85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83A023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Autor(a):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483A024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Adriele Amorim Lyrio e Julio José de Almeida</w:t>
            </w:r>
          </w:p>
        </w:tc>
      </w:tr>
      <w:tr w:rsidR="00947E6E" w14:paraId="4483A02A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83A026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Título provisório: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483A029" w14:textId="2D943CF5" w:rsidR="00947E6E" w:rsidRDefault="00466A3C">
            <w:pPr>
              <w:rPr>
                <w:rFonts w:ascii="Open Sans" w:eastAsia="Open Sans" w:hAnsi="Open Sans" w:cs="Open Sans"/>
              </w:rPr>
            </w:pPr>
            <w:r w:rsidRPr="00466A3C">
              <w:rPr>
                <w:rFonts w:ascii="Open Sans" w:eastAsia="Open Sans" w:hAnsi="Open Sans" w:cs="Open Sans"/>
              </w:rPr>
              <w:t>Inteligência territorial aplicada ao desenvolvimento regional: identificação de clusters de ecoturismo, economia comunitária e diversificação produtiva para direcionamento estratégico de recursos de desenvolvimento</w:t>
            </w:r>
            <w:r>
              <w:rPr>
                <w:rFonts w:ascii="Open Sans" w:eastAsia="Open Sans" w:hAnsi="Open Sans" w:cs="Open Sans"/>
              </w:rPr>
              <w:t>.</w:t>
            </w:r>
          </w:p>
        </w:tc>
      </w:tr>
      <w:tr w:rsidR="00947E6E" w14:paraId="4483A02D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83A02B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Data: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483A02C" w14:textId="6BDF7F92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 </w:t>
            </w:r>
            <w:r w:rsidR="00411BEA">
              <w:rPr>
                <w:rFonts w:ascii="Open Sans" w:eastAsia="Open Sans" w:hAnsi="Open Sans" w:cs="Open Sans"/>
              </w:rPr>
              <w:t>12</w:t>
            </w:r>
            <w:r>
              <w:rPr>
                <w:rFonts w:ascii="Open Sans" w:eastAsia="Open Sans" w:hAnsi="Open Sans" w:cs="Open Sans"/>
              </w:rPr>
              <w:t>/07/2026</w:t>
            </w:r>
          </w:p>
        </w:tc>
      </w:tr>
      <w:tr w:rsidR="00947E6E" w14:paraId="4483A030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83A02E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Versão: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483A02F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</w:t>
            </w:r>
          </w:p>
        </w:tc>
      </w:tr>
    </w:tbl>
    <w:p w14:paraId="4483A031" w14:textId="77777777" w:rsidR="00947E6E" w:rsidRDefault="00947E6E">
      <w:pPr>
        <w:rPr>
          <w:rFonts w:ascii="Open Sans" w:eastAsia="Open Sans" w:hAnsi="Open Sans" w:cs="Open Sans"/>
        </w:rPr>
      </w:pPr>
    </w:p>
    <w:p w14:paraId="4483A032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3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33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1. PERGUNTA DE PESQUISA</w:t>
            </w:r>
          </w:p>
        </w:tc>
      </w:tr>
      <w:tr w:rsidR="00947E6E" w14:paraId="4483A03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35" w14:textId="77777777" w:rsidR="00947E6E" w:rsidRDefault="00000000" w:rsidP="008D384A">
            <w:pP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Qual é a pergunta central que o seu artigo busca responder? Formule em uma única sentença clara e específica.</w:t>
            </w:r>
          </w:p>
          <w:p w14:paraId="4483A037" w14:textId="1E220937" w:rsidR="00947E6E" w:rsidRPr="00A009DD" w:rsidRDefault="00691A24" w:rsidP="008D384A">
            <w:pPr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>Como um modelo de inteligência territorial</w:t>
            </w:r>
            <w:r w:rsidR="003C149E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>,</w:t>
            </w:r>
            <w:r w:rsidRPr="00691A24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 xml:space="preserve"> estruturado a partir da convergência de </w:t>
            </w:r>
            <w:r w:rsidRPr="00691A24">
              <w:rPr>
                <w:rFonts w:ascii="Open Sans" w:eastAsia="Open Sans" w:hAnsi="Open Sans" w:cs="Open Sans"/>
                <w:i/>
                <w:iCs/>
                <w:color w:val="444444"/>
                <w:sz w:val="24"/>
                <w:szCs w:val="24"/>
              </w:rPr>
              <w:t>Big Data</w:t>
            </w:r>
            <w:r w:rsidRPr="00691A24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 xml:space="preserve"> de plataformas digitais, dados censitários e indicadores de crédito do Banco Central</w:t>
            </w:r>
            <w:r w:rsidR="003C149E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>,</w:t>
            </w:r>
            <w:r w:rsidRPr="00691A24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 xml:space="preserve"> pode fundamentar critérios científicos universais para otimizar a alocação de capital público e corrigir assimetrias na distribuição regional de fomento ao ecoturismo e à economia comunitária em estados com estruturas macroeconômicas distintas como o Rio Grande do Sul e</w:t>
            </w:r>
            <w:r w:rsidR="003C149E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 xml:space="preserve"> </w:t>
            </w:r>
            <w:r w:rsidRPr="00691A24">
              <w:rPr>
                <w:rFonts w:ascii="Open Sans" w:eastAsia="Open Sans" w:hAnsi="Open Sans" w:cs="Open Sans"/>
                <w:color w:val="444444"/>
                <w:sz w:val="24"/>
                <w:szCs w:val="24"/>
              </w:rPr>
              <w:t>Bahia?</w:t>
            </w:r>
          </w:p>
        </w:tc>
      </w:tr>
    </w:tbl>
    <w:p w14:paraId="4483A039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3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3A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2. OBJETIVOS</w:t>
            </w:r>
          </w:p>
        </w:tc>
      </w:tr>
      <w:tr w:rsidR="00947E6E" w14:paraId="4483A046" w14:textId="77777777" w:rsidTr="00691A24">
        <w:trPr>
          <w:trHeight w:val="896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7073F" w14:textId="77777777" w:rsidR="002710BE" w:rsidRPr="002710B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lastRenderedPageBreak/>
              <w:t xml:space="preserve">Objetivo geral: O que o artigo se propõe a fazer de forma ampla?  Objetivos específicos: Quais são as etapas concretas para atingir o objetivo geral? (Liste de 3 a 5) </w:t>
            </w:r>
          </w:p>
          <w:p w14:paraId="4175B8E8" w14:textId="77777777" w:rsidR="00411BEA" w:rsidRPr="00411BEA" w:rsidRDefault="002710BE" w:rsidP="008D384A">
            <w:pPr>
              <w:rPr>
                <w:rFonts w:ascii="Open Sans" w:eastAsia="Open Sans" w:hAnsi="Open Sans" w:cs="Open Sans"/>
              </w:rPr>
            </w:pPr>
            <w:r w:rsidRPr="002710BE">
              <w:rPr>
                <w:rFonts w:ascii="Open Sans" w:eastAsia="Open Sans" w:hAnsi="Open Sans" w:cs="Open Sans"/>
                <w:b/>
                <w:bCs/>
                <w:color w:val="303030"/>
                <w:sz w:val="24"/>
                <w:szCs w:val="24"/>
              </w:rPr>
              <w:t>Gera</w:t>
            </w:r>
            <w:r w:rsidR="00411BEA">
              <w:rPr>
                <w:rFonts w:ascii="Open Sans" w:eastAsia="Open Sans" w:hAnsi="Open Sans" w:cs="Open Sans"/>
                <w:b/>
                <w:bCs/>
                <w:color w:val="303030"/>
                <w:sz w:val="24"/>
                <w:szCs w:val="24"/>
              </w:rPr>
              <w:t>l</w:t>
            </w:r>
            <w:r w:rsidRPr="002710BE">
              <w:rPr>
                <w:rFonts w:ascii="Open Sans" w:eastAsia="Open Sans" w:hAnsi="Open Sans" w:cs="Open Sans"/>
                <w:b/>
                <w:bCs/>
                <w:color w:val="303030"/>
                <w:sz w:val="24"/>
                <w:szCs w:val="24"/>
              </w:rPr>
              <w:t>:</w:t>
            </w:r>
          </w:p>
          <w:p w14:paraId="4483A03C" w14:textId="19DEDEF1" w:rsidR="00947E6E" w:rsidRPr="00691A24" w:rsidRDefault="00466A3C" w:rsidP="008D384A">
            <w:pPr>
              <w:pStyle w:val="PargrafodaLista"/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Desenvolver uma abordagem metodológica baseada em geoprocessamento e inteligência territorial que integre dados censitários tradicionais a indicadores de plataformas digitais para identificar </w:t>
            </w:r>
            <w:r w:rsidRPr="00691A24">
              <w:rPr>
                <w:rFonts w:ascii="Open Sans" w:eastAsia="Open Sans" w:hAnsi="Open Sans" w:cs="Open Sans"/>
                <w:i/>
                <w:iCs/>
                <w:color w:val="303030"/>
                <w:sz w:val="24"/>
                <w:szCs w:val="24"/>
              </w:rPr>
              <w:t>clusters</w:t>
            </w:r>
            <w:r w:rsidRPr="00691A2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 de ecoturismo e produção comunitária, estruturando um sistema de apoio à tomada de decisão para a seleção, priorização e monitoramento estratégico de investimentos públicos.</w:t>
            </w:r>
            <w:r w:rsidR="002710BE" w:rsidRPr="00691A2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br/>
            </w:r>
          </w:p>
          <w:p w14:paraId="4483A03D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303030"/>
                <w:sz w:val="24"/>
                <w:szCs w:val="24"/>
              </w:rPr>
              <w:t>Específicos:</w:t>
            </w:r>
            <w: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 </w:t>
            </w:r>
          </w:p>
          <w:p w14:paraId="73E2430F" w14:textId="77777777" w:rsidR="003B3FC4" w:rsidRPr="003B3FC4" w:rsidRDefault="003B3FC4" w:rsidP="008D384A">
            <w:pPr>
              <w:pStyle w:val="PargrafodaLista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 xml:space="preserve">Mapear e mensurar de forma comparativa a atratividade real e a capacidade de hospedagem informal do ecoturismo no RS e na BA por meio de </w:t>
            </w:r>
            <w:r w:rsidRPr="003B3FC4">
              <w:rPr>
                <w:rFonts w:ascii="Open Sans" w:eastAsia="Times New Roman" w:hAnsi="Open Sans" w:cs="Open Sans"/>
                <w:i/>
                <w:iCs/>
                <w:sz w:val="24"/>
                <w:szCs w:val="24"/>
              </w:rPr>
              <w:t>proxies</w:t>
            </w: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 xml:space="preserve"> de densidade de plataformas digitais.</w:t>
            </w:r>
          </w:p>
          <w:p w14:paraId="4C85416B" w14:textId="77777777" w:rsidR="003B3FC4" w:rsidRPr="003B3FC4" w:rsidRDefault="003B3FC4" w:rsidP="008D384A">
            <w:pPr>
              <w:pStyle w:val="PargrafodaLista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>Diagnosticar as assimetrias bancárias regionais na concessão de crédito de fomento (como Pronaf, microcrédito e fundos constitucionais/FNE) utilizando as matrizes de dados abertos do Banco Central do Brasil para ambos os estados.</w:t>
            </w:r>
          </w:p>
          <w:p w14:paraId="0D5757BC" w14:textId="77777777" w:rsidR="003B3FC4" w:rsidRPr="003B3FC4" w:rsidRDefault="003B3FC4" w:rsidP="008D384A">
            <w:pPr>
              <w:pStyle w:val="PargrafodaLista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>Identificar e espacializar os descasamentos de mercado (vazios de fomento) onde coexistem forte apelo ecoturístico/comunitário digital e baixa densidade de crédito formal.</w:t>
            </w:r>
          </w:p>
          <w:p w14:paraId="67648664" w14:textId="77777777" w:rsidR="003B3FC4" w:rsidRPr="003B3FC4" w:rsidRDefault="003B3FC4" w:rsidP="008D384A">
            <w:pPr>
              <w:pStyle w:val="PargrafodaLista"/>
              <w:rPr>
                <w:rFonts w:ascii="Open Sans" w:eastAsia="Times New Roman" w:hAnsi="Open Sans" w:cs="Open Sans"/>
                <w:sz w:val="24"/>
                <w:szCs w:val="24"/>
              </w:rPr>
            </w:pP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>Validar a universalidade do Índice Sintético de Viabilidade Territorial (ISVT), aplicando-o de forma agnóstica às realidades socioeconômicas e ambientais do Sul e do Nordeste.</w:t>
            </w:r>
          </w:p>
          <w:p w14:paraId="4483A045" w14:textId="22F861A6" w:rsidR="00947E6E" w:rsidRDefault="003B3FC4" w:rsidP="008D384A">
            <w:pPr>
              <w:pStyle w:val="PargrafodaLista"/>
              <w:rPr>
                <w:rFonts w:ascii="Open Sans" w:eastAsia="Open Sans" w:hAnsi="Open Sans" w:cs="Open Sans"/>
              </w:rPr>
            </w:pPr>
            <w:r w:rsidRPr="003B3FC4">
              <w:rPr>
                <w:rFonts w:ascii="Open Sans" w:eastAsia="Times New Roman" w:hAnsi="Open Sans" w:cs="Open Sans"/>
                <w:sz w:val="24"/>
                <w:szCs w:val="24"/>
              </w:rPr>
              <w:t>Propor diretrizes alocativas estruturadas para orientar decisões de bancos de desenvolvimento e o desenho de editais de fundos públicos.</w:t>
            </w:r>
          </w:p>
        </w:tc>
      </w:tr>
    </w:tbl>
    <w:p w14:paraId="4483A048" w14:textId="77777777" w:rsidR="00947E6E" w:rsidRDefault="00947E6E">
      <w:pPr>
        <w:rPr>
          <w:rFonts w:ascii="Open Sans" w:eastAsia="Open Sans" w:hAnsi="Open Sans" w:cs="Open Sans"/>
        </w:rPr>
      </w:pPr>
    </w:p>
    <w:p w14:paraId="4125F12E" w14:textId="77777777" w:rsidR="00691A24" w:rsidRDefault="00691A24">
      <w:pPr>
        <w:rPr>
          <w:rFonts w:ascii="Open Sans" w:eastAsia="Open Sans" w:hAnsi="Open Sans" w:cs="Open Sans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4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49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3. TESE / ARGUMENTO CENTRAL</w:t>
            </w:r>
          </w:p>
        </w:tc>
      </w:tr>
      <w:tr w:rsidR="00947E6E" w14:paraId="4483A04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4B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Qual é a sua resposta provisória à pergunta de pesquisa? O que você quer demonstrar ou defender no artigo?</w:t>
            </w:r>
          </w:p>
          <w:p w14:paraId="4483A04C" w14:textId="1E5B0778" w:rsidR="00947E6E" w:rsidRPr="003B3FC4" w:rsidRDefault="003B3FC4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B3FC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A eficiência na alocação de capital público para o desenvolvimento regional depende da superação da assimetria de informação geográfica que cega as políticas tradicionais de crédito. A modelagem integrada de inteligência </w:t>
            </w:r>
            <w:r w:rsidRPr="003B3FC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lastRenderedPageBreak/>
              <w:t>territorial</w:t>
            </w:r>
            <w:r w:rsidR="003C149E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,</w:t>
            </w:r>
            <w:r w:rsidRPr="003B3FC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 ao unificar rastros digitais de consumo (</w:t>
            </w:r>
            <w:r w:rsidRPr="003B3FC4">
              <w:rPr>
                <w:rFonts w:ascii="Open Sans" w:eastAsia="Open Sans" w:hAnsi="Open Sans" w:cs="Open Sans"/>
                <w:i/>
                <w:iCs/>
                <w:color w:val="303030"/>
                <w:sz w:val="24"/>
                <w:szCs w:val="24"/>
              </w:rPr>
              <w:t>Big Data</w:t>
            </w:r>
            <w:r w:rsidRPr="003B3FC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) e o mapa de concessões do Banco Central</w:t>
            </w:r>
            <w:r w:rsidR="003C149E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,</w:t>
            </w:r>
            <w:r w:rsidRPr="003B3FC4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 funciona como um mecanismo agnóstico de mitigação de risco informacional para o Estado. Ela demonstra cientificamente que, independentemente das disparidades regionais entre o Sul e o Nordeste, existem padrões universais de falhas de mercado (vazios de fomento em áreas de alto potencial endógeno) que podem ser corrigidos através de uma governança algorítmica baseada em dados espaciais.</w:t>
            </w:r>
          </w:p>
        </w:tc>
      </w:tr>
    </w:tbl>
    <w:p w14:paraId="4483A04E" w14:textId="77777777" w:rsidR="00947E6E" w:rsidRDefault="00947E6E">
      <w:pPr>
        <w:rPr>
          <w:rFonts w:ascii="Open Sans" w:eastAsia="Open Sans" w:hAnsi="Open Sans" w:cs="Open Sans"/>
        </w:rPr>
      </w:pPr>
    </w:p>
    <w:p w14:paraId="4483A04F" w14:textId="77777777" w:rsidR="00947E6E" w:rsidRDefault="00947E6E">
      <w:pPr>
        <w:rPr>
          <w:rFonts w:ascii="Open Sans" w:eastAsia="Open Sans" w:hAnsi="Open Sans" w:cs="Open Sans"/>
        </w:rPr>
      </w:pPr>
    </w:p>
    <w:p w14:paraId="4483A050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5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51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4. JUSTIFICATIVA E RELEVÂNCIA</w:t>
            </w:r>
          </w:p>
        </w:tc>
      </w:tr>
      <w:tr w:rsidR="00947E6E" w14:paraId="4483A05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53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Por que este tema importa? Qual lacuna na literatura ou problema prático o artigo endereça?</w:t>
            </w:r>
          </w:p>
          <w:p w14:paraId="4DB473A9" w14:textId="77777777" w:rsidR="00321D77" w:rsidRPr="00321D77" w:rsidRDefault="00321D77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Os modelos tradicionais de análise de crédito e fomento ao desenvolvimento regional no Brasil tendem a concentrar o capital público em polos econômicos já consolidados. Essa dinâmica penaliza áreas periféricas ou rurais de forte vocação sustentável (como o ecoturismo e a economia de base comunitária) devido à ausência de garantias reais ou à invisibilidade estatística de suas atividades informais. Diante desse cenário, torna-se imperativo investigar novos mecanismos que mitiguem essa disparidade.</w:t>
            </w:r>
          </w:p>
          <w:p w14:paraId="1EC5EFAA" w14:textId="77777777" w:rsidR="00321D77" w:rsidRPr="00321D77" w:rsidRDefault="00321D77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A comparação simultânea entre o Rio Grande do Sul e a Bahia justifica-se pela necessidade de testar e validar uma metodologia de planejamento público em dois laboratórios socioeconômicos e político-institucionais contrastantes:</w:t>
            </w:r>
          </w:p>
          <w:p w14:paraId="2A881B5C" w14:textId="77777777" w:rsidR="00321D77" w:rsidRPr="00321D77" w:rsidRDefault="00321D77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O Rio Grande do Sul, marcado por uma forte rede de cooperativismo de crédito e agroindústria familiar de imigração, enfrenta o desafio contemporâneo urgente de reconstrução econômica e resiliência produtiva frente a desastres climáticos.</w:t>
            </w:r>
          </w:p>
          <w:p w14:paraId="428E60A7" w14:textId="77777777" w:rsidR="00321D77" w:rsidRPr="00321D77" w:rsidRDefault="00321D77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>A Bahia, caracterizada pela imensidão territorial de biomas diversos (Sertão, Cerrado e Mata Atlântica) e forte presença de comunidades tradicionais (quilombolas e assentamentos), tem sua arquitetura de financiamento fortemente ancorada em fundos constitucionais federais (FNE) gerenciados por bancos públicos de desenvolvimento de escala regional.</w:t>
            </w:r>
          </w:p>
          <w:p w14:paraId="6B1EC467" w14:textId="77777777" w:rsidR="00321D77" w:rsidRPr="00321D77" w:rsidRDefault="00321D77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t xml:space="preserve">Dessa forma, o presente estudo oferecerá uma contribuição estratégica à administração pública baseada em evidências. A pesquisa pretende comprovar </w:t>
            </w:r>
            <w:r w:rsidRPr="00321D77"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  <w:lastRenderedPageBreak/>
              <w:t>que a inteligência territorial confere transparência e auditabilidade à alocação de subsídios e financiamentos, transformando o "risco cadastral" clássico em "viabilidade econômico-territorial". Por fim, a metodologia constituirá uma ferramenta indispensável para otimizar os escassos recursos do Estado no pós-crise e no combate às desigualdades estruturais brasileiras.</w:t>
            </w:r>
          </w:p>
          <w:p w14:paraId="4483A054" w14:textId="6C6F43DC" w:rsidR="00947E6E" w:rsidRDefault="00947E6E" w:rsidP="008D384A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</w:p>
        </w:tc>
      </w:tr>
    </w:tbl>
    <w:p w14:paraId="4483A056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5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57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5. REFERENCIAL TEÓRICO-CONCEITUAL</w:t>
            </w:r>
          </w:p>
        </w:tc>
      </w:tr>
      <w:tr w:rsidR="00947E6E" w14:paraId="4483A05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59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Quais são os principais conceitos, autores e correntes teóricas que fundamentam o seu argumento?</w:t>
            </w:r>
          </w:p>
          <w:p w14:paraId="4483A05A" w14:textId="77777777" w:rsidR="00947E6E" w:rsidRDefault="00000000">
            <w:pP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>Liste de 3 a 5 referências centrais. Não precisa ser exaustivo nesta fase — o foco é ancorar o argumento.</w:t>
            </w:r>
          </w:p>
          <w:p w14:paraId="144B3AF3" w14:textId="77777777" w:rsidR="00947E6E" w:rsidRDefault="00947E6E">
            <w:pPr>
              <w:rPr>
                <w:rFonts w:ascii="Open Sans" w:eastAsia="Open Sans" w:hAnsi="Open Sans" w:cs="Open Sans"/>
                <w:color w:val="303030"/>
                <w:sz w:val="24"/>
                <w:szCs w:val="24"/>
              </w:rPr>
            </w:pPr>
          </w:p>
          <w:p w14:paraId="455BCAC5" w14:textId="38807631" w:rsidR="00691A24" w:rsidRPr="00321D77" w:rsidRDefault="00691A24" w:rsidP="008D384A">
            <w:pPr>
              <w:pStyle w:val="PargrafodaLista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Assimetria de informação e racionamento de crédito: Joseph Stiglitz (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I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mperfeições de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M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ercado por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scassez de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D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ados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I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nformacionais) e Celso Furtado (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struturação do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S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ubdesenvolvimento e a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N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ecessidade de o Estado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P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lanejar o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D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irecionamento do </w:t>
            </w:r>
            <w:r w:rsidR="00321D77" w:rsidRPr="00321D77">
              <w:rPr>
                <w:rFonts w:ascii="Open Sans" w:eastAsia="Open Sans" w:hAnsi="Open Sans" w:cs="Open Sans"/>
                <w:sz w:val="24"/>
                <w:szCs w:val="24"/>
              </w:rPr>
              <w:t>C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apital).</w:t>
            </w:r>
          </w:p>
          <w:p w14:paraId="6D7EC4DA" w14:textId="011CC98E" w:rsidR="00691A24" w:rsidRPr="00691A24" w:rsidRDefault="00691A24" w:rsidP="008D384A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Capital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C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ultural 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conomias de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P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roximidade: David </w:t>
            </w:r>
            <w:proofErr w:type="spellStart"/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>Throsby</w:t>
            </w:r>
            <w:proofErr w:type="spellEnd"/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 (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O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V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alor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conômico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S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ustentável do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P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atrimônio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N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atural 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I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ntangível) e Amartya </w:t>
            </w:r>
            <w:proofErr w:type="spellStart"/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>Sen</w:t>
            </w:r>
            <w:proofErr w:type="spellEnd"/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 (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D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esenvolvimento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F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ocado no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F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ortalecimento das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C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apacidades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H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umanas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L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>ocais).</w:t>
            </w:r>
          </w:p>
          <w:p w14:paraId="4483A05B" w14:textId="684D6776" w:rsidR="00691A24" w:rsidRPr="00321D77" w:rsidRDefault="00691A24" w:rsidP="008D384A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spaço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G</w:t>
            </w: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 xml:space="preserve">eográfico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D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inâmico: Milton Santos (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O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 conceito de "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T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erritório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U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sado", a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D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ialética entre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F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ixos 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F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luxos, e a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S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eletividade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E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spacial dos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S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istemas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F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inanceiros e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B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ancários no </w:t>
            </w:r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T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 xml:space="preserve">erritório </w:t>
            </w:r>
            <w:proofErr w:type="gramStart"/>
            <w:r w:rsidR="00321D77">
              <w:rPr>
                <w:rFonts w:ascii="Open Sans" w:eastAsia="Open Sans" w:hAnsi="Open Sans" w:cs="Open Sans"/>
                <w:sz w:val="24"/>
                <w:szCs w:val="24"/>
              </w:rPr>
              <w:t>B</w:t>
            </w:r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rasileiro</w:t>
            </w:r>
            <w:proofErr w:type="gramEnd"/>
            <w:r w:rsidRPr="00321D77">
              <w:rPr>
                <w:rFonts w:ascii="Open Sans" w:eastAsia="Open Sans" w:hAnsi="Open Sans" w:cs="Open Sans"/>
                <w:sz w:val="24"/>
                <w:szCs w:val="24"/>
              </w:rPr>
              <w:t>).</w:t>
            </w:r>
          </w:p>
        </w:tc>
      </w:tr>
      <w:tr w:rsidR="00321D77" w14:paraId="3D4A1F9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B7B93C" w14:textId="77777777" w:rsidR="00321D77" w:rsidRDefault="00321D77" w:rsidP="008D384A">
            <w:pP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</w:pPr>
          </w:p>
        </w:tc>
      </w:tr>
    </w:tbl>
    <w:p w14:paraId="4483A05D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5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5E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6. METODOLOGIA</w:t>
            </w:r>
          </w:p>
        </w:tc>
      </w:tr>
      <w:tr w:rsidR="00947E6E" w14:paraId="4483A06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60" w14:textId="77777777" w:rsidR="00947E6E" w:rsidRDefault="00000000" w:rsidP="008D384A">
            <w:pP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Como você vai construir o argumento? Quais são as fontes, dados ou métodos que utilizará?</w:t>
            </w:r>
          </w:p>
          <w:p w14:paraId="2A31725E" w14:textId="77777777" w:rsidR="00947E6E" w:rsidRDefault="00000000" w:rsidP="008D384A">
            <w:pP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 xml:space="preserve">Ex.: revisão bibliográfica, análise documental, estudo de caso, dados secundários, </w:t>
            </w:r>
            <w:proofErr w:type="gramStart"/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>entrevistas, etc.</w:t>
            </w:r>
            <w:proofErr w:type="gramEnd"/>
          </w:p>
          <w:p w14:paraId="7A529604" w14:textId="77777777" w:rsidR="003B3FC4" w:rsidRPr="00691A24" w:rsidRDefault="003B3FC4" w:rsidP="008D384A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>Pesquisa aplicada, de caráter quantitativo, executada através de econometria espacial e análise de decisão multicritério em ambiente de Sistema de Informação Geográfica (SIG) com Python/QGIS, estruturada em quatro dimensões universais de dados:</w:t>
            </w:r>
          </w:p>
          <w:p w14:paraId="4D521063" w14:textId="77777777" w:rsidR="003B3FC4" w:rsidRPr="00691A24" w:rsidRDefault="003B3FC4" w:rsidP="008D384A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691A24">
              <w:rPr>
                <w:rFonts w:ascii="Open Sans" w:eastAsia="Open Sans" w:hAnsi="Open Sans" w:cs="Open Sans"/>
                <w:sz w:val="24"/>
                <w:szCs w:val="24"/>
              </w:rPr>
              <w:t>Matriz de Dados Integrada (RS e BA)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  <w:gridCol w:w="2448"/>
              <w:gridCol w:w="1988"/>
              <w:gridCol w:w="2465"/>
            </w:tblGrid>
            <w:tr w:rsidR="003B3FC4" w:rsidRPr="003B3FC4" w14:paraId="166D905A" w14:textId="77777777" w:rsidTr="00D66E59">
              <w:trPr>
                <w:tblCellSpacing w:w="15" w:type="dxa"/>
              </w:trPr>
              <w:tc>
                <w:tcPr>
                  <w:tcW w:w="1892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604B8665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  <w:b/>
                      <w:bCs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lastRenderedPageBreak/>
                    <w:t>Dimensão do Dado</w:t>
                  </w:r>
                </w:p>
              </w:tc>
              <w:tc>
                <w:tcPr>
                  <w:tcW w:w="241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4C6FC820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  <w:b/>
                      <w:bCs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Variáveis Analisadas (Escala Municipal/Setor)</w:t>
                  </w:r>
                </w:p>
              </w:tc>
              <w:tc>
                <w:tcPr>
                  <w:tcW w:w="195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775D61FE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  <w:b/>
                      <w:bCs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Fonte Primária</w:t>
                  </w:r>
                </w:p>
              </w:tc>
              <w:tc>
                <w:tcPr>
                  <w:tcW w:w="2420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54853C77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  <w:b/>
                      <w:bCs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Aplicação no Modelo Comparativo (RS vs. BA)</w:t>
                  </w:r>
                </w:p>
              </w:tc>
            </w:tr>
            <w:tr w:rsidR="003B3FC4" w:rsidRPr="003B3FC4" w14:paraId="10C6561A" w14:textId="77777777" w:rsidTr="00D66E59">
              <w:trPr>
                <w:tblCellSpacing w:w="15" w:type="dxa"/>
              </w:trPr>
              <w:tc>
                <w:tcPr>
                  <w:tcW w:w="1892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04478E7C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Crédito e Fomento Financeiro</w:t>
                  </w:r>
                </w:p>
              </w:tc>
              <w:tc>
                <w:tcPr>
                  <w:tcW w:w="241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4831F0F4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Operações de crédito rural (Pronaf), microcrédito orientado e repasses de fundos (FNE na BA; fundos estaduais/BRDE no RS).</w:t>
                  </w:r>
                </w:p>
              </w:tc>
              <w:tc>
                <w:tcPr>
                  <w:tcW w:w="195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3EF5AC8A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D66E59">
                    <w:rPr>
                      <w:rFonts w:ascii="Open Sans" w:eastAsia="Open Sans" w:hAnsi="Open Sans" w:cs="Open Sans"/>
                    </w:rPr>
                    <w:t>Banco Central do Brasil (BCB) /</w:t>
                  </w:r>
                  <w:r w:rsidRPr="003B3FC4">
                    <w:rPr>
                      <w:rFonts w:ascii="Open Sans" w:eastAsia="Open Sans" w:hAnsi="Open Sans" w:cs="Open Sans"/>
                    </w:rPr>
                    <w:t xml:space="preserve"> Sistema ESTECO e Dados Abertos.</w:t>
                  </w:r>
                </w:p>
              </w:tc>
              <w:tc>
                <w:tcPr>
                  <w:tcW w:w="2420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71E8F32F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Mapear geograficamente a oferta de capital formal e identificar assimetrias de captação entre os dois estados.</w:t>
                  </w:r>
                </w:p>
              </w:tc>
            </w:tr>
            <w:tr w:rsidR="003B3FC4" w:rsidRPr="003B3FC4" w14:paraId="764547B3" w14:textId="77777777" w:rsidTr="00D66E59">
              <w:trPr>
                <w:tblCellSpacing w:w="15" w:type="dxa"/>
              </w:trPr>
              <w:tc>
                <w:tcPr>
                  <w:tcW w:w="1892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23E1D905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Demanda e Dinâmica Digital</w:t>
                  </w:r>
                </w:p>
              </w:tc>
              <w:tc>
                <w:tcPr>
                  <w:tcW w:w="241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2A4F69C9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Densidade de anúncios de hospedagem, preço médio de diárias e indicadores de fluxo e retenção de tráfego.</w:t>
                  </w:r>
                </w:p>
              </w:tc>
              <w:tc>
                <w:tcPr>
                  <w:tcW w:w="195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439A1D1C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Plataformas de economia compartilhada e mobilidade (</w:t>
                  </w:r>
                  <w:proofErr w:type="spellStart"/>
                  <w:r w:rsidRPr="00D66E59">
                    <w:rPr>
                      <w:rFonts w:ascii="Open Sans" w:eastAsia="Open Sans" w:hAnsi="Open Sans" w:cs="Open Sans"/>
                    </w:rPr>
                    <w:t>Inside</w:t>
                  </w:r>
                  <w:proofErr w:type="spellEnd"/>
                  <w:r w:rsidRPr="00D66E59">
                    <w:rPr>
                      <w:rFonts w:ascii="Open Sans" w:eastAsia="Open Sans" w:hAnsi="Open Sans" w:cs="Open Sans"/>
                    </w:rPr>
                    <w:t xml:space="preserve"> </w:t>
                  </w:r>
                  <w:proofErr w:type="spellStart"/>
                  <w:r w:rsidRPr="00D66E59">
                    <w:rPr>
                      <w:rFonts w:ascii="Open Sans" w:eastAsia="Open Sans" w:hAnsi="Open Sans" w:cs="Open Sans"/>
                    </w:rPr>
                    <w:t>Airbnb</w:t>
                  </w:r>
                  <w:proofErr w:type="spellEnd"/>
                  <w:r w:rsidRPr="00D66E59">
                    <w:rPr>
                      <w:rFonts w:ascii="Open Sans" w:eastAsia="Open Sans" w:hAnsi="Open Sans" w:cs="Open Sans"/>
                    </w:rPr>
                    <w:t xml:space="preserve"> / </w:t>
                  </w:r>
                  <w:proofErr w:type="spellStart"/>
                  <w:r w:rsidRPr="00D66E59">
                    <w:rPr>
                      <w:rFonts w:ascii="Open Sans" w:eastAsia="Open Sans" w:hAnsi="Open Sans" w:cs="Open Sans"/>
                    </w:rPr>
                    <w:t>Waze</w:t>
                  </w:r>
                  <w:proofErr w:type="spellEnd"/>
                  <w:r w:rsidRPr="00D66E59">
                    <w:rPr>
                      <w:rFonts w:ascii="Open Sans" w:eastAsia="Open Sans" w:hAnsi="Open Sans" w:cs="Open Sans"/>
                    </w:rPr>
                    <w:t xml:space="preserve"> proxies).</w:t>
                  </w:r>
                </w:p>
              </w:tc>
              <w:tc>
                <w:tcPr>
                  <w:tcW w:w="2420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0A5B93E4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 xml:space="preserve">Capturar os fluxos reais de consumo turístico e a atividade econômica informal que escapa dos registros do </w:t>
                  </w:r>
                  <w:proofErr w:type="spellStart"/>
                  <w:r w:rsidRPr="003B3FC4">
                    <w:rPr>
                      <w:rFonts w:ascii="Open Sans" w:eastAsia="Open Sans" w:hAnsi="Open Sans" w:cs="Open Sans"/>
                    </w:rPr>
                    <w:t>Cadastur</w:t>
                  </w:r>
                  <w:proofErr w:type="spellEnd"/>
                  <w:r w:rsidRPr="003B3FC4">
                    <w:rPr>
                      <w:rFonts w:ascii="Open Sans" w:eastAsia="Open Sans" w:hAnsi="Open Sans" w:cs="Open Sans"/>
                    </w:rPr>
                    <w:t>.</w:t>
                  </w:r>
                </w:p>
              </w:tc>
            </w:tr>
            <w:tr w:rsidR="003B3FC4" w:rsidRPr="003B3FC4" w14:paraId="36C763B4" w14:textId="77777777" w:rsidTr="00D66E59">
              <w:trPr>
                <w:tblCellSpacing w:w="15" w:type="dxa"/>
              </w:trPr>
              <w:tc>
                <w:tcPr>
                  <w:tcW w:w="1892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5ADC8EDE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Estrutura Produtiva Local</w:t>
                  </w:r>
                </w:p>
              </w:tc>
              <w:tc>
                <w:tcPr>
                  <w:tcW w:w="241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5A61C9C4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Cooperativas ativas, Declarações de Aptidão ao Pronaf/CAF e operadores de turismo receptivo.</w:t>
                  </w:r>
                </w:p>
              </w:tc>
              <w:tc>
                <w:tcPr>
                  <w:tcW w:w="1958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74864C5A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D66E59">
                    <w:rPr>
                      <w:rFonts w:ascii="Open Sans" w:eastAsia="Open Sans" w:hAnsi="Open Sans" w:cs="Open Sans"/>
                    </w:rPr>
                    <w:t xml:space="preserve">MDA / </w:t>
                  </w:r>
                  <w:proofErr w:type="spellStart"/>
                  <w:r w:rsidRPr="00D66E59">
                    <w:rPr>
                      <w:rFonts w:ascii="Open Sans" w:eastAsia="Open Sans" w:hAnsi="Open Sans" w:cs="Open Sans"/>
                    </w:rPr>
                    <w:t>Cadastur</w:t>
                  </w:r>
                  <w:proofErr w:type="spellEnd"/>
                  <w:r w:rsidRPr="003B3FC4">
                    <w:rPr>
                      <w:rFonts w:ascii="Open Sans" w:eastAsia="Open Sans" w:hAnsi="Open Sans" w:cs="Open Sans"/>
                    </w:rPr>
                    <w:t xml:space="preserve"> / Juntas Comerciais Estaduais.</w:t>
                  </w:r>
                </w:p>
              </w:tc>
              <w:tc>
                <w:tcPr>
                  <w:tcW w:w="2420" w:type="dxa"/>
                  <w:tcBorders>
                    <w:bottom w:val="single" w:sz="4" w:space="0" w:color="DCDFE5"/>
                  </w:tcBorders>
                  <w:vAlign w:val="center"/>
                  <w:hideMark/>
                </w:tcPr>
                <w:p w14:paraId="5F2C04F7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Mensurar o grau de organização social e capacidade instalada da base produtiva comunitária.</w:t>
                  </w:r>
                </w:p>
              </w:tc>
            </w:tr>
            <w:tr w:rsidR="003B3FC4" w:rsidRPr="003B3FC4" w14:paraId="67B6B044" w14:textId="77777777" w:rsidTr="00D66E59">
              <w:trPr>
                <w:tblCellSpacing w:w="15" w:type="dxa"/>
              </w:trPr>
              <w:tc>
                <w:tcPr>
                  <w:tcW w:w="1892" w:type="dxa"/>
                  <w:tcBorders>
                    <w:bottom w:val="nil"/>
                  </w:tcBorders>
                  <w:vAlign w:val="center"/>
                  <w:hideMark/>
                </w:tcPr>
                <w:p w14:paraId="1A48C06B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  <w:b/>
                      <w:bCs/>
                    </w:rPr>
                    <w:t>Vulnerabilidade e Conectividade</w:t>
                  </w:r>
                </w:p>
              </w:tc>
              <w:tc>
                <w:tcPr>
                  <w:tcW w:w="2418" w:type="dxa"/>
                  <w:tcBorders>
                    <w:bottom w:val="nil"/>
                  </w:tcBorders>
                  <w:vAlign w:val="center"/>
                  <w:hideMark/>
                </w:tcPr>
                <w:p w14:paraId="740A7C0B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 xml:space="preserve">Rendimento domiciliar </w:t>
                  </w:r>
                  <w:r w:rsidRPr="003B3FC4">
                    <w:rPr>
                      <w:rFonts w:ascii="Open Sans" w:eastAsia="Open Sans" w:hAnsi="Open Sans" w:cs="Open Sans"/>
                      <w:i/>
                      <w:iCs/>
                    </w:rPr>
                    <w:t>per capita</w:t>
                  </w:r>
                  <w:r w:rsidRPr="003B3FC4">
                    <w:rPr>
                      <w:rFonts w:ascii="Open Sans" w:eastAsia="Open Sans" w:hAnsi="Open Sans" w:cs="Open Sans"/>
                    </w:rPr>
                    <w:t>, IDH-M e mapas de manchas de cobertura de sinal de telecomunicações (4G/5G).</w:t>
                  </w:r>
                </w:p>
              </w:tc>
              <w:tc>
                <w:tcPr>
                  <w:tcW w:w="1958" w:type="dxa"/>
                  <w:tcBorders>
                    <w:bottom w:val="nil"/>
                  </w:tcBorders>
                  <w:vAlign w:val="center"/>
                  <w:hideMark/>
                </w:tcPr>
                <w:p w14:paraId="5145B485" w14:textId="77777777" w:rsidR="003B3FC4" w:rsidRPr="00D66E59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D66E59">
                    <w:rPr>
                      <w:rFonts w:ascii="Open Sans" w:eastAsia="Open Sans" w:hAnsi="Open Sans" w:cs="Open Sans"/>
                    </w:rPr>
                    <w:t>IBGE (Censo Demográfico) / Anatel.</w:t>
                  </w:r>
                </w:p>
              </w:tc>
              <w:tc>
                <w:tcPr>
                  <w:tcW w:w="2420" w:type="dxa"/>
                  <w:tcBorders>
                    <w:bottom w:val="nil"/>
                  </w:tcBorders>
                  <w:vAlign w:val="center"/>
                  <w:hideMark/>
                </w:tcPr>
                <w:p w14:paraId="7A2B3C56" w14:textId="77777777" w:rsidR="003B3FC4" w:rsidRPr="003B3FC4" w:rsidRDefault="003B3FC4" w:rsidP="008D384A">
                  <w:pPr>
                    <w:rPr>
                      <w:rFonts w:ascii="Open Sans" w:eastAsia="Open Sans" w:hAnsi="Open Sans" w:cs="Open Sans"/>
                    </w:rPr>
                  </w:pPr>
                  <w:r w:rsidRPr="003B3FC4">
                    <w:rPr>
                      <w:rFonts w:ascii="Open Sans" w:eastAsia="Open Sans" w:hAnsi="Open Sans" w:cs="Open Sans"/>
                    </w:rPr>
                    <w:t>Atuar como ponderador de equidade (priorizar áreas carentes) e viabilidade tecnológica para a economia de plataformas.</w:t>
                  </w:r>
                </w:p>
              </w:tc>
            </w:tr>
          </w:tbl>
          <w:p w14:paraId="4483A061" w14:textId="17F7874B" w:rsidR="003B3FC4" w:rsidRPr="00D66E59" w:rsidRDefault="003B3FC4" w:rsidP="008D384A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 xml:space="preserve">Tratamento Estatístico-Espacial: Aplicação da Análise Espacial de Dados de Área (AEDE) através do Índice de Moran Local (LISA) de forma independente para cada estado, permitindo isolar espacialmente os </w:t>
            </w:r>
            <w:r w:rsidRPr="00D66E59">
              <w:rPr>
                <w:rFonts w:ascii="Open Sans" w:eastAsia="Open Sans" w:hAnsi="Open Sans" w:cs="Open Sans"/>
                <w:i/>
                <w:iCs/>
              </w:rPr>
              <w:t>clusters</w:t>
            </w:r>
            <w:r w:rsidRPr="00D66E59">
              <w:rPr>
                <w:rFonts w:ascii="Open Sans" w:eastAsia="Open Sans" w:hAnsi="Open Sans" w:cs="Open Sans"/>
              </w:rPr>
              <w:t xml:space="preserve"> de alta atratividade. Posteriormente, os dados serão submetidos ao algoritmo de Processo de Hierarquia Analítica (AHP) para calibração de pesos e geração do ranking do </w:t>
            </w:r>
            <w:r w:rsidRPr="00D66E59">
              <w:rPr>
                <w:rFonts w:ascii="Open Sans" w:eastAsia="Open Sans" w:hAnsi="Open Sans" w:cs="Open Sans"/>
                <w:i/>
                <w:iCs/>
              </w:rPr>
              <w:t>Índice Sintético de Viabilidade Territorial (ISVT)</w:t>
            </w:r>
            <w:r w:rsidRPr="00D66E59">
              <w:rPr>
                <w:rFonts w:ascii="Open Sans" w:eastAsia="Open Sans" w:hAnsi="Open Sans" w:cs="Open Sans"/>
              </w:rPr>
              <w:t>.</w:t>
            </w:r>
          </w:p>
        </w:tc>
      </w:tr>
    </w:tbl>
    <w:p w14:paraId="4483A063" w14:textId="77777777" w:rsidR="00947E6E" w:rsidRDefault="00000000">
      <w:pPr>
        <w:pStyle w:val="Ttulo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color w:val="1F4E79"/>
          <w:sz w:val="32"/>
          <w:szCs w:val="32"/>
        </w:rPr>
        <w:lastRenderedPageBreak/>
        <w:t>7. ESTRUTURA DO ARTIGO</w:t>
      </w:r>
    </w:p>
    <w:p w14:paraId="4483A064" w14:textId="77777777" w:rsidR="00947E6E" w:rsidRDefault="00000000" w:rsidP="008D384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  <w:iCs/>
          <w:color w:val="555555"/>
        </w:rPr>
        <w:t>Descreva brevemente o conteúdo de cada seção. Não é necessário escrever os textos — apenas indicar o que cada parte fará.</w:t>
      </w:r>
    </w:p>
    <w:p w14:paraId="4483A065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947E6E" w14:paraId="4483A06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66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SEÇÃO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67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O QUE ESTA SEÇÃO FARÁ (resuma em 2–4 linhas)</w:t>
            </w:r>
          </w:p>
        </w:tc>
      </w:tr>
      <w:tr w:rsidR="00947E6E" w14:paraId="4483A06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69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Introdução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3A06A" w14:textId="0DBECF70" w:rsidR="00D66E59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 xml:space="preserve">Formulação do problema das falhas de mercado e assimetrias de informação na alocação de crédito ao ecoturismo. Justificativa da escolha do contraste </w:t>
            </w:r>
            <w:proofErr w:type="spellStart"/>
            <w:proofErr w:type="gramStart"/>
            <w:r w:rsidRPr="00D66E59">
              <w:rPr>
                <w:rFonts w:ascii="Open Sans" w:eastAsia="Open Sans" w:hAnsi="Open Sans" w:cs="Open Sans"/>
              </w:rPr>
              <w:t>macro-regional</w:t>
            </w:r>
            <w:proofErr w:type="spellEnd"/>
            <w:proofErr w:type="gramEnd"/>
            <w:r w:rsidRPr="00D66E59">
              <w:rPr>
                <w:rFonts w:ascii="Open Sans" w:eastAsia="Open Sans" w:hAnsi="Open Sans" w:cs="Open Sans"/>
              </w:rPr>
              <w:t xml:space="preserve"> entre RS e BA. Apresentação dos objetivos, tese defendida e relevância nacional.</w:t>
            </w:r>
          </w:p>
        </w:tc>
      </w:tr>
      <w:tr w:rsidR="00947E6E" w14:paraId="4483A06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6C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Seção 1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39291" w14:textId="72A54F35" w:rsidR="00D66E59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>Fundamentação Teórica</w:t>
            </w:r>
          </w:p>
          <w:p w14:paraId="09E39931" w14:textId="77777777" w:rsidR="00D66E59" w:rsidRDefault="00D66E59">
            <w:pPr>
              <w:rPr>
                <w:rFonts w:ascii="Open Sans" w:eastAsia="Open Sans" w:hAnsi="Open Sans" w:cs="Open Sans"/>
              </w:rPr>
            </w:pPr>
          </w:p>
          <w:p w14:paraId="4483A06D" w14:textId="4ADC8B94" w:rsidR="00947E6E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>Diálogo entre assimetria de crédito (Stiglitz), planejamento do capital regional (Furtado) e território usado (Milton Santos). Crítica teórica aos modelos puramente cadastrais de concessão bancária em favor de modelos baseados em inteligência territorial.</w:t>
            </w:r>
          </w:p>
        </w:tc>
      </w:tr>
      <w:tr w:rsidR="00947E6E" w14:paraId="4483A07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6F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Seção 2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77951" w14:textId="4AC21A78" w:rsidR="00947E6E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>Abordagem Metodológica</w:t>
            </w:r>
          </w:p>
          <w:p w14:paraId="60B2BFD4" w14:textId="77777777" w:rsidR="00D66E59" w:rsidRDefault="00D66E59">
            <w:pPr>
              <w:rPr>
                <w:rFonts w:ascii="Open Sans" w:eastAsia="Open Sans" w:hAnsi="Open Sans" w:cs="Open Sans"/>
              </w:rPr>
            </w:pPr>
          </w:p>
          <w:p w14:paraId="4483A070" w14:textId="17A09D4F" w:rsidR="00D66E59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>Detalhamento do protocolo de coleta, anonimização e compatibilização dos microdados do BCB e das plataformas digitais para as duas malhas estaduais. Demonstração das equações matemáticas e critérios de pesos do modelo AHP.</w:t>
            </w:r>
          </w:p>
        </w:tc>
      </w:tr>
      <w:tr w:rsidR="00947E6E" w14:paraId="4483A07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72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Seção 3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D298B" w14:textId="5D62607E" w:rsidR="00947E6E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>Resultados e Discussão</w:t>
            </w:r>
          </w:p>
          <w:p w14:paraId="25AB8274" w14:textId="77777777" w:rsidR="00D66E59" w:rsidRDefault="00D66E59">
            <w:pPr>
              <w:rPr>
                <w:rFonts w:ascii="Open Sans" w:eastAsia="Open Sans" w:hAnsi="Open Sans" w:cs="Open Sans"/>
              </w:rPr>
            </w:pPr>
          </w:p>
          <w:p w14:paraId="4483A073" w14:textId="429DC24C" w:rsidR="00D66E59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 xml:space="preserve">Exibição analítica e visual dos mapas de </w:t>
            </w:r>
            <w:r w:rsidRPr="00D66E59">
              <w:rPr>
                <w:rFonts w:ascii="Open Sans" w:eastAsia="Open Sans" w:hAnsi="Open Sans" w:cs="Open Sans"/>
                <w:i/>
                <w:iCs/>
              </w:rPr>
              <w:t>clusters</w:t>
            </w:r>
            <w:r w:rsidRPr="00D66E59">
              <w:rPr>
                <w:rFonts w:ascii="Open Sans" w:eastAsia="Open Sans" w:hAnsi="Open Sans" w:cs="Open Sans"/>
              </w:rPr>
              <w:t xml:space="preserve"> do RS e da BA. Análise comparada: identificação de padrões idênticos de falhas de mercado e contraste da atuação das redes de crédito (a capilaridade das cooperativas rurais no RS vs. a centralidade do BNB na BA).</w:t>
            </w:r>
          </w:p>
        </w:tc>
      </w:tr>
      <w:tr w:rsidR="00947E6E" w14:paraId="4483A07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075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1F4E79"/>
              </w:rPr>
              <w:t>Considerações Finais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3A076" w14:textId="130D52C8" w:rsidR="00947E6E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 xml:space="preserve">Proposição de recomendações de políticas públicas para o desenho de editais de fundos constitucionais e governança bancária de fomento. Discussão sobre as limitações de escala de dados </w:t>
            </w:r>
            <w:proofErr w:type="spellStart"/>
            <w:r w:rsidRPr="00D66E59">
              <w:rPr>
                <w:rFonts w:ascii="Open Sans" w:eastAsia="Open Sans" w:hAnsi="Open Sans" w:cs="Open Sans"/>
              </w:rPr>
              <w:t>bi-estaduais</w:t>
            </w:r>
            <w:proofErr w:type="spellEnd"/>
            <w:r w:rsidRPr="00D66E59">
              <w:rPr>
                <w:rFonts w:ascii="Open Sans" w:eastAsia="Open Sans" w:hAnsi="Open Sans" w:cs="Open Sans"/>
              </w:rPr>
              <w:t xml:space="preserve"> e horizontes para o uso de </w:t>
            </w:r>
            <w:r w:rsidRPr="00D66E59">
              <w:rPr>
                <w:rFonts w:ascii="Open Sans" w:eastAsia="Open Sans" w:hAnsi="Open Sans" w:cs="Open Sans"/>
                <w:i/>
                <w:iCs/>
              </w:rPr>
              <w:t>Big Data</w:t>
            </w:r>
            <w:r w:rsidRPr="00D66E59">
              <w:rPr>
                <w:rFonts w:ascii="Open Sans" w:eastAsia="Open Sans" w:hAnsi="Open Sans" w:cs="Open Sans"/>
              </w:rPr>
              <w:t xml:space="preserve"> governamental.</w:t>
            </w:r>
          </w:p>
        </w:tc>
      </w:tr>
    </w:tbl>
    <w:p w14:paraId="4483A078" w14:textId="77777777" w:rsidR="00947E6E" w:rsidRDefault="00947E6E">
      <w:pPr>
        <w:rPr>
          <w:rFonts w:ascii="Open Sans" w:eastAsia="Open Sans" w:hAnsi="Open Sans" w:cs="Open Sans"/>
        </w:rPr>
      </w:pPr>
    </w:p>
    <w:p w14:paraId="4483A07C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7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7D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8. CONTRIBUIÇÃO ESPERADA</w:t>
            </w:r>
          </w:p>
        </w:tc>
      </w:tr>
      <w:tr w:rsidR="00947E6E" w14:paraId="4483A08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7F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O que este artigo acrescenta ao debate acadêmico ou à prática de governança e desenvolvimento? A quem se dirige?</w:t>
            </w:r>
          </w:p>
          <w:p w14:paraId="60877AE0" w14:textId="77777777" w:rsidR="00D66E59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>Pense no público-alvo: pesquisadores, gestores públicos, organismos internacionais, outros?</w:t>
            </w:r>
          </w:p>
          <w:p w14:paraId="3630428A" w14:textId="77777777" w:rsidR="00D66E59" w:rsidRDefault="00D66E59">
            <w:pPr>
              <w:rPr>
                <w:rFonts w:ascii="Open Sans" w:eastAsia="Open Sans" w:hAnsi="Open Sans" w:cs="Open Sans"/>
              </w:rPr>
            </w:pPr>
          </w:p>
          <w:p w14:paraId="4483A080" w14:textId="02913685" w:rsidR="00947E6E" w:rsidRPr="00D66E59" w:rsidRDefault="00D66E59">
            <w:pPr>
              <w:rPr>
                <w:rFonts w:ascii="Open Sans" w:eastAsia="Open Sans" w:hAnsi="Open Sans" w:cs="Open Sans"/>
              </w:rPr>
            </w:pPr>
            <w:r w:rsidRPr="00D66E59">
              <w:rPr>
                <w:rFonts w:ascii="Open Sans" w:eastAsia="Open Sans" w:hAnsi="Open Sans" w:cs="Open Sans"/>
              </w:rPr>
              <w:t xml:space="preserve">O artigo entrega uma contribuição metodológica disruptiva para a ciência de dados aplicada às finanças públicas brasileiras. Ao validar o </w:t>
            </w:r>
            <w:r w:rsidRPr="00D66E59">
              <w:rPr>
                <w:rFonts w:ascii="Open Sans" w:eastAsia="Open Sans" w:hAnsi="Open Sans" w:cs="Open Sans"/>
                <w:i/>
                <w:iCs/>
              </w:rPr>
              <w:t>ISVT</w:t>
            </w:r>
            <w:r w:rsidRPr="00D66E59">
              <w:rPr>
                <w:rFonts w:ascii="Open Sans" w:eastAsia="Open Sans" w:hAnsi="Open Sans" w:cs="Open Sans"/>
              </w:rPr>
              <w:t xml:space="preserve"> em dois cenários </w:t>
            </w:r>
            <w:proofErr w:type="spellStart"/>
            <w:proofErr w:type="gramStart"/>
            <w:r w:rsidRPr="00D66E59">
              <w:rPr>
                <w:rFonts w:ascii="Open Sans" w:eastAsia="Open Sans" w:hAnsi="Open Sans" w:cs="Open Sans"/>
              </w:rPr>
              <w:t>macro-regionais</w:t>
            </w:r>
            <w:proofErr w:type="spellEnd"/>
            <w:proofErr w:type="gramEnd"/>
            <w:r w:rsidRPr="00D66E59">
              <w:rPr>
                <w:rFonts w:ascii="Open Sans" w:eastAsia="Open Sans" w:hAnsi="Open Sans" w:cs="Open Sans"/>
              </w:rPr>
              <w:t xml:space="preserve"> extremos, o trabalho fornece um algoritmo de </w:t>
            </w:r>
            <w:proofErr w:type="spellStart"/>
            <w:r w:rsidRPr="00D66E59">
              <w:rPr>
                <w:rFonts w:ascii="Open Sans" w:eastAsia="Open Sans" w:hAnsi="Open Sans" w:cs="Open Sans"/>
                <w:i/>
                <w:iCs/>
              </w:rPr>
              <w:t>due</w:t>
            </w:r>
            <w:proofErr w:type="spellEnd"/>
            <w:r w:rsidRPr="00D66E59">
              <w:rPr>
                <w:rFonts w:ascii="Open Sans" w:eastAsia="Open Sans" w:hAnsi="Open Sans" w:cs="Open Sans"/>
                <w:i/>
                <w:iCs/>
              </w:rPr>
              <w:t xml:space="preserve"> </w:t>
            </w:r>
            <w:proofErr w:type="spellStart"/>
            <w:r w:rsidRPr="00D66E59">
              <w:rPr>
                <w:rFonts w:ascii="Open Sans" w:eastAsia="Open Sans" w:hAnsi="Open Sans" w:cs="Open Sans"/>
                <w:i/>
                <w:iCs/>
              </w:rPr>
              <w:t>diligence</w:t>
            </w:r>
            <w:proofErr w:type="spellEnd"/>
            <w:r w:rsidRPr="00D66E59">
              <w:rPr>
                <w:rFonts w:ascii="Open Sans" w:eastAsia="Open Sans" w:hAnsi="Open Sans" w:cs="Open Sans"/>
              </w:rPr>
              <w:t xml:space="preserve"> territorial replicável. O modelo serve diretamente como ferramenta de suporte à decisão para bancos de desenvolvimento</w:t>
            </w:r>
            <w:r>
              <w:rPr>
                <w:rFonts w:ascii="Open Sans" w:eastAsia="Open Sans" w:hAnsi="Open Sans" w:cs="Open Sans"/>
              </w:rPr>
              <w:t>,</w:t>
            </w:r>
            <w:r w:rsidRPr="00D66E59">
              <w:rPr>
                <w:rFonts w:ascii="Open Sans" w:eastAsia="Open Sans" w:hAnsi="Open Sans" w:cs="Open Sans"/>
              </w:rPr>
              <w:t xml:space="preserve"> agências reguladoras, cooperativas de crédito de atuação nacional e secretarias estaduais de planejamento e fazenda, visando à redução de riscos sistêmicos e à eficiência distributiva de subsídios estatais.</w:t>
            </w:r>
          </w:p>
        </w:tc>
      </w:tr>
    </w:tbl>
    <w:p w14:paraId="4483A082" w14:textId="77777777" w:rsidR="00947E6E" w:rsidRDefault="00947E6E">
      <w:pPr>
        <w:rPr>
          <w:rFonts w:ascii="Open Sans" w:eastAsia="Open Sans" w:hAnsi="Open Sans" w:cs="Open Sans"/>
        </w:rPr>
      </w:pPr>
    </w:p>
    <w:p w14:paraId="4483A083" w14:textId="77777777" w:rsidR="00947E6E" w:rsidRDefault="00947E6E">
      <w:pPr>
        <w:rPr>
          <w:rFonts w:ascii="Open Sans" w:eastAsia="Open Sans" w:hAnsi="Open Sans" w:cs="Open Sans"/>
        </w:rPr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7E6E" w14:paraId="4483A08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84" w14:textId="77777777" w:rsidR="00947E6E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  <w:sz w:val="24"/>
                <w:szCs w:val="24"/>
              </w:rPr>
              <w:t>9. CRONOGRAMA PROVISÓRIO</w:t>
            </w:r>
          </w:p>
        </w:tc>
      </w:tr>
      <w:tr w:rsidR="00947E6E" w14:paraId="4483A08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83A086" w14:textId="77777777" w:rsidR="00947E6E" w:rsidRDefault="00000000" w:rsidP="008D384A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i/>
                <w:iCs/>
                <w:color w:val="444444"/>
                <w:sz w:val="20"/>
                <w:szCs w:val="20"/>
              </w:rPr>
              <w:t>Quais são as etapas previstas e os prazos para entrega?</w:t>
            </w:r>
          </w:p>
          <w:p w14:paraId="4483A087" w14:textId="77777777" w:rsidR="00947E6E" w:rsidRDefault="00000000">
            <w:pP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 xml:space="preserve">Sugestão: levantamento bibliográfico </w:t>
            </w:r>
            <w:sdt>
              <w:sdtPr>
                <w:tag w:val="goog_rdk_0"/>
                <w:id w:val="170478555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2E6DA4"/>
                    <w:sz w:val="20"/>
                    <w:szCs w:val="20"/>
                  </w:rPr>
                  <w:t>→</w:t>
                </w:r>
              </w:sdtContent>
            </w:sdt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 xml:space="preserve"> escrita da estrutura </w:t>
            </w:r>
            <w:sdt>
              <w:sdtPr>
                <w:tag w:val="goog_rdk_1"/>
                <w:id w:val="1132392311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2E6DA4"/>
                    <w:sz w:val="20"/>
                    <w:szCs w:val="20"/>
                  </w:rPr>
                  <w:t>→</w:t>
                </w:r>
              </w:sdtContent>
            </w:sdt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 xml:space="preserve"> revisão </w:t>
            </w:r>
            <w:sdt>
              <w:sdtPr>
                <w:tag w:val="goog_rdk_2"/>
                <w:id w:val="-206171291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2E6DA4"/>
                    <w:sz w:val="20"/>
                    <w:szCs w:val="20"/>
                  </w:rPr>
                  <w:t>→</w:t>
                </w:r>
              </w:sdtContent>
            </w:sdt>
            <w: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  <w:t xml:space="preserve"> versão final.</w:t>
            </w:r>
          </w:p>
          <w:p w14:paraId="4483A088" w14:textId="77777777" w:rsidR="00947E6E" w:rsidRDefault="00947E6E">
            <w:pPr>
              <w:rPr>
                <w:rFonts w:ascii="Open Sans" w:eastAsia="Open Sans" w:hAnsi="Open Sans" w:cs="Open Sans"/>
                <w:i/>
                <w:iCs/>
                <w:color w:val="2E6DA4"/>
                <w:sz w:val="20"/>
                <w:szCs w:val="20"/>
              </w:rPr>
            </w:pPr>
          </w:p>
          <w:p w14:paraId="7693C6F0" w14:textId="0FB62D04" w:rsidR="006E6632" w:rsidRPr="006E6632" w:rsidRDefault="006E6632" w:rsidP="008D384A">
            <w:pPr>
              <w:pStyle w:val="PargrafodaLista"/>
              <w:rPr>
                <w:rFonts w:ascii="Open Sans" w:eastAsia="Open Sans" w:hAnsi="Open Sans" w:cs="Open Sans"/>
              </w:rPr>
            </w:pPr>
            <w:r w:rsidRPr="006E6632">
              <w:rPr>
                <w:rFonts w:ascii="Open Sans" w:eastAsia="Open Sans" w:hAnsi="Open Sans" w:cs="Open Sans"/>
              </w:rPr>
              <w:t xml:space="preserve">Extração paralela de microdados do Banco Central (ESTECO) e raspagem das plataformas digitais (RS e BA): </w:t>
            </w:r>
            <w:proofErr w:type="gramStart"/>
            <w:r w:rsidRPr="006E6632">
              <w:rPr>
                <w:rFonts w:ascii="Open Sans" w:eastAsia="Open Sans" w:hAnsi="Open Sans" w:cs="Open Sans"/>
              </w:rPr>
              <w:t>Julho</w:t>
            </w:r>
            <w:proofErr w:type="gramEnd"/>
            <w:r w:rsidRPr="006E6632">
              <w:rPr>
                <w:rFonts w:ascii="Open Sans" w:eastAsia="Open Sans" w:hAnsi="Open Sans" w:cs="Open Sans"/>
              </w:rPr>
              <w:t>/2026</w:t>
            </w:r>
          </w:p>
          <w:p w14:paraId="3475E394" w14:textId="70628CD9" w:rsidR="006E6632" w:rsidRPr="006E6632" w:rsidRDefault="006E6632" w:rsidP="008D384A">
            <w:pPr>
              <w:pStyle w:val="PargrafodaLista"/>
              <w:rPr>
                <w:rFonts w:ascii="Open Sans" w:eastAsia="Open Sans" w:hAnsi="Open Sans" w:cs="Open Sans"/>
              </w:rPr>
            </w:pPr>
            <w:r w:rsidRPr="006E6632">
              <w:rPr>
                <w:rFonts w:ascii="Open Sans" w:eastAsia="Open Sans" w:hAnsi="Open Sans" w:cs="Open Sans"/>
              </w:rPr>
              <w:t xml:space="preserve">Processamento de dados geográficos no SIG, limpeza de malhas censitárias e rodada dos algoritmos de </w:t>
            </w:r>
            <w:proofErr w:type="spellStart"/>
            <w:r w:rsidRPr="006E6632">
              <w:rPr>
                <w:rFonts w:ascii="Open Sans" w:eastAsia="Open Sans" w:hAnsi="Open Sans" w:cs="Open Sans"/>
              </w:rPr>
              <w:t>clustering</w:t>
            </w:r>
            <w:proofErr w:type="spellEnd"/>
            <w:r w:rsidRPr="006E6632">
              <w:rPr>
                <w:rFonts w:ascii="Open Sans" w:eastAsia="Open Sans" w:hAnsi="Open Sans" w:cs="Open Sans"/>
              </w:rPr>
              <w:t xml:space="preserve"> (LISA): </w:t>
            </w:r>
            <w:proofErr w:type="gramStart"/>
            <w:r>
              <w:rPr>
                <w:rFonts w:ascii="Open Sans" w:eastAsia="Open Sans" w:hAnsi="Open Sans" w:cs="Open Sans"/>
              </w:rPr>
              <w:t>Agosto</w:t>
            </w:r>
            <w:proofErr w:type="gramEnd"/>
            <w:r w:rsidRPr="006E6632">
              <w:rPr>
                <w:rFonts w:ascii="Open Sans" w:eastAsia="Open Sans" w:hAnsi="Open Sans" w:cs="Open Sans"/>
              </w:rPr>
              <w:t>/2026</w:t>
            </w:r>
          </w:p>
          <w:p w14:paraId="4C5909C0" w14:textId="0720B406" w:rsidR="006E6632" w:rsidRPr="006E6632" w:rsidRDefault="006E6632" w:rsidP="008D384A">
            <w:pPr>
              <w:pStyle w:val="PargrafodaLista"/>
              <w:rPr>
                <w:rFonts w:ascii="Open Sans" w:eastAsia="Open Sans" w:hAnsi="Open Sans" w:cs="Open Sans"/>
              </w:rPr>
            </w:pPr>
            <w:r w:rsidRPr="006E6632">
              <w:rPr>
                <w:rFonts w:ascii="Open Sans" w:eastAsia="Open Sans" w:hAnsi="Open Sans" w:cs="Open Sans"/>
              </w:rPr>
              <w:t xml:space="preserve">Cálculo da matriz de pesos AHP, consolidação dos mapas comparativos e redação do bloco de resultados: </w:t>
            </w:r>
            <w:proofErr w:type="gramStart"/>
            <w:r>
              <w:rPr>
                <w:rFonts w:ascii="Open Sans" w:eastAsia="Open Sans" w:hAnsi="Open Sans" w:cs="Open Sans"/>
              </w:rPr>
              <w:t>Setembro</w:t>
            </w:r>
            <w:proofErr w:type="gramEnd"/>
            <w:r w:rsidRPr="006E6632">
              <w:rPr>
                <w:rFonts w:ascii="Open Sans" w:eastAsia="Open Sans" w:hAnsi="Open Sans" w:cs="Open Sans"/>
              </w:rPr>
              <w:t>/2026</w:t>
            </w:r>
          </w:p>
          <w:p w14:paraId="4483A08C" w14:textId="4D39B66E" w:rsidR="00947E6E" w:rsidRPr="006E6632" w:rsidRDefault="006E6632" w:rsidP="008D384A">
            <w:pPr>
              <w:pStyle w:val="PargrafodaLista"/>
              <w:rPr>
                <w:rFonts w:ascii="Open Sans" w:eastAsia="Open Sans" w:hAnsi="Open Sans" w:cs="Open Sans"/>
              </w:rPr>
            </w:pPr>
            <w:r w:rsidRPr="006E6632">
              <w:rPr>
                <w:rFonts w:ascii="Open Sans" w:eastAsia="Open Sans" w:hAnsi="Open Sans" w:cs="Open Sans"/>
              </w:rPr>
              <w:t xml:space="preserve">Revisão ortográfica, formatação científica rigorosa (ABNT/Revista) e submissão da versão final: </w:t>
            </w:r>
            <w:proofErr w:type="gramStart"/>
            <w:r>
              <w:rPr>
                <w:rFonts w:ascii="Open Sans" w:eastAsia="Open Sans" w:hAnsi="Open Sans" w:cs="Open Sans"/>
              </w:rPr>
              <w:t>Outubro</w:t>
            </w:r>
            <w:proofErr w:type="gramEnd"/>
            <w:r>
              <w:rPr>
                <w:rFonts w:ascii="Open Sans" w:eastAsia="Open Sans" w:hAnsi="Open Sans" w:cs="Open Sans"/>
              </w:rPr>
              <w:t>/</w:t>
            </w:r>
            <w:proofErr w:type="gramStart"/>
            <w:r w:rsidRPr="006E6632">
              <w:rPr>
                <w:rFonts w:ascii="Open Sans" w:eastAsia="Open Sans" w:hAnsi="Open Sans" w:cs="Open Sans"/>
              </w:rPr>
              <w:t>Novembro</w:t>
            </w:r>
            <w:proofErr w:type="gramEnd"/>
            <w:r w:rsidRPr="006E6632">
              <w:rPr>
                <w:rFonts w:ascii="Open Sans" w:eastAsia="Open Sans" w:hAnsi="Open Sans" w:cs="Open Sans"/>
              </w:rPr>
              <w:t>/2026</w:t>
            </w:r>
          </w:p>
        </w:tc>
      </w:tr>
    </w:tbl>
    <w:p w14:paraId="4483A08E" w14:textId="77777777" w:rsidR="00947E6E" w:rsidRDefault="00947E6E">
      <w:pPr>
        <w:rPr>
          <w:rFonts w:ascii="Open Sans" w:eastAsia="Open Sans" w:hAnsi="Open Sans" w:cs="Open Sans"/>
          <w:b/>
          <w:bCs/>
          <w:sz w:val="24"/>
          <w:szCs w:val="24"/>
        </w:rPr>
      </w:pPr>
    </w:p>
    <w:sectPr w:rsidR="00947E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37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8BB8" w14:textId="77777777" w:rsidR="005469B7" w:rsidRDefault="005469B7">
      <w:pPr>
        <w:spacing w:line="240" w:lineRule="auto"/>
      </w:pPr>
      <w:r>
        <w:separator/>
      </w:r>
    </w:p>
  </w:endnote>
  <w:endnote w:type="continuationSeparator" w:id="0">
    <w:p w14:paraId="75AEA122" w14:textId="77777777" w:rsidR="005469B7" w:rsidRDefault="00546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BCC42C5-BFB0-4C22-BD6A-C9156CBA5CC8}"/>
    <w:embedBold r:id="rId2" w:fontKey="{E34A00EA-68B2-44AA-8285-056B844DEA9D}"/>
    <w:embedItalic r:id="rId3" w:fontKey="{8E8B950B-9876-4DB0-9D18-3587D06710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190D3C91-32A7-46AC-8C9A-097B2008B0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C01FE1-AA6A-4185-BA43-D06F2C5C0F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BB1B59-2745-4C9F-93CD-85DD3B38DF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97" w14:textId="77777777" w:rsidR="00947E6E" w:rsidRDefault="00947E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98" w14:textId="77777777" w:rsidR="00947E6E" w:rsidRDefault="00000000">
    <w:pPr>
      <w:ind w:left="-566" w:right="-40" w:hanging="141"/>
      <w:rPr>
        <w:rFonts w:ascii="Roboto" w:eastAsia="Roboto" w:hAnsi="Roboto" w:cs="Roboto"/>
        <w:color w:val="4EBCEA"/>
        <w:sz w:val="14"/>
        <w:szCs w:val="14"/>
      </w:rPr>
    </w:pPr>
    <w:r>
      <w:rPr>
        <w:rFonts w:ascii="Roboto" w:eastAsia="Roboto" w:hAnsi="Roboto" w:cs="Roboto"/>
        <w:color w:val="4EBCEA"/>
        <w:sz w:val="14"/>
        <w:szCs w:val="14"/>
      </w:rPr>
      <w:t>escolagovdes.cepal.org</w:t>
    </w:r>
  </w:p>
  <w:p w14:paraId="4483A099" w14:textId="77777777" w:rsidR="00947E6E" w:rsidRDefault="00947E6E">
    <w:pPr>
      <w:jc w:val="right"/>
      <w:rPr>
        <w:rFonts w:ascii="Roboto" w:eastAsia="Roboto" w:hAnsi="Roboto" w:cs="Roboto"/>
        <w:color w:val="51A8FF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9B" w14:textId="77777777" w:rsidR="00947E6E" w:rsidRDefault="00947E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5039" w14:textId="77777777" w:rsidR="005469B7" w:rsidRDefault="005469B7">
      <w:pPr>
        <w:spacing w:line="240" w:lineRule="auto"/>
      </w:pPr>
      <w:r>
        <w:separator/>
      </w:r>
    </w:p>
  </w:footnote>
  <w:footnote w:type="continuationSeparator" w:id="0">
    <w:p w14:paraId="270D6BEF" w14:textId="77777777" w:rsidR="005469B7" w:rsidRDefault="00546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8F" w14:textId="77777777" w:rsidR="00947E6E" w:rsidRDefault="00947E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90" w14:textId="77777777" w:rsidR="00947E6E" w:rsidRDefault="00000000">
    <w:pPr>
      <w:ind w:left="-566" w:hanging="141"/>
      <w:jc w:val="right"/>
      <w:rPr>
        <w:rFonts w:ascii="Roboto" w:eastAsia="Roboto" w:hAnsi="Roboto" w:cs="Roboto"/>
        <w:color w:val="51A8FF"/>
        <w:sz w:val="18"/>
        <w:szCs w:val="18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483A09C" wp14:editId="4483A09D">
          <wp:simplePos x="0" y="0"/>
          <wp:positionH relativeFrom="column">
            <wp:posOffset>-104773</wp:posOffset>
          </wp:positionH>
          <wp:positionV relativeFrom="paragraph">
            <wp:posOffset>-104773</wp:posOffset>
          </wp:positionV>
          <wp:extent cx="2243138" cy="10572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2207" t="20904" r="14085" b="30162"/>
                  <a:stretch>
                    <a:fillRect/>
                  </a:stretch>
                </pic:blipFill>
                <pic:spPr>
                  <a:xfrm>
                    <a:off x="0" y="0"/>
                    <a:ext cx="2243138" cy="1057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83A091" w14:textId="77777777" w:rsidR="00947E6E" w:rsidRDefault="00947E6E">
    <w:pPr>
      <w:ind w:left="-566" w:hanging="141"/>
      <w:jc w:val="right"/>
      <w:rPr>
        <w:rFonts w:ascii="Roboto" w:eastAsia="Roboto" w:hAnsi="Roboto" w:cs="Roboto"/>
        <w:color w:val="51A8FF"/>
        <w:sz w:val="18"/>
        <w:szCs w:val="18"/>
      </w:rPr>
    </w:pPr>
  </w:p>
  <w:p w14:paraId="4483A092" w14:textId="77777777" w:rsidR="00947E6E" w:rsidRDefault="00947E6E">
    <w:pPr>
      <w:ind w:left="-566" w:hanging="141"/>
      <w:jc w:val="right"/>
      <w:rPr>
        <w:rFonts w:ascii="Roboto" w:eastAsia="Roboto" w:hAnsi="Roboto" w:cs="Roboto"/>
        <w:color w:val="51A8FF"/>
        <w:sz w:val="18"/>
        <w:szCs w:val="18"/>
      </w:rPr>
    </w:pPr>
  </w:p>
  <w:p w14:paraId="4483A093" w14:textId="77777777" w:rsidR="00947E6E" w:rsidRDefault="00947E6E">
    <w:pPr>
      <w:ind w:left="-566" w:hanging="141"/>
      <w:jc w:val="right"/>
      <w:rPr>
        <w:rFonts w:ascii="Roboto" w:eastAsia="Roboto" w:hAnsi="Roboto" w:cs="Roboto"/>
        <w:color w:val="51A8FF"/>
        <w:sz w:val="18"/>
        <w:szCs w:val="18"/>
      </w:rPr>
    </w:pPr>
  </w:p>
  <w:p w14:paraId="4483A094" w14:textId="77777777" w:rsidR="00947E6E" w:rsidRDefault="00947E6E">
    <w:pPr>
      <w:ind w:left="-566" w:right="-40" w:hanging="141"/>
      <w:jc w:val="right"/>
      <w:rPr>
        <w:rFonts w:ascii="Roboto" w:eastAsia="Roboto" w:hAnsi="Roboto" w:cs="Roboto"/>
        <w:color w:val="4EBCEA"/>
        <w:sz w:val="14"/>
        <w:szCs w:val="14"/>
      </w:rPr>
    </w:pPr>
  </w:p>
  <w:p w14:paraId="4483A095" w14:textId="77777777" w:rsidR="00947E6E" w:rsidRDefault="00947E6E">
    <w:pPr>
      <w:rPr>
        <w:rFonts w:ascii="Roboto" w:eastAsia="Roboto" w:hAnsi="Roboto" w:cs="Roboto"/>
        <w:color w:val="51A8FF"/>
        <w:sz w:val="14"/>
        <w:szCs w:val="14"/>
      </w:rPr>
    </w:pPr>
  </w:p>
  <w:p w14:paraId="4483A096" w14:textId="77777777" w:rsidR="00947E6E" w:rsidRDefault="00947E6E">
    <w:pPr>
      <w:ind w:left="-566" w:hanging="141"/>
      <w:jc w:val="cent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A09A" w14:textId="77777777" w:rsidR="00947E6E" w:rsidRDefault="00947E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C97"/>
    <w:multiLevelType w:val="multilevel"/>
    <w:tmpl w:val="E81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61F0"/>
    <w:multiLevelType w:val="hybridMultilevel"/>
    <w:tmpl w:val="C17C5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26413"/>
    <w:multiLevelType w:val="multilevel"/>
    <w:tmpl w:val="0CAEE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AA3C27"/>
    <w:multiLevelType w:val="hybridMultilevel"/>
    <w:tmpl w:val="496AD844"/>
    <w:lvl w:ilvl="0" w:tplc="2EB42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32089B"/>
    <w:multiLevelType w:val="hybridMultilevel"/>
    <w:tmpl w:val="E7AC59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E54BF"/>
    <w:multiLevelType w:val="multilevel"/>
    <w:tmpl w:val="F78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328"/>
    <w:multiLevelType w:val="multilevel"/>
    <w:tmpl w:val="77B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3FB1"/>
    <w:multiLevelType w:val="multilevel"/>
    <w:tmpl w:val="430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4BF7"/>
    <w:multiLevelType w:val="multilevel"/>
    <w:tmpl w:val="6C6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="Open Sans" w:hAnsi="Open Sans" w:cs="Ope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09E2"/>
    <w:multiLevelType w:val="hybridMultilevel"/>
    <w:tmpl w:val="C1B4C626"/>
    <w:lvl w:ilvl="0" w:tplc="7C507BE0">
      <w:start w:val="1"/>
      <w:numFmt w:val="decimal"/>
      <w:lvlText w:val="%1."/>
      <w:lvlJc w:val="left"/>
      <w:pPr>
        <w:ind w:left="1080" w:hanging="360"/>
      </w:pPr>
      <w:rPr>
        <w:rFonts w:hint="default"/>
        <w:color w:val="30303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744069"/>
    <w:multiLevelType w:val="hybridMultilevel"/>
    <w:tmpl w:val="A65C979A"/>
    <w:lvl w:ilvl="0" w:tplc="EC52BAC4">
      <w:start w:val="1"/>
      <w:numFmt w:val="decimal"/>
      <w:lvlText w:val="%1."/>
      <w:lvlJc w:val="left"/>
      <w:pPr>
        <w:ind w:left="1080" w:hanging="360"/>
      </w:pPr>
      <w:rPr>
        <w:rFonts w:hint="default"/>
        <w:color w:val="30303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74532B"/>
    <w:multiLevelType w:val="hybridMultilevel"/>
    <w:tmpl w:val="DAA22F46"/>
    <w:lvl w:ilvl="0" w:tplc="57D87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0268985">
    <w:abstractNumId w:val="2"/>
  </w:num>
  <w:num w:numId="2" w16cid:durableId="192352973">
    <w:abstractNumId w:val="10"/>
  </w:num>
  <w:num w:numId="3" w16cid:durableId="1477454728">
    <w:abstractNumId w:val="9"/>
  </w:num>
  <w:num w:numId="4" w16cid:durableId="790711330">
    <w:abstractNumId w:val="6"/>
  </w:num>
  <w:num w:numId="5" w16cid:durableId="349529619">
    <w:abstractNumId w:val="11"/>
  </w:num>
  <w:num w:numId="6" w16cid:durableId="448547441">
    <w:abstractNumId w:val="7"/>
  </w:num>
  <w:num w:numId="7" w16cid:durableId="971524155">
    <w:abstractNumId w:val="5"/>
  </w:num>
  <w:num w:numId="8" w16cid:durableId="648439149">
    <w:abstractNumId w:val="1"/>
  </w:num>
  <w:num w:numId="9" w16cid:durableId="1842161328">
    <w:abstractNumId w:val="4"/>
  </w:num>
  <w:num w:numId="10" w16cid:durableId="2104497159">
    <w:abstractNumId w:val="3"/>
  </w:num>
  <w:num w:numId="11" w16cid:durableId="57019543">
    <w:abstractNumId w:val="8"/>
  </w:num>
  <w:num w:numId="12" w16cid:durableId="15958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6E"/>
    <w:rsid w:val="00120C88"/>
    <w:rsid w:val="0020764E"/>
    <w:rsid w:val="00210191"/>
    <w:rsid w:val="002710BE"/>
    <w:rsid w:val="002F1AE3"/>
    <w:rsid w:val="002F511B"/>
    <w:rsid w:val="00321D77"/>
    <w:rsid w:val="00370E26"/>
    <w:rsid w:val="003A0F9B"/>
    <w:rsid w:val="003B3FC4"/>
    <w:rsid w:val="003C149E"/>
    <w:rsid w:val="00411BEA"/>
    <w:rsid w:val="00466A3C"/>
    <w:rsid w:val="004B3FFF"/>
    <w:rsid w:val="004D79AA"/>
    <w:rsid w:val="004E5F01"/>
    <w:rsid w:val="005469B7"/>
    <w:rsid w:val="005F0E9B"/>
    <w:rsid w:val="00691A24"/>
    <w:rsid w:val="006A3A81"/>
    <w:rsid w:val="006A6FA7"/>
    <w:rsid w:val="006E6632"/>
    <w:rsid w:val="007A74DF"/>
    <w:rsid w:val="008401FF"/>
    <w:rsid w:val="008D384A"/>
    <w:rsid w:val="00947E6E"/>
    <w:rsid w:val="00A009DD"/>
    <w:rsid w:val="00CD6CC5"/>
    <w:rsid w:val="00D230C3"/>
    <w:rsid w:val="00D37B37"/>
    <w:rsid w:val="00D56F84"/>
    <w:rsid w:val="00D66E59"/>
    <w:rsid w:val="00DE5932"/>
    <w:rsid w:val="00DF6E44"/>
    <w:rsid w:val="00EF3789"/>
    <w:rsid w:val="00F064B2"/>
    <w:rsid w:val="00F5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3A01F"/>
  <w15:docId w15:val="{B109AC59-29BE-4181-BC87-EACF8C90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411BEA"/>
    <w:pPr>
      <w:ind w:left="720"/>
      <w:contextualSpacing/>
    </w:pPr>
  </w:style>
  <w:style w:type="paragraph" w:customStyle="1" w:styleId="z1qcye">
    <w:name w:val="z1qcye"/>
    <w:basedOn w:val="Normal"/>
    <w:rsid w:val="003B3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Fontepargpadro"/>
    <w:rsid w:val="003B3FC4"/>
  </w:style>
  <w:style w:type="character" w:styleId="Forte">
    <w:name w:val="Strong"/>
    <w:basedOn w:val="Fontepargpadro"/>
    <w:uiPriority w:val="22"/>
    <w:qFormat/>
    <w:rsid w:val="003B3FC4"/>
    <w:rPr>
      <w:b/>
      <w:bCs/>
    </w:rPr>
  </w:style>
  <w:style w:type="character" w:styleId="nfase">
    <w:name w:val="Emphasis"/>
    <w:basedOn w:val="Fontepargpadro"/>
    <w:uiPriority w:val="20"/>
    <w:qFormat/>
    <w:rsid w:val="003B3F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WKRzspFMkF5Z0SMs7WtcpU9vg==">CgMxLjAaHQoBMBIYChYIB0ISEhBBcmlhbCBVbmljb2RlIE1TGh0KATESGAoWCAdCEhIQQXJpYWwgVW5pY29kZSBNUxodCgEyEhgKFggHQhISEEFyaWFsIFVuaWNvZGUgTVM4AHIhMS1LdzNtU3hPN2Nwb0NRSnNDalZNSzZtSkNOdkc1bVlz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CF53C4-B8D4-433B-96F7-0A624839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1</Pages>
  <Words>1801</Words>
  <Characters>9728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Jose de Almeida</dc:creator>
  <cp:lastModifiedBy>Julio Jose de Almeida</cp:lastModifiedBy>
  <cp:revision>7</cp:revision>
  <dcterms:created xsi:type="dcterms:W3CDTF">2026-07-08T03:59:00Z</dcterms:created>
  <dcterms:modified xsi:type="dcterms:W3CDTF">2026-08-21T20:40:00Z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0x01010048ABCE4BE1221B42AD019A22E21975A4</vt:lpwstr>
  </property>
  <property fmtid="{D5CDD505-2E9C-101B-9397-08002B2CF9AE}" pid="3" name="MediaServiceImageTags">
    <vt:lpwstr>MediaServiceImageTags</vt:lpwstr>
  </property>
  <property fmtid="{D5CDD505-2E9C-101B-9397-08002B2CF9AE}" pid="4" name="MSIP_Label_fde7aacd-7cc4-4c31-9e6f-7ef306428f09_Enabled">
    <vt:lpwstr>true</vt:lpwstr>
  </property>
  <property fmtid="{D5CDD505-2E9C-101B-9397-08002B2CF9AE}" pid="5" name="MSIP_Label_fde7aacd-7cc4-4c31-9e6f-7ef306428f09_SetDate">
    <vt:lpwstr>2026-07-05T16:43:45Z</vt:lpwstr>
  </property>
  <property fmtid="{D5CDD505-2E9C-101B-9397-08002B2CF9AE}" pid="6" name="MSIP_Label_fde7aacd-7cc4-4c31-9e6f-7ef306428f09_Method">
    <vt:lpwstr>Privileged</vt:lpwstr>
  </property>
  <property fmtid="{D5CDD505-2E9C-101B-9397-08002B2CF9AE}" pid="7" name="MSIP_Label_fde7aacd-7cc4-4c31-9e6f-7ef306428f09_Name">
    <vt:lpwstr>_PUBLICO</vt:lpwstr>
  </property>
  <property fmtid="{D5CDD505-2E9C-101B-9397-08002B2CF9AE}" pid="8" name="MSIP_Label_fde7aacd-7cc4-4c31-9e6f-7ef306428f09_SiteId">
    <vt:lpwstr>ab9bba98-684a-43fb-add8-9c2bebede229</vt:lpwstr>
  </property>
  <property fmtid="{D5CDD505-2E9C-101B-9397-08002B2CF9AE}" pid="9" name="MSIP_Label_fde7aacd-7cc4-4c31-9e6f-7ef306428f09_ActionId">
    <vt:lpwstr>10cccbb7-841d-4601-a0c3-874b10b816d9</vt:lpwstr>
  </property>
  <property fmtid="{D5CDD505-2E9C-101B-9397-08002B2CF9AE}" pid="10" name="MSIP_Label_fde7aacd-7cc4-4c31-9e6f-7ef306428f09_ContentBits">
    <vt:lpwstr>1</vt:lpwstr>
  </property>
  <property fmtid="{D5CDD505-2E9C-101B-9397-08002B2CF9AE}" pid="11" name="MSIP_Label_fde7aacd-7cc4-4c31-9e6f-7ef306428f09_Tag">
    <vt:lpwstr>10, 0, 1, 1</vt:lpwstr>
  </property>
</Properties>
</file>