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02C57"/>
          <w:sz w:val="36"/>
        </w:rPr>
        <w:t>INTELLECTUAL PROPERTY DISCLOSURE &amp; PATENT SPECIFICATION PORTFOLIO</w:t>
      </w:r>
    </w:p>
    <w:p>
      <w:r>
        <w:rPr>
          <w:rFonts w:ascii="Calibri" w:hAnsi="Calibri"/>
          <w:i/>
          <w:color w:val="64748B"/>
          <w:sz w:val="22"/>
        </w:rPr>
        <w:t>Consolidated Technical Disclosures, Independent Claims, and R&amp;D Verification for USPTO Filing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</w:tcPr>
          <w:p>
            <w:r>
              <w:rPr>
                <w:b/>
              </w:rPr>
              <w:t>Applicant / Assignee:</w:t>
            </w:r>
          </w:p>
        </w:tc>
        <w:tc>
          <w:tcPr>
            <w:tcW w:type="dxa" w:w="6192"/>
          </w:tcPr>
          <w:p>
            <w:r>
              <w:t>California Investment Auto LP (CDLS Platform)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</w:rPr>
              <w:t>Primary Inventor:</w:t>
            </w:r>
          </w:p>
        </w:tc>
        <w:tc>
          <w:tcPr>
            <w:tcW w:type="dxa" w:w="6192"/>
          </w:tcPr>
          <w:p>
            <w:r>
              <w:t>Julio Cesar Umanzor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</w:rPr>
              <w:t>Filing Status / Target:</w:t>
            </w:r>
          </w:p>
        </w:tc>
        <w:tc>
          <w:tcPr>
            <w:tcW w:type="dxa" w:w="6192"/>
          </w:tcPr>
          <w:p>
            <w:r>
              <w:t>USPTO Non-Provisional &amp; Provisional Patent Portfolio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</w:rPr>
              <w:t>Related Filings:</w:t>
            </w:r>
          </w:p>
        </w:tc>
        <w:tc>
          <w:tcPr>
            <w:tcW w:type="dxa" w:w="6192"/>
          </w:tcPr>
          <w:p>
            <w:r>
              <w:t>USPTO Provisional Patent Application #63/734829 (MagSafe Quick-Disconnect)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</w:rPr>
              <w:t>Statutory Basis:</w:t>
            </w:r>
          </w:p>
        </w:tc>
        <w:tc>
          <w:tcPr>
            <w:tcW w:type="dxa" w:w="6192"/>
          </w:tcPr>
          <w:p>
            <w:r>
              <w:t>35 U.S.C. § 101, § 102, § 103, § 112 | IRC § 41 Contemporaneous Support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02C57"/>
          <w:sz w:val="30"/>
        </w:rPr>
        <w:t>1. Executive Summary of Patentable Inventions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This specification documents the novel technological solutions and statutory claim structures derived directly from qualified R&amp;D activities across the CDLS platform:</w:t>
      </w:r>
    </w:p>
    <w:p>
      <w:pPr>
        <w:pStyle w:val="ListBullet"/>
        <w:spacing w:after="40"/>
      </w:pPr>
      <w:r>
        <w:rPr>
          <w:b/>
        </w:rPr>
        <w:t xml:space="preserve">Cluster 1: Electro-Mechanical Fleet Systems — </w:t>
      </w:r>
      <w:r>
        <w:t>High-amperage magnetic quick-disconnect charging couplers (USPTO #63/734829), mobile battery pod trailers (360 kWh), and IEEE 15118-20 bidirectional V2G grid interconnection architectures.</w:t>
      </w:r>
    </w:p>
    <w:p>
      <w:pPr>
        <w:pStyle w:val="ListBullet"/>
        <w:spacing w:after="40"/>
      </w:pPr>
      <w:r>
        <w:rPr>
          <w:b/>
        </w:rPr>
        <w:t xml:space="preserve">Cluster 2: Cryptographic Audit &amp; Integrity Engine (JUDAS AI) — </w:t>
      </w:r>
      <w:r>
        <w:t>Zero-knowledge proof verification pipeline utilizing dual-hash commitments, automated computer vision damage inspection, and GAGAS-compliant non-repudiation ledgers.</w:t>
      </w:r>
    </w:p>
    <w:p>
      <w:pPr>
        <w:pStyle w:val="ListBullet"/>
        <w:spacing w:after="40"/>
      </w:pPr>
      <w:r>
        <w:rPr>
          <w:b/>
        </w:rPr>
        <w:t xml:space="preserve">Cluster 3: Adaptive Route &amp; Fleet Intelligence (CARI / CESAR) — </w:t>
      </w:r>
      <w:r>
        <w:t>Three-layer stochastic route optimization engine combining regularized OLS noise elimination, Markov Chain Monte Carlo (MCMC) simulations, and A/B human-centric stabilization (APLRE).</w:t>
      </w:r>
    </w:p>
    <w:p>
      <w:pPr>
        <w:pStyle w:val="ListBullet"/>
        <w:spacing w:after="40"/>
      </w:pPr>
      <w:r>
        <w:rPr>
          <w:b/>
        </w:rPr>
        <w:t xml:space="preserve">Cluster 4: Multi-Tenant Credential &amp; Compliance Architecture — </w:t>
      </w:r>
      <w:r>
        <w:t>AES-256-GCM authenticated envelope encryption (AAD-Bound AEAD) with hardware-isolated data encryption keys (DEKs) and real-time CARB CTC / TRUCRS API automation engines.</w:t>
      </w:r>
    </w:p>
    <w:p>
      <w:pPr>
        <w:spacing w:before="240" w:after="80"/>
      </w:pPr>
      <w:r>
        <w:rPr>
          <w:rFonts w:ascii="Calibri" w:hAnsi="Calibri"/>
          <w:b/>
          <w:color w:val="102C57"/>
          <w:sz w:val="30"/>
        </w:rPr>
        <w:t>2. Invention Disclosure: Magnetic Quick-Disconnect &amp; V2G Storage</w:t>
      </w:r>
    </w:p>
    <w:p>
      <w:pPr>
        <w:spacing w:after="80" w:line="276" w:lineRule="auto"/>
      </w:pPr>
      <w:r>
        <w:rPr>
          <w:rFonts w:ascii="Calibri" w:hAnsi="Calibri"/>
          <w:b/>
          <w:color w:val="212529"/>
          <w:sz w:val="21"/>
        </w:rPr>
        <w:t xml:space="preserve">Reference: </w:t>
      </w:r>
      <w:r>
        <w:rPr>
          <w:rFonts w:ascii="Calibri" w:hAnsi="Calibri"/>
          <w:color w:val="212529"/>
          <w:sz w:val="21"/>
        </w:rPr>
        <w:t>USPTO Provisional Patent Application #63/734829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Technical Field: Heavy-duty electric vehicle (EV) charging interfaces, bidirectional vehicle-to-grid (V2G) power transmission, and automated breakaway coupling mechanisms.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Technical Uncertainties Resolved:</w:t>
      </w:r>
    </w:p>
    <w:p>
      <w:pPr>
        <w:pStyle w:val="ListBullet"/>
      </w:pPr>
      <w:r>
        <w:rPr>
          <w:b/>
        </w:rPr>
        <w:t xml:space="preserve">Magnetic Retention vs. Release Limits: </w:t>
      </w:r>
      <w:r>
        <w:t>Achieved N52 NdFeB magnetic coupling force sufficient for 1.5G RMS road vibration retention without exceeding &lt;25 lb foot-pedal release ergonomic limits.</w:t>
      </w:r>
    </w:p>
    <w:p>
      <w:pPr>
        <w:pStyle w:val="ListBullet"/>
      </w:pPr>
      <w:r>
        <w:rPr>
          <w:b/>
        </w:rPr>
        <w:t xml:space="preserve">Arc-Fault Detection Interlock: </w:t>
      </w:r>
      <w:r>
        <w:t>Developed zero-latency auxiliary interlock de-energizing high-voltage contactors in &lt;15 ms prior to complete mechanical separation.</w:t>
      </w:r>
    </w:p>
    <w:p>
      <w:pPr>
        <w:spacing w:before="240" w:after="80"/>
      </w:pPr>
      <w:r>
        <w:rPr>
          <w:rFonts w:ascii="Calibri" w:hAnsi="Calibri"/>
          <w:b/>
          <w:color w:val="212529"/>
          <w:sz w:val="22"/>
        </w:rPr>
        <w:t>Exemplary Claim 1 (Breakaway Bidirectional Coupling):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1. An automated breakaway bidirectional electrical coupling assembly, comprising: a connector interface configured to conduct DC currents exceeding 200 amperes; a magnetic retention array comprising rare-earth permanent magnets providing clamping force resisting vibration up to 1.5G RMS; a mechanical release linkage configured to overcome retention clamping force with an actuation force under 25 pounds; and an auxiliary sensing loop configured to de-energize high-voltage power contactors within 15 milliseconds of physical displacement.</w:t>
      </w:r>
    </w:p>
    <w:p>
      <w:pPr>
        <w:spacing w:before="240" w:after="80"/>
      </w:pPr>
      <w:r>
        <w:rPr>
          <w:rFonts w:ascii="Calibri" w:hAnsi="Calibri"/>
          <w:b/>
          <w:color w:val="102C57"/>
          <w:sz w:val="30"/>
        </w:rPr>
        <w:t>3. Invention Disclosure: Cryptographic Zero-Knowledge Audit Kernel (JUDAS AI)</w:t>
      </w:r>
    </w:p>
    <w:p>
      <w:pPr>
        <w:spacing w:after="80" w:line="276" w:lineRule="auto"/>
      </w:pPr>
      <w:r>
        <w:rPr>
          <w:rFonts w:ascii="Calibri" w:hAnsi="Calibri"/>
          <w:b/>
          <w:color w:val="212529"/>
          <w:sz w:val="21"/>
        </w:rPr>
        <w:t xml:space="preserve">Reference: </w:t>
      </w:r>
      <w:r>
        <w:rPr>
          <w:rFonts w:ascii="Calibri" w:hAnsi="Calibri"/>
          <w:color w:val="212529"/>
          <w:sz w:val="21"/>
        </w:rPr>
        <w:t>Project Code: COMPLIANCE-001 | Zero-Knowledge Proofs &amp; Computer Vision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Technical Uncertainties Resolved:</w:t>
      </w:r>
    </w:p>
    <w:p>
      <w:pPr>
        <w:pStyle w:val="ListBullet"/>
      </w:pPr>
      <w:r>
        <w:rPr>
          <w:b/>
        </w:rPr>
        <w:t xml:space="preserve">Non-Repudiation Without Image Disclosure: </w:t>
      </w:r>
      <w:r>
        <w:t>Benchmarked two-tier dual-hash commitment scheme (SHA-256 + Pedersen/zk-SNARKs) satisfying GAGAS audit standards for court-admissible condition verification.</w:t>
      </w:r>
    </w:p>
    <w:p>
      <w:pPr>
        <w:pStyle w:val="ListBullet"/>
      </w:pPr>
      <w:r>
        <w:rPr>
          <w:b/>
        </w:rPr>
        <w:t xml:space="preserve">Variable Lighting CV Model: </w:t>
      </w:r>
      <w:r>
        <w:t>Benchmarked YOLO v8 against ResNet-50 on damage images across dawn/dusk/overcast conditions, achieving &lt;5% false-negative rates at 0.5 IoU.</w:t>
      </w:r>
    </w:p>
    <w:p>
      <w:pPr>
        <w:spacing w:before="240" w:after="80"/>
      </w:pPr>
      <w:r>
        <w:rPr>
          <w:rFonts w:ascii="Calibri" w:hAnsi="Calibri"/>
          <w:b/>
          <w:color w:val="212529"/>
          <w:sz w:val="22"/>
        </w:rPr>
        <w:t>Exemplary Claim 1 (Condition Auditing Method):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1. A computer-implemented method for verified condition auditing, comprising: capturing raw freight imagery via an optical sensor at an automotive transfer boundary; executing an inference pipeline to detect physical damage classifications with precision exceeding 90%; generating a dual-hash cryptographic commitment comprising a primary hash of raw imagery and an auxiliary zero-knowledge proof commitment; publishing said commitment to an append-only ledger; and verifying non-repudiation of vehicle condition during dispute resolution without disclosing unredacted customer metadata.</w:t>
      </w:r>
    </w:p>
    <w:p>
      <w:pPr>
        <w:spacing w:before="240" w:after="80"/>
      </w:pPr>
      <w:r>
        <w:rPr>
          <w:rFonts w:ascii="Calibri" w:hAnsi="Calibri"/>
          <w:b/>
          <w:color w:val="102C57"/>
          <w:sz w:val="30"/>
        </w:rPr>
        <w:t>4. Contemporaneous R&amp;D Experimental Evidence Ledger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The following entries from the verified R&amp;D tracker substantiate patent enablement under 35 U.S.C. § 112: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E8F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  <w:shd w:fill="E2E8F0"/>
          </w:tcPr>
          <w:p>
            <w:r>
              <w:rPr>
                <w:b/>
              </w:rPr>
              <w:t>Project Code / Area</w:t>
            </w:r>
          </w:p>
        </w:tc>
        <w:tc>
          <w:tcPr>
            <w:tcW w:type="dxa" w:w="2340"/>
            <w:shd w:fill="E2E8F0"/>
          </w:tcPr>
          <w:p>
            <w:r>
              <w:rPr>
                <w:b/>
              </w:rPr>
              <w:t>Technical Uncertainty</w:t>
            </w:r>
          </w:p>
        </w:tc>
        <w:tc>
          <w:tcPr>
            <w:tcW w:type="dxa" w:w="2340"/>
            <w:shd w:fill="E2E8F0"/>
          </w:tcPr>
          <w:p>
            <w:r>
              <w:rPr>
                <w:b/>
              </w:rPr>
              <w:t>Experimental Validation</w:t>
            </w:r>
          </w:p>
        </w:tc>
      </w:tr>
      <w:tr>
        <w:tc>
          <w:tcPr>
            <w:tcW w:type="dxa" w:w="2340"/>
          </w:tcPr>
          <w:p>
            <w:r>
              <w:t>R&amp;D Phase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 xml:space="preserve">Four-Part Test Guide - 4. BUSINESS 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Improved function: Faster route optimization; Improved performance: Real-time vs batch processing; Improved reliability:...</w:t>
            </w:r>
          </w:p>
        </w:tc>
      </w:tr>
      <w:tr>
        <w:tc>
          <w:tcPr>
            <w:tcW w:type="dxa" w:w="2340"/>
          </w:tcPr>
          <w:p>
            <w:r>
              <w:t>R&amp;D Phase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Four-Part Test Guide - 2. ELIMINATE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Unknown: Will ML model achieve &lt;10% error rate? Unknown: Can CARB API support real-time blockchain integration? Unknown:...</w:t>
            </w:r>
          </w:p>
        </w:tc>
      </w:tr>
      <w:tr>
        <w:tc>
          <w:tcPr>
            <w:tcW w:type="dxa" w:w="2340"/>
          </w:tcPr>
          <w:p>
            <w:r>
              <w:t>2026-03-05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AI Route Optimization — Phase 8: KB</w:t>
            </w:r>
          </w:p>
        </w:tc>
        <w:tc>
          <w:tcPr>
            <w:tcW w:type="dxa" w:w="2340"/>
          </w:tcPr>
          <w:p>
            <w:r>
              <w:t>Does artifact sandbox environment support parallel outbound API calls on mobile client?</w:t>
            </w:r>
          </w:p>
        </w:tc>
        <w:tc>
          <w:tcPr>
            <w:tcW w:type="dxa" w:w="2340"/>
          </w:tcPr>
          <w:p>
            <w:r>
              <w:t>Debugging / Experimentation: Mobile blocks outbound fetch; sequential mode + desktop workaround identified</w:t>
            </w:r>
          </w:p>
        </w:tc>
      </w:tr>
      <w:tr>
        <w:tc>
          <w:tcPr>
            <w:tcW w:type="dxa" w:w="2340"/>
          </w:tcPr>
          <w:p>
            <w:r>
              <w:t>2026-03-01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AI Route Optimization — Phase 8: 6-</w:t>
            </w:r>
          </w:p>
        </w:tc>
        <w:tc>
          <w:tcPr>
            <w:tcW w:type="dxa" w:w="2340"/>
          </w:tcPr>
          <w:p>
            <w:r>
              <w:t>Can parallel AI subagents process domain-specific CDLS knowledge faster than sequential processing?</w:t>
            </w:r>
          </w:p>
        </w:tc>
        <w:tc>
          <w:tcPr>
            <w:tcW w:type="dxa" w:w="2340"/>
          </w:tcPr>
          <w:p>
            <w:r>
              <w:t>System Architecture: Parallel 6-agent architecture designed; 5× speed improvement over sequential projected</w:t>
            </w:r>
          </w:p>
        </w:tc>
      </w:tr>
      <w:tr>
        <w:tc>
          <w:tcPr>
            <w:tcW w:type="dxa" w:w="2340"/>
          </w:tcPr>
          <w:p>
            <w:r>
              <w:t>2026-02-01</w:t>
            </w:r>
          </w:p>
        </w:tc>
        <w:tc>
          <w:tcPr>
            <w:tcW w:type="dxa" w:w="2340"/>
          </w:tcPr>
          <w:p>
            <w:r>
              <w:rPr>
                <w:b/>
              </w:rPr>
              <w:t xml:space="preserve">Fleet Management Dashboard — Phase </w:t>
            </w:r>
          </w:p>
        </w:tc>
        <w:tc>
          <w:tcPr>
            <w:tcW w:type="dxa" w:w="2340"/>
          </w:tcPr>
          <w:p>
            <w:r>
              <w:t>What technical interconnection standard does SMUD require and what is the critical path?</w:t>
            </w:r>
          </w:p>
        </w:tc>
        <w:tc>
          <w:tcPr>
            <w:tcW w:type="dxa" w:w="2340"/>
          </w:tcPr>
          <w:p>
            <w:r>
              <w:t>Regulatory Research: SMUD determination gates launch date; cannot be compressed with capital</w:t>
            </w:r>
          </w:p>
        </w:tc>
      </w:tr>
      <w:tr>
        <w:tc>
          <w:tcPr>
            <w:tcW w:type="dxa" w:w="2340"/>
          </w:tcPr>
          <w:p>
            <w:r>
              <w:t>2026-01-12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Carbon Credit Automation — Phase 7:</w:t>
            </w:r>
          </w:p>
        </w:tc>
        <w:tc>
          <w:tcPr>
            <w:tcW w:type="dxa" w:w="2340"/>
          </w:tcPr>
          <w:p>
            <w:r>
              <w:t>Can automated per-haul carbon accounting match manual Verra VCS calculation within 2%?</w:t>
            </w:r>
          </w:p>
        </w:tc>
        <w:tc>
          <w:tcPr>
            <w:tcW w:type="dxa" w:w="2340"/>
          </w:tcPr>
          <w:p>
            <w:r>
              <w:t>Algorithm Development: Automated calc within 1.4% of manual; 347 credits/haul average (pilot sample n=40)</w:t>
            </w:r>
          </w:p>
        </w:tc>
      </w:tr>
      <w:tr>
        <w:tc>
          <w:tcPr>
            <w:tcW w:type="dxa" w:w="2340"/>
          </w:tcPr>
          <w:p>
            <w:r>
              <w:t>2025-11-05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Dealer Dashboard — Phase 6: 48-Hour</w:t>
            </w:r>
          </w:p>
        </w:tc>
        <w:tc>
          <w:tcPr>
            <w:tcW w:type="dxa" w:w="2340"/>
          </w:tcPr>
          <w:p>
            <w:r>
              <w:t>Does 48-hr onboarding pipeline achieve ≥95% accuracy across dealer tiers A/B/C?</w:t>
            </w:r>
          </w:p>
        </w:tc>
        <w:tc>
          <w:tcPr>
            <w:tcW w:type="dxa" w:w="2340"/>
          </w:tcPr>
          <w:p>
            <w:r>
              <w:t>User Acceptance Testing: 95.4% accuracy across all 3 dealer tiers; 2 edge cases flagged for Tier C (small dealers)</w:t>
            </w:r>
          </w:p>
        </w:tc>
      </w:tr>
      <w:tr>
        <w:tc>
          <w:tcPr>
            <w:tcW w:type="dxa" w:w="2340"/>
          </w:tcPr>
          <w:p>
            <w:r>
              <w:t>2025-10-10</w:t>
            </w:r>
          </w:p>
        </w:tc>
        <w:tc>
          <w:tcPr>
            <w:tcW w:type="dxa" w:w="2340"/>
          </w:tcPr>
          <w:p>
            <w:r>
              <w:rPr>
                <w:b/>
              </w:rPr>
              <w:t xml:space="preserve">Dealer Dashboard — Phase 6: Dealer </w:t>
            </w:r>
          </w:p>
        </w:tc>
        <w:tc>
          <w:tcPr>
            <w:tcW w:type="dxa" w:w="2340"/>
          </w:tcPr>
          <w:p>
            <w:r>
              <w:t>Can AI agent automate HVIP application filing with &lt;5% error rate vs manual process?</w:t>
            </w:r>
          </w:p>
        </w:tc>
        <w:tc>
          <w:tcPr>
            <w:tcW w:type="dxa" w:w="2340"/>
          </w:tcPr>
          <w:p>
            <w:r>
              <w:t>Feature Development: HVIP auto-filing: 96.8% accuracy, average 2.3 hrs vs 6 hrs manual</w:t>
            </w:r>
          </w:p>
        </w:tc>
      </w:tr>
      <w:tr>
        <w:tc>
          <w:tcPr>
            <w:tcW w:type="dxa" w:w="2340"/>
          </w:tcPr>
          <w:p>
            <w:r>
              <w:t>2025-09-01</w:t>
            </w:r>
          </w:p>
        </w:tc>
        <w:tc>
          <w:tcPr>
            <w:tcW w:type="dxa" w:w="2340"/>
          </w:tcPr>
          <w:p>
            <w:r>
              <w:rPr>
                <w:b/>
              </w:rPr>
              <w:t xml:space="preserve">Fleet Management Dashboard — Phase </w:t>
            </w:r>
          </w:p>
        </w:tc>
        <w:tc>
          <w:tcPr>
            <w:tcW w:type="dxa" w:w="2340"/>
          </w:tcPr>
          <w:p>
            <w:r>
              <w:t>Does the full V2G pipeline function without manual intervention from CAISO signal to token issuance?</w:t>
            </w:r>
          </w:p>
        </w:tc>
        <w:tc>
          <w:tcPr>
            <w:tcW w:type="dxa" w:w="2340"/>
          </w:tcPr>
          <w:p>
            <w:r>
              <w:t>Integration Testing: Pipeline functional; average 4.2 min from CAISO signal to $CARBON mint</w:t>
            </w:r>
          </w:p>
        </w:tc>
      </w:tr>
      <w:tr>
        <w:tc>
          <w:tcPr>
            <w:tcW w:type="dxa" w:w="2340"/>
          </w:tcPr>
          <w:p>
            <w:r>
              <w:t>2025-08-15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CARB Automation — Phase 5: LCFS Cre</w:t>
            </w:r>
          </w:p>
        </w:tc>
        <w:tc>
          <w:tcPr>
            <w:tcW w:type="dxa" w:w="2340"/>
          </w:tcPr>
          <w:p>
            <w:r>
              <w:t>Which methodology maximizes defensible LCFS credit value per haul for Tesla Semi profile?</w:t>
            </w:r>
          </w:p>
        </w:tc>
        <w:tc>
          <w:tcPr>
            <w:tcW w:type="dxa" w:w="2340"/>
          </w:tcPr>
          <w:p>
            <w:r>
              <w:t>Regulatory Research: Verra VCS selected; $8,000–$22,000/truck/yr range confirmed via methodology</w:t>
            </w:r>
          </w:p>
        </w:tc>
      </w:tr>
      <w:tr>
        <w:tc>
          <w:tcPr>
            <w:tcW w:type="dxa" w:w="2340"/>
          </w:tcPr>
          <w:p>
            <w:r>
              <w:t>2025-07-08</w:t>
            </w:r>
          </w:p>
        </w:tc>
        <w:tc>
          <w:tcPr>
            <w:tcW w:type="dxa" w:w="2340"/>
          </w:tcPr>
          <w:p>
            <w:r>
              <w:rPr>
                <w:b/>
              </w:rPr>
              <w:t xml:space="preserve">Fleet Management Dashboard — Phase </w:t>
            </w:r>
          </w:p>
        </w:tc>
        <w:tc>
          <w:tcPr>
            <w:tcW w:type="dxa" w:w="2340"/>
          </w:tcPr>
          <w:p>
            <w:r>
              <w:t>Can forex arbitrage methodology (MCMC + regression) predict CAISO peak pricing with &gt;80% accuracy?</w:t>
            </w:r>
          </w:p>
        </w:tc>
        <w:tc>
          <w:tcPr>
            <w:tcW w:type="dxa" w:w="2340"/>
          </w:tcPr>
          <w:p>
            <w:r>
              <w:t>Algorithm Development: 82.3% price prediction accuracy; V2G dispatch optimization improves revenue estimate by $6,200/tr...</w:t>
            </w:r>
          </w:p>
        </w:tc>
      </w:tr>
      <w:tr>
        <w:tc>
          <w:tcPr>
            <w:tcW w:type="dxa" w:w="2340"/>
          </w:tcPr>
          <w:p>
            <w:r>
              <w:t>2025-06-01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Carbon Credit Automation — Phase 4:</w:t>
            </w:r>
          </w:p>
        </w:tc>
        <w:tc>
          <w:tcPr>
            <w:tcW w:type="dxa" w:w="2340"/>
          </w:tcPr>
          <w:p>
            <w:r>
              <w:t>Do contracts meet security standards for production deployment with real LP capital?</w:t>
            </w:r>
          </w:p>
        </w:tc>
        <w:tc>
          <w:tcPr>
            <w:tcW w:type="dxa" w:w="2340"/>
          </w:tcPr>
          <w:p>
            <w:r>
              <w:t>Security Testing: 2 medium-severity issues resolved; gas reduced 34% via struct packing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