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4"/>
        </w:rPr>
        <w:t>EXECUTIVE RESEARCH &amp; KNOWLEDGE TRANSLATION SUMMARY</w:t>
      </w:r>
    </w:p>
    <w:p>
      <w:r>
        <w:rPr>
          <w:color w:val="64748B"/>
          <w:sz w:val="20"/>
        </w:rPr>
        <w:t>CDLS Platform · Macro Strategic Overview vs. Micro Implementation Mechanics · 35 U.S.C. § 112 &amp; IRC § 41</w:t>
      </w:r>
    </w:p>
    <w:p>
      <w:r>
        <w:t>This executive summary bridges the platform's backend technical experimentation with actionable product architecture and regulatory frameworks. It translates engineering findings across four patent clusters into clear macro-level system overviews and concrete micro-level implementation mechanics.</w:t>
      </w:r>
    </w:p>
    <w:p>
      <w:pPr>
        <w:pStyle w:val="Heading1"/>
      </w:pPr>
      <w:r>
        <w:t>1. Strategic Architecture Overview</w:t>
      </w:r>
    </w:p>
    <w:p>
      <w:r>
        <w:t>• Cluster 1: Electro-Mechanical Fleet Systems — Quick-disconnect magnetic charging interfaces (USPTO #63/734829), 360 kWh mobile battery trailers, and IEEE 15118-20 V2G grid balancing.</w:t>
        <w:br/>
        <w:t>• Cluster 2: Cryptographic Integrity Engine (JUDAS AI) — Multi-angle optical transfer gantries, edge defect computer vision (YOLO/ResNet), dual-hash SHA-256 state commitments, and zk-SNARK non-repudiation ledgers.</w:t>
        <w:br/>
        <w:t>• Cluster 3: Adaptive Route &amp; Fleet Intelligence (CARI / CESAR) — Three-layer stochastic route optimization stack combining LASSO historical denoising, 10,000-iteration MCMC Metropolis-Hastings sampling, and APLRE human stabilization.</w:t>
        <w:br/>
        <w:t>• Cluster 4: Regulatory Compliance &amp; Data Security — Automated CARB Clean Truck Check (13 CCR §§ 2195–2199) API handshakes, AES-256-GCM AAD-bound tenant isolation, and Verra VCS carbon accounting.</w:t>
      </w:r>
    </w:p>
    <w:p>
      <w:pPr>
        <w:pStyle w:val="Heading1"/>
      </w:pPr>
      <w:r>
        <w:t>2. Granular Cluster Breakdown: Macro Systems vs. Micro Mechanics</w:t>
      </w:r>
    </w:p>
    <w:p>
      <w:pPr>
        <w:pStyle w:val="Heading2"/>
      </w:pPr>
      <w:r>
        <w:t>Cluster 1: Electro-Mechanical &amp; Grid-Tied Fleet Systems</w:t>
      </w:r>
    </w:p>
    <w:p>
      <w:r>
        <w:t>• Macro System Overview: Fleet operators face physical fatigue and terminal downtime from handling heavy high-amperage charging cables, while utilities struggle with peak distribution constraints. The platform pairs a quick-disconnect magnetic coupling array with a mobile 360 kWh battery storage pod to absorb local demand spikes and participate in utility demand-response markets.</w:t>
        <w:br/>
        <w:t>• Micro Implementation Mechanics:</w:t>
        <w:br/>
        <w:t xml:space="preserve">  - Coupler Retention vs. Separation: Calibrated N52 neodymium permanent magnets deliver continuous mechanical retention during vehicle vibration, paired with a mechanical cam/lever linkage enabling operator disconnect under 25 lb of manual pull force.</w:t>
        <w:br/>
        <w:t xml:space="preserve">  - High-Voltage Optical Interlock: An optical emitter/detector loop monitors the physical interface. If coupling tension drops or separation begins, the circuit triggers a contactor trip in under 10 ms to de-energize the DC conductors before physical separation occurs.</w:t>
        <w:br/>
        <w:t xml:space="preserve">  - Grid Protocol Stack: The mobile storage trailer communicates via ISO 15118-20 (AC/DC Distributed Energy Resource Services) and UL 9741, allowing the battery management system (BMS) to automate peak-shaving dispatch against utility signals.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Architectural Layer</w:t>
            </w:r>
          </w:p>
        </w:tc>
        <w:tc>
          <w:tcPr>
            <w:tcW w:type="dxa" w:w="3120"/>
          </w:tcPr>
          <w:p>
            <w:r>
              <w:t>Target Specification</w:t>
            </w:r>
          </w:p>
        </w:tc>
        <w:tc>
          <w:tcPr>
            <w:tcW w:type="dxa" w:w="3120"/>
          </w:tcPr>
          <w:p>
            <w:r>
              <w:t>Statutory &amp; Industry Benchmark</w:t>
            </w:r>
          </w:p>
        </w:tc>
      </w:tr>
      <w:tr>
        <w:tc>
          <w:tcPr>
            <w:tcW w:type="dxa" w:w="3120"/>
          </w:tcPr>
          <w:p>
            <w:r>
              <w:t>Physical Coupling</w:t>
            </w:r>
          </w:p>
        </w:tc>
        <w:tc>
          <w:tcPr>
            <w:tcW w:type="dxa" w:w="3120"/>
          </w:tcPr>
          <w:p>
            <w:r>
              <w:t>N52 NdFeB magnetic array; &lt;25 lb manual release</w:t>
            </w:r>
          </w:p>
        </w:tc>
        <w:tc>
          <w:tcPr>
            <w:tcW w:type="dxa" w:w="3120"/>
          </w:tcPr>
          <w:p>
            <w:r>
              <w:t>USPTO Provisional #63/734829</w:t>
            </w:r>
          </w:p>
        </w:tc>
      </w:tr>
      <w:tr>
        <w:tc>
          <w:tcPr>
            <w:tcW w:type="dxa" w:w="3120"/>
          </w:tcPr>
          <w:p>
            <w:r>
              <w:t>Safety Interlock</w:t>
            </w:r>
          </w:p>
        </w:tc>
        <w:tc>
          <w:tcPr>
            <w:tcW w:type="dxa" w:w="3120"/>
          </w:tcPr>
          <w:p>
            <w:r>
              <w:t>Optical circuit; &lt;10 ms de-energization loop</w:t>
            </w:r>
          </w:p>
        </w:tc>
        <w:tc>
          <w:tcPr>
            <w:tcW w:type="dxa" w:w="3120"/>
          </w:tcPr>
          <w:p>
            <w:r>
              <w:t>37 CFR § 1.84 Drawing Sheet / UL 9741</w:t>
            </w:r>
          </w:p>
        </w:tc>
      </w:tr>
      <w:tr>
        <w:tc>
          <w:tcPr>
            <w:tcW w:type="dxa" w:w="3120"/>
          </w:tcPr>
          <w:p>
            <w:r>
              <w:t>Trailer Storage</w:t>
            </w:r>
          </w:p>
        </w:tc>
        <w:tc>
          <w:tcPr>
            <w:tcW w:type="dxa" w:w="3120"/>
          </w:tcPr>
          <w:p>
            <w:r>
              <w:t>360 kWh LFP pack (120 parallel strings)</w:t>
            </w:r>
          </w:p>
        </w:tc>
        <w:tc>
          <w:tcPr>
            <w:tcW w:type="dxa" w:w="3120"/>
          </w:tcPr>
          <w:p>
            <w:r>
              <w:t>DOT Motor Carrier Safety Standards</w:t>
            </w:r>
          </w:p>
        </w:tc>
      </w:tr>
      <w:tr>
        <w:tc>
          <w:tcPr>
            <w:tcW w:type="dxa" w:w="3120"/>
          </w:tcPr>
          <w:p>
            <w:r>
              <w:t>Grid Communication</w:t>
            </w:r>
          </w:p>
        </w:tc>
        <w:tc>
          <w:tcPr>
            <w:tcW w:type="dxa" w:w="3120"/>
          </w:tcPr>
          <w:p>
            <w:r>
              <w:t>Bidirectional PLC / 10BASE-T1S Ethernet</w:t>
            </w:r>
          </w:p>
        </w:tc>
        <w:tc>
          <w:tcPr>
            <w:tcW w:type="dxa" w:w="3120"/>
          </w:tcPr>
          <w:p>
            <w:r>
              <w:t>ISO 15118-20 / IEEE 1547-2018</w:t>
            </w:r>
          </w:p>
        </w:tc>
      </w:tr>
    </w:tbl>
    <w:p>
      <w:pPr>
        <w:pStyle w:val="Heading2"/>
      </w:pPr>
      <w:r>
        <w:t>Cluster 2: Cryptographic Audit &amp; Integrity Engine (JUDAS AI)</w:t>
      </w:r>
    </w:p>
    <w:p>
      <w:r>
        <w:t>• Macro System Overview: Vehicle condition transfers between carriers, repair shops, and fleet depots traditionally rely on manual paper manifests that are prone to fraud and disputes. JUDAS AI creates a tamper-evident audit portal that verifies surface defects and authenticates condition reports without exposing private corporate fleet imagery.</w:t>
        <w:br/>
        <w:t>• Micro Implementation Mechanics:</w:t>
        <w:br/>
        <w:t xml:space="preserve">  - Boundary Capture: Calibrated optical gantries record vehicle panels across standardized lighting angles during entry and exit.</w:t>
        <w:br/>
        <w:t xml:space="preserve">  - Edge Defect Detection: Computer vision models (YOLO v8 / ResNet-50) infer surface defects, classifying scrapes, dents, and frame damage into localized bounding boxes with associated confidence scores.</w:t>
        <w:br/>
        <w:t xml:space="preserve">  - Dual-Hash Cryptographic Ledger: Raw pixel arrays produce a root SHA-256 state hash stored in an append-only ledger. To maintain carrier confidentiality, a zk-SNARK prover generates a Pedersen vector commitment proving the inspection occurred within specified defect parameters without publishing raw photos to outside parties.</w:t>
      </w:r>
    </w:p>
    <w:p>
      <w:pPr>
        <w:pStyle w:val="Heading2"/>
      </w:pPr>
      <w:r>
        <w:t>Cluster 3: Adaptive Route &amp; Fleet Intelligence (CARI / CESAR)</w:t>
      </w:r>
    </w:p>
    <w:p>
      <w:r>
        <w:t>• Macro System Overview: Standard commercial navigation software optimizes purely for distance or road congestion, failing to account for real-time electricity tariff volatility, ambient temperature battery derating, and mandatory driver rest schedules. The CARI three-layer stack optimizes Class 8 electric freight routes around dynamic operating costs rather than simple mileage.</w:t>
        <w:br/>
        <w:t>• Micro Implementation Mechanics:</w:t>
        <w:br/>
        <w:t xml:space="preserve">  - Layer 1 (Regression Denoising): A regularized LASSO/OLS regression model normalizes 10 years of historical freight, fuel, and tariff noise to establish baseline cost distributions.</w:t>
        <w:br/>
        <w:t xml:space="preserve">  - Layer 2 (Stochastic Sampling): A Markov Chain Monte Carlo (MCMC) sampler executes 10,000 Metropolis-Hastings iterations, evaluating route candidates against live CAISO Day-Ahead and spot marginal electricity tariffs.</w:t>
        <w:br/>
        <w:t xml:space="preserve">  - Layer 3 (Behavioral Stabilization): The Adaptive Predictive Lead-Route Engine (APLRE) filters candidate routes through deterministic hash assignments and hard Federal Hours-of-Service (49 CFR Part 395) rest rules, preventing route switching that causes dispatcher confusion.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Three-Layer Stack</w:t>
            </w:r>
          </w:p>
        </w:tc>
        <w:tc>
          <w:tcPr>
            <w:tcW w:type="dxa" w:w="3120"/>
          </w:tcPr>
          <w:p>
            <w:r>
              <w:t>Computational Engine</w:t>
            </w:r>
          </w:p>
        </w:tc>
        <w:tc>
          <w:tcPr>
            <w:tcW w:type="dxa" w:w="3120"/>
          </w:tcPr>
          <w:p>
            <w:r>
              <w:t>Key Constraints Evaluated</w:t>
            </w:r>
          </w:p>
        </w:tc>
      </w:tr>
      <w:tr>
        <w:tc>
          <w:tcPr>
            <w:tcW w:type="dxa" w:w="3120"/>
          </w:tcPr>
          <w:p>
            <w:r>
              <w:t>Layer 1: Denoising</w:t>
            </w:r>
          </w:p>
        </w:tc>
        <w:tc>
          <w:tcPr>
            <w:tcW w:type="dxa" w:w="3120"/>
          </w:tcPr>
          <w:p>
            <w:r>
              <w:t>LASSO regularized regression</w:t>
            </w:r>
          </w:p>
        </w:tc>
        <w:tc>
          <w:tcPr>
            <w:tcW w:type="dxa" w:w="3120"/>
          </w:tcPr>
          <w:p>
            <w:r>
              <w:t>10-year macroeconomic freight and fuel noise</w:t>
            </w:r>
          </w:p>
        </w:tc>
      </w:tr>
      <w:tr>
        <w:tc>
          <w:tcPr>
            <w:tcW w:type="dxa" w:w="3120"/>
          </w:tcPr>
          <w:p>
            <w:r>
              <w:t>Layer 2: Stochastic</w:t>
            </w:r>
          </w:p>
        </w:tc>
        <w:tc>
          <w:tcPr>
            <w:tcW w:type="dxa" w:w="3120"/>
          </w:tcPr>
          <w:p>
            <w:r>
              <w:t>MCMC Metropolis-Hastings (10,000 runs)</w:t>
            </w:r>
          </w:p>
        </w:tc>
        <w:tc>
          <w:tcPr>
            <w:tcW w:type="dxa" w:w="3120"/>
          </w:tcPr>
          <w:p>
            <w:r>
              <w:t>Real-time CAISO Locational Marginal Pricing (LMP)</w:t>
            </w:r>
          </w:p>
        </w:tc>
      </w:tr>
      <w:tr>
        <w:tc>
          <w:tcPr>
            <w:tcW w:type="dxa" w:w="3120"/>
          </w:tcPr>
          <w:p>
            <w:r>
              <w:t>Layer 3: Stabilization</w:t>
            </w:r>
          </w:p>
        </w:tc>
        <w:tc>
          <w:tcPr>
            <w:tcW w:type="dxa" w:w="3120"/>
          </w:tcPr>
          <w:p>
            <w:r>
              <w:t>APLRE deterministic hash assignment</w:t>
            </w:r>
          </w:p>
        </w:tc>
        <w:tc>
          <w:tcPr>
            <w:tcW w:type="dxa" w:w="3120"/>
          </w:tcPr>
          <w:p>
            <w:r>
              <w:t>FMCSA 49 CFR Part 395 Hours-of-Service (HOS)</w:t>
            </w:r>
          </w:p>
        </w:tc>
      </w:tr>
    </w:tbl>
    <w:p>
      <w:pPr>
        <w:pStyle w:val="Heading2"/>
      </w:pPr>
      <w:r>
        <w:t>Cluster 4: Regulatory Compliance, Carbon Accounting &amp; Data Security</w:t>
      </w:r>
    </w:p>
    <w:p>
      <w:r>
        <w:t>• Macro System Overview: Fleet managers spend significant administrative overhead navigating evolving emissions programs and financial incentive workflows. This architecture automates statutory compliance filings, isolates dealer tenant data, and tokenizes verified carbon offsets.</w:t>
        <w:br/>
        <w:t>• Micro Implementation Mechanics:</w:t>
        <w:br/>
        <w:t xml:space="preserve">  - CARB Clean Truck Check (HD I/M): The engine links directly to state endpoints, querying Vehicle Identification Numbers (VINs) against 13 CCR §§ 2195–2199 to log and submit periodic OBD testing and opacity verification receipts.</w:t>
        <w:br/>
        <w:t xml:space="preserve">  - Tenant Isolation (AEAD): Multi-dealer database records are encrypted with AES-256-GCM using isolated Data Encryption Keys (DEKs) bound with Authenticated Additional Data (AAD), preventing cross-tenant leakage in multi-dealer setups.</w:t>
        <w:br/>
        <w:t xml:space="preserve">  - Automated Incentive Engines: Ingestion agents assemble California Hybrid and Zero-Emission Truck and Bus Voucher Incentive Project (HVIP) applications and apply Verra VCS methodology to calculate per-haul carbon offsets within 1.4% of manual accounting.</w:t>
      </w:r>
    </w:p>
    <w:p>
      <w:pPr>
        <w:pStyle w:val="Heading1"/>
      </w:pPr>
      <w:r>
        <w:t>3. Contemporaneous R&amp;D Substantiation (IRC § 41)</w:t>
      </w:r>
    </w:p>
    <w:p>
      <w:r>
        <w:t>To support statutory patent enablement (35 U.S.C. § 112) and R&amp;D tax eligibility (26 U.S.C. § 41), every architectural design decision is mapped to contemporaneously recorded experimental activities:</w:t>
        <w:br/>
        <w:t>• Permitted Purpose (26 CFR § 1.41-4(a)(2)): Inventions improve operational performance, functional reliability, or cost efficiency of core fleet processes.</w:t>
        <w:br/>
        <w:t>• Technological in Nature (26 CFR § 1.41-4(a)(3)): Discoveries fundamentally rely on mechanical engineering, computer science, and applied cryptography.</w:t>
        <w:br/>
        <w:t>• Elimination of Technical Uncertainty (26 CFR § 1.41-4(a)(4)): Addressed acute uncertainties including magnetic coupling road-retention vs. manual breakaway limits, and MCMC convergence under live CAISO price volatility.</w:t>
        <w:br/>
        <w:t>• Process of Experimentation (26 CFR § 1.41-4(a)(5)): Alternatives evaluated through 10,000-run Monte Carlo simulations, CAD stress tests, and A/B controlled cohort pilots.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