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5F"/>
          <w:sz w:val="40"/>
          <w:szCs w:val="40"/>
        </w:rPr>
        <w:t xml:space="preserve">CDLS Platform Addendum</w:t>
      </w:r>
    </w:p>
    <w:p>
      <w:pPr>
        <w:spacing w:after="60"/>
      </w:pPr>
      <w:r>
        <w:rPr>
          <w:i/>
          <w:iCs/>
          <w:color w:val="555555"/>
          <w:sz w:val="26"/>
          <w:szCs w:val="26"/>
        </w:rPr>
        <w:t xml:space="preserve">Deadhead-Mile Calibration Layer for the Adaptive Route Optimization Engine</w:t>
      </w:r>
    </w:p>
    <w:p>
      <w:pPr>
        <w:pBdr>
          <w:bottom w:val="single" w:color="1F4E5F" w:sz="6" w:space="4"/>
        </w:pBdr>
        <w:spacing w:after="300"/>
      </w:pPr>
      <w:r>
        <w:rPr>
          <w:color w:val="777777"/>
          <w:sz w:val="18"/>
          <w:szCs w:val="18"/>
        </w:rPr>
        <w:t xml:space="preserve">Source: Martin, Shaheen &amp; Wolfe (2024), Sustainability 16(17):7454 — TNC ride-hailing VMT/GHG study (SF, LA, Washington D.C.)</w:t>
      </w:r>
    </w:p>
    <w:p>
      <w:pPr>
        <w:pStyle w:val="Heading1"/>
      </w:pPr>
      <w:r>
        <w:t xml:space="preserve">Purpose</w:t>
      </w:r>
    </w:p>
    <w:p>
      <w:r>
        <w:t xml:space="preserve">This addendum extends the six-layer CDLS route-optimization architecture with a deadhead-mile calibration layer, grounded in published TNC industry benchmarks. The goal is to ensure the model's empty-leg (repositioning) assumptions are realistic, sensitivity-tested, and verifiable against industry data rather than internally assumed.</w:t>
      </w:r>
    </w:p>
    <w:p>
      <w:pPr>
        <w:pStyle w:val="Heading1"/>
      </w:pPr>
      <w:r>
        <w:t xml:space="preserve">Why It Matters for CDLS</w:t>
      </w:r>
    </w:p>
    <w:p>
      <w:r>
        <w:t xml:space="preserve">CDLS transport trucks accrue empty miles between drop-offs and next pickups, analogous to TNC “open phase” and “fetch phase” deadheading. Without explicit calibration, the route engine risks: (1) overstating fuel/carbon savings by ignoring repositioning costs, and (2) underbuilding EV charging-stop logic for unloaded legs, which still consume energy and time.</w:t>
      </w:r>
    </w:p>
    <w:p>
      <w:pPr>
        <w:pStyle w:val="Heading1"/>
      </w:pPr>
      <w:r>
        <w:t xml:space="preserve">Benchmark Deadhead Figures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840"/>
        <w:gridCol w:w="18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 / Study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Deadhead Estimate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Vehicle 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SF County Transportation Authority (SFCTA)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TNC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SFCTA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Taxi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California Public Utilities Commission (CPUC), statewide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~40%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TNC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11-month CA TNC emissions dataset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30% of CO₂ emissions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TNC (Uber)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Systematic literature review (multi-study)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28%–59%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TNC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Henao (Denver field study, driver-conducted)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~40% (61% with passenger)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TNC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Six-Layer Architecture: Integration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Addition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Layer 4 — Network / Charging Load Awareness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a deadhead-ratio variable (20–40% baseline range) into MCMC priors. Empty-repositioning EV legs still require charging-stop planning, not just loaded legs.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Layer 6 — A/B Testing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a second validation metric: realized deadhead % reduction, benchmarked against the 20–40% industry range, rather than relying on assumed savings alone.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New — Sensitivity Module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Adopt the source paper's sensitivity-table method: show how net carbon/cost savings flip sign as deadhead % and empty-leg-avoidance rate vary, so stakeholders see a defensible range — not a single optimistic figure.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Sensitivity Insight (Borrowed Methodology)</w:t>
      </w:r>
    </w:p>
    <w:p>
      <w:r>
        <w:t xml:space="preserve">The source study found that small shifts in deadhead/suppression assumptions can flip net outcomes from positive to negative — e.g., a roughly 13% change in one parameter, or an ~80% change in baseline mileage, was enough to reverse the sign of net VMT impact in a given market. CDLS should apply the same logic: publish a sensitivity table (deadhead % × empty-leg-avoidance %) alongside any headline savings estimate.</w:t>
      </w:r>
    </w:p>
    <w:p>
      <w:pPr>
        <w:pStyle w:val="Heading1"/>
      </w:pPr>
      <w:r>
        <w:t xml:space="preserve">Recommended Next Step</w:t>
      </w:r>
    </w:p>
    <w:p>
      <w:pPr>
        <w:pStyle w:val="ListParagraph"/>
        <w:numPr>
          <w:ilvl w:val="0"/>
          <w:numId w:val="2"/>
        </w:numPr>
      </w:pPr>
      <w:r>
        <w:t xml:space="preserve">Instrument current truck telemetry to measure actual loaded vs. unloaded miles per route (establish CDLS-specific deadhead baseline).</w:t>
      </w:r>
    </w:p>
    <w:p>
      <w:pPr>
        <w:pStyle w:val="ListParagraph"/>
        <w:numPr>
          <w:ilvl w:val="0"/>
          <w:numId w:val="2"/>
        </w:numPr>
      </w:pPr>
      <w:r>
        <w:t xml:space="preserve">Feed that baseline into the MCMC stabilization layer as an informed prior, replacing the generic 20–40% range once enough data exists.</w:t>
      </w:r>
    </w:p>
    <w:p>
      <w:pPr>
        <w:pStyle w:val="ListParagraph"/>
        <w:numPr>
          <w:ilvl w:val="0"/>
          <w:numId w:val="2"/>
        </w:numPr>
      </w:pPr>
      <w:r>
        <w:t xml:space="preserve">Publish the sensitivity table as part of investor materials (CalPERS-style) to pre-empt due-diligence questions about savings assumptions.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2026-06-25T02:29:11.235Z</dcterms:created>
  <dcterms:modified xsi:type="dcterms:W3CDTF">2026-06-25T02:29:11.235Z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