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240"/>
        <w:jc w:val="center"/>
      </w:pPr>
      <w:r>
        <w:rPr>
          <w:b/>
          <w:bCs/>
          <w:sz w:val="48"/>
          <w:szCs w:val="48"/>
        </w:rPr>
        <w:t xml:space="preserve">CDLS CARBON CREDIT</w:t>
      </w:r>
    </w:p>
    <w:p>
      <w:pPr>
        <w:spacing w:after="1200"/>
        <w:jc w:val="center"/>
      </w:pPr>
      <w:r>
        <w:rPr>
          <w:b/>
          <w:bCs/>
          <w:sz w:val="48"/>
          <w:szCs w:val="48"/>
        </w:rPr>
        <w:t xml:space="preserve">TOKENOMICS WHITEPAPER</w:t>
      </w:r>
    </w:p>
    <w:p>
      <w:pPr>
        <w:spacing w:after="480"/>
        <w:jc w:val="center"/>
      </w:pPr>
      <w:r>
        <w:rPr>
          <w:sz w:val="28"/>
          <w:szCs w:val="28"/>
        </w:rPr>
        <w:t xml:space="preserve">Institutional-Grade Digital Asset Framework</w:t>
      </w:r>
    </w:p>
    <w:p>
      <w:pPr>
        <w:spacing w:after="240"/>
        <w:jc w:val="center"/>
      </w:pPr>
      <w:r>
        <w:rPr>
          <w:sz w:val="24"/>
          <w:szCs w:val="24"/>
        </w:rPr>
        <w:t xml:space="preserve">California Dealer Logistics Solutions</w:t>
      </w:r>
    </w:p>
    <w:p>
      <w:pPr>
        <w:spacing w:after="1200"/>
        <w:jc w:val="center"/>
      </w:pPr>
      <w:r>
        <w:rPr>
          <w:sz w:val="22"/>
          <w:szCs w:val="22"/>
        </w:rPr>
        <w:t xml:space="preserve">Version 1.0 | January 2026</w:t>
      </w:r>
    </w:p>
    <w:p>
      <w:r>
        <w:br w:type="page"/>
      </w:r>
    </w:p>
    <w:p>
      <w:pPr>
        <w:pStyle w:val="Heading1"/>
      </w:pPr>
      <w:r>
        <w:t xml:space="preserve">Executive Summary</w:t>
      </w:r>
    </w:p>
    <w:p>
      <w:r>
        <w:t xml:space="preserve">California Dealer Logistics Solutions (CDLS) introduces a revolutionary tokenomics model that transforms zero-emission vehicle transportation compliance into a tradable digital asset ecosystem. This framework creates immediate value for independent car haulers while generating institutional-grade returns through carbon credit monetization.</w:t>
      </w:r>
    </w:p>
    <w:p>
      <w:r>
        <w:t xml:space="preserve">The CDLS Token (CDLS) serves as the native utility and governance token within an ecosystem designed to achieve California's Advanced Clean Fleets regulation compliance while generating measurable environmental impact. With projected IRR of 18-24% for institutional investors, this model represents the intersection of regulatory compliance, environmental sustainability, and blockchain innovation.</w:t>
      </w:r>
    </w:p>
    <w:p>
      <w:pPr>
        <w:pStyle w:val="Heading2"/>
      </w:pPr>
      <w:r>
        <w:t xml:space="preserve">Key Investment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Projected IRR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Token Supply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1,000,000,000 CDLS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Token Price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 USD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Market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$8.5B California ZEV Transport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Carbon Credit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$85-$200 per tCO2e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Vesting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 months (linear)</w:t>
            </w:r>
          </w:p>
        </w:tc>
      </w:tr>
    </w:tbl>
    <w:p>
      <w:r>
        <w:br w:type="page"/>
      </w:r>
    </w:p>
    <w:p>
      <w:pPr>
        <w:pStyle w:val="Heading1"/>
      </w:pPr>
      <w:r>
        <w:t xml:space="preserve">I. Token Economics Model</w:t>
      </w:r>
    </w:p>
    <w:p>
      <w:pPr>
        <w:pStyle w:val="Heading2"/>
      </w:pPr>
      <w:r>
        <w:t xml:space="preserve">A. Token Distribution</w:t>
      </w:r>
    </w:p>
    <w:p>
      <w:r>
        <w:t xml:space="preserve">The total supply of 1 billion CDLS tokens is allocated strategically to balance ecosystem growth, operational stability, and long-term value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Allocation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Percentage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Tokens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Operator Rewards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350,000,000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Carbon Credit 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Institutional Investors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Treasury &amp; Operations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 &amp;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100,000,000</w:t>
            </w:r>
          </w:p>
        </w:tc>
      </w:tr>
    </w:tbl>
    <w:p>
      <w:pPr>
        <w:pStyle w:val="Heading2"/>
      </w:pPr>
      <w:r>
        <w:t xml:space="preserve">B. Value Accrual Mechanisms</w:t>
      </w:r>
    </w:p>
    <w:p>
      <w:r>
        <w:t xml:space="preserve">CDLS tokens derive value through multiple integrated mechanisms:</w:t>
      </w:r>
    </w:p>
    <w:p>
      <w:pPr>
        <w:spacing w:before="240"/>
      </w:pPr>
      <w:r>
        <w:rPr>
          <w:b/>
          <w:bCs/>
        </w:rPr>
        <w:t xml:space="preserve">1. Carbon Credit Backing</w:t>
      </w:r>
    </w:p>
    <w:p>
      <w:r>
        <w:t xml:space="preserve">Each CDLS token represents fractional ownership in verified carbon credits generated by zero-emission vehicle transportation. As the network scales, the underlying carbon credit value grows proportionally. With California carbon allowances trading at $85-$200 per metric ton CO2e, and each ZEV hauler trip avoiding approximately 45 kg CO2e compared to diesel alternatives, the platform generates measurable environmental value that backs token appreciation.</w:t>
      </w:r>
    </w:p>
    <w:p>
      <w:pPr>
        <w:spacing w:before="240"/>
      </w:pPr>
      <w:r>
        <w:rPr>
          <w:b/>
          <w:bCs/>
        </w:rPr>
        <w:t xml:space="preserve">2. Utility Value</w:t>
      </w:r>
    </w:p>
    <w:p>
      <w:r>
        <w:t xml:space="preserve">CDLS tokens function as the native payment mechanism within the ecosystem. Dealers pay in CDLS for zero-emission transportation services, creating consistent buy pressure. Operators receive CDLS tokens as rewards for verified ZEV trips, incentivizing network participation. This circular utility creates natural supply-demand dynamics that support token value.</w:t>
      </w:r>
    </w:p>
    <w:p>
      <w:pPr>
        <w:spacing w:before="240"/>
      </w:pPr>
      <w:r>
        <w:rPr>
          <w:b/>
          <w:bCs/>
        </w:rPr>
        <w:t xml:space="preserve">3. Governance Rights</w:t>
      </w:r>
    </w:p>
    <w:p>
      <w:r>
        <w:t xml:space="preserve">Token holders gain voting rights on critical platform decisions including carbon credit monetization strategies, network expansion priorities, fee structures, and treasury allocation. This governance utility becomes increasingly valuable as the network grows and manages larger carbon credit portfolios.</w:t>
      </w:r>
    </w:p>
    <w:p>
      <w:r>
        <w:br w:type="page"/>
      </w:r>
    </w:p>
    <w:p>
      <w:pPr>
        <w:pStyle w:val="Heading1"/>
      </w:pPr>
      <w:r>
        <w:t xml:space="preserve">II. Carbon Credit Integration</w:t>
      </w:r>
    </w:p>
    <w:p>
      <w:pPr>
        <w:pStyle w:val="Heading2"/>
      </w:pPr>
      <w:r>
        <w:t xml:space="preserve">A. Verification Framework</w:t>
      </w:r>
    </w:p>
    <w:p>
      <w:r>
        <w:t xml:space="preserve">CDLS employs a multi-layered verification system ensuring carbon credit integrity:</w:t>
      </w:r>
    </w:p>
    <w:p>
      <w:r>
        <w:t xml:space="preserve">The platform integrates with California Air Resources Board (CARB) approved verification protocols through partnerships with established carbon credit registries. Each zero-emission vehicle transport is tracked via telematics, GPS verification, and blockchain timestamping. Third-party validators audit the data quarterly, ensuring compliance with ISO 14064-2 and The Climate Registry standards.</w:t>
      </w:r>
    </w:p>
    <w:p>
      <w:r>
        <w:t xml:space="preserve">Real-time emission avoidance calculations compare actual ZEV trips against baseline diesel transport emissions. The methodology follows EPA SmartWay protocols, calculating avoided CO2e based on vehicle class, distance, payload, and fuel type. Conservative estimates apply 15% discount factors to account for upstream electricity generation emissions and ensure credit quality meets institutional buyer standards.</w:t>
      </w:r>
    </w:p>
    <w:p>
      <w:pPr>
        <w:pStyle w:val="Heading2"/>
      </w:pPr>
      <w:r>
        <w:t xml:space="preserve">B. Monetization Strategy</w:t>
      </w:r>
    </w:p>
    <w:p>
      <w:r>
        <w:t xml:space="preserve">Carbon credits generated through the CDLS network follow a structured monetization approach designed to maximize value while maintaining market stability:</w:t>
      </w:r>
    </w:p>
    <w:p>
      <w:pPr>
        <w:spacing w:before="240"/>
      </w:pPr>
      <w:r>
        <w:rPr>
          <w:b/>
          <w:bCs/>
        </w:rPr>
        <w:t xml:space="preserve">Primary Market Sales</w:t>
      </w:r>
    </w:p>
    <w:p>
      <w:r>
        <w:t xml:space="preserve">Credits are bundled quarterly and sold to corporate buyers seeking California compliance instruments or voluntary offset commitments. Target buyers include automotive manufacturers, dealership groups, logistics companies, and corporations with California operations seeking to meet AB 32 and SB 32 emission reduction mandates.</w:t>
      </w:r>
    </w:p>
    <w:p>
      <w:pPr>
        <w:spacing w:before="240"/>
      </w:pPr>
      <w:r>
        <w:rPr>
          <w:b/>
          <w:bCs/>
        </w:rPr>
        <w:t xml:space="preserve">Secondary Market Trading</w:t>
      </w:r>
    </w:p>
    <w:p>
      <w:r>
        <w:t xml:space="preserve">A portion of credits trades on secondary carbon markets through established exchanges and OTC desks. This provides liquidity while capturing price appreciation as California's cap-and-trade program tightens. The token smart contract automatically allocates 60% of secondary market proceeds to token buybacks, creating deflationary pressure that benefits all holders.</w:t>
      </w:r>
    </w:p>
    <w:p>
      <w:pPr>
        <w:spacing w:before="240"/>
      </w:pPr>
      <w:r>
        <w:rPr>
          <w:b/>
          <w:bCs/>
        </w:rPr>
        <w:t xml:space="preserve">Treasury Reserve</w:t>
      </w:r>
    </w:p>
    <w:p>
      <w:r>
        <w:t xml:space="preserve">25% of generated credits remain in treasury as collateral backing CDLS token value. This reserve grows with network activity, providing increasing fundamental value support. Treasury credits can be deployed for strategic partnerships, ecosystem incentives, or emergency liquidity needs as determined by governance vote.</w:t>
      </w:r>
    </w:p>
    <w:p>
      <w:pPr>
        <w:pStyle w:val="Heading2"/>
      </w:pPr>
      <w:r>
        <w:t xml:space="preserve">C. Revenue Distribution</w:t>
      </w:r>
    </w:p>
    <w:p>
      <w:r>
        <w:t xml:space="preserve">Carbon credit revenues flow through a transparent allocation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Revenue Stream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Allocation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Operator Rewards (Additional)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Operations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Holder Distribution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Growth &amp; Marketing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Reserve Fund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bl>
    <w:p>
      <w:r>
        <w:br w:type="page"/>
      </w:r>
    </w:p>
    <w:p>
      <w:pPr>
        <w:pStyle w:val="Heading1"/>
      </w:pPr>
      <w:r>
        <w:t xml:space="preserve">III. Financial Projections</w:t>
      </w:r>
    </w:p>
    <w:p>
      <w:pPr>
        <w:pStyle w:val="Heading2"/>
      </w:pPr>
      <w:r>
        <w:t xml:space="preserve">A. Growth Trajectory</w:t>
      </w:r>
    </w:p>
    <w:p>
      <w:r>
        <w:t xml:space="preserve">The CDLS network follows a three-phase growth model aligned with California's Advanced Clean Fleets regulation implementation timeline:</w:t>
      </w:r>
    </w:p>
    <w:p>
      <w:pPr>
        <w:spacing w:before="240"/>
      </w:pPr>
      <w:r>
        <w:rPr>
          <w:b/>
          <w:bCs/>
        </w:rPr>
        <w:t xml:space="preserve">Phase 1: Foundation (Months 1-12)</w:t>
      </w:r>
    </w:p>
    <w:p>
      <w:r>
        <w:t xml:space="preserve">Launch with 50 independent operators serving Sacramento and Bay Area markets. Establish verification partnerships with carbon registries. Generate 2,500 metric tons CO2e avoided annually. Achieve $425,000 in carbon credit revenues at conservative $170/ton pricing.</w:t>
      </w:r>
    </w:p>
    <w:p>
      <w:pPr>
        <w:spacing w:before="240"/>
      </w:pPr>
      <w:r>
        <w:rPr>
          <w:b/>
          <w:bCs/>
        </w:rPr>
        <w:t xml:space="preserve">Phase 2: Scale (Months 13-24)</w:t>
      </w:r>
    </w:p>
    <w:p>
      <w:r>
        <w:t xml:space="preserve">Expand to 200 operators across California's major metropolitan areas. Integrate with top 20 dealer groups representing 35% of state new vehicle sales. Generate 12,500 metric tons CO2e avoided annually. Achieve $2.1M in carbon credit revenues. Begin secondary market trading through established exchanges.</w:t>
      </w:r>
    </w:p>
    <w:p>
      <w:pPr>
        <w:spacing w:before="240"/>
      </w:pPr>
      <w:r>
        <w:rPr>
          <w:b/>
          <w:bCs/>
        </w:rPr>
        <w:t xml:space="preserve">Phase 3: Dominance (Months 25-36)</w:t>
      </w:r>
    </w:p>
    <w:p>
      <w:r>
        <w:t xml:space="preserve">Reach 500 operators controlling majority of California ZEV transport market. Generate 35,000 metric tons CO2e avoided annually. Achieve $7M in carbon credit revenues. Establish partnerships with OEM logistics divisions. Expand to Oregon and Washington markets following similar regulatory adoption.</w:t>
      </w:r>
    </w:p>
    <w:p>
      <w:pPr>
        <w:pStyle w:val="Heading2"/>
      </w:pPr>
      <w:r>
        <w:t xml:space="preserve">B. Revenue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 1</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 2</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 3</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Operators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CO2e Avoided (tons)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 Revenue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$425K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$20.9M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Fees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Total Revenue</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$605K</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$2.95M</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$9.8M</w:t>
            </w:r>
          </w:p>
        </w:tc>
        <w:tc>
          <w:tcPr>
            <w:tcW w:type="dxa" w:w="1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rPr>
              <w:t xml:space="preserve">$29.1M</w:t>
            </w:r>
          </w:p>
        </w:tc>
      </w:tr>
    </w:tbl>
    <w:p>
      <w:r>
        <w:br w:type="page"/>
      </w:r>
    </w:p>
    <w:p>
      <w:pPr>
        <w:pStyle w:val="Heading1"/>
      </w:pPr>
      <w:r>
        <w:t xml:space="preserve">IV. Risk Management &amp; Mitigation</w:t>
      </w:r>
    </w:p>
    <w:p>
      <w:pPr>
        <w:pStyle w:val="Heading2"/>
      </w:pPr>
      <w:r>
        <w:t xml:space="preserve">Market Risks</w:t>
      </w:r>
    </w:p>
    <w:p>
      <w:pPr>
        <w:spacing w:before="240"/>
      </w:pPr>
      <w:r>
        <w:rPr>
          <w:b/>
          <w:bCs/>
        </w:rPr>
        <w:t xml:space="preserve">Carbon Credit Price Volatility</w:t>
      </w:r>
    </w:p>
    <w:p>
      <w:r>
        <w:t xml:space="preserve">California carbon prices fluctuate based on auction results, regulatory changes, and market demand. To mitigate, CDLS employs forward sale contracts locking in minimum floor prices for 70% of projected credits. The remaining 30% captures upside in strong markets. Conservative financial models use $170/ton assumptions despite current $200+ spot prices.</w:t>
      </w:r>
    </w:p>
    <w:p>
      <w:pPr>
        <w:spacing w:before="240"/>
      </w:pPr>
      <w:r>
        <w:rPr>
          <w:b/>
          <w:bCs/>
        </w:rPr>
        <w:t xml:space="preserve">Regulatory Change Risk</w:t>
      </w:r>
    </w:p>
    <w:p>
      <w:r>
        <w:t xml:space="preserve">Changes to California's cap-and-trade program or Advanced Clean Fleets rules could impact carbon credit value or compliance requirements. However, California has demonstrated consistent policy support for emission reduction programs across multiple administrations. The state's 2045 carbon neutrality goal ensures long-term regulatory tailwinds. Platform design maintains flexibility to adapt to evolving requirements.</w:t>
      </w:r>
    </w:p>
    <w:p>
      <w:pPr>
        <w:pStyle w:val="Heading2"/>
      </w:pPr>
      <w:r>
        <w:t xml:space="preserve">Operational Risks</w:t>
      </w:r>
    </w:p>
    <w:p>
      <w:pPr>
        <w:spacing w:before="240"/>
      </w:pPr>
      <w:r>
        <w:rPr>
          <w:b/>
          <w:bCs/>
        </w:rPr>
        <w:t xml:space="preserve">Operator Adoption</w:t>
      </w:r>
    </w:p>
    <w:p>
      <w:r>
        <w:t xml:space="preserve">Independent hauler adoption depends on demonstrating clear ROI advantage over traditional operations. CDLS addresses this through guaranteed minimum load volumes, zero upfront costs for platform access, and immediate token rewards providing liquidity advantage. Financial models show 18-25% margin improvement for operators transitioning to the platform.</w:t>
      </w:r>
    </w:p>
    <w:p>
      <w:pPr>
        <w:spacing w:before="240"/>
      </w:pPr>
      <w:r>
        <w:rPr>
          <w:b/>
          <w:bCs/>
        </w:rPr>
        <w:t xml:space="preserve">Technology Risk</w:t>
      </w:r>
    </w:p>
    <w:p>
      <w:r>
        <w:t xml:space="preserve">Smart contract vulnerabilities, blockchain network failures, or verification system compromises could undermine platform integrity. The platform employs defense in depth with multi-signature wallets, smart contract audits by leading blockchain security firms, redundant data verification across multiple oracle sources, and insurance coverage for technical failures.</w:t>
      </w:r>
    </w:p>
    <w:p>
      <w:pPr>
        <w:pStyle w:val="Heading2"/>
      </w:pPr>
      <w:r>
        <w:t xml:space="preserve">Financial Risks</w:t>
      </w:r>
    </w:p>
    <w:p>
      <w:pPr>
        <w:spacing w:before="240"/>
      </w:pPr>
      <w:r>
        <w:rPr>
          <w:b/>
          <w:bCs/>
        </w:rPr>
        <w:t xml:space="preserve">Token Liquidity</w:t>
      </w:r>
    </w:p>
    <w:p>
      <w:r>
        <w:t xml:space="preserve">Limited secondary market liquidity could impair institutional exit strategies. To address this, CDLS establishes partnerships with major cryptocurrency exchanges, implements automated market maker pools with substantial initial liquidity, and creates institutional-grade OTC desks for large transactions. Vesting schedules prevent supply shocks from early holder liquidations.</w:t>
      </w:r>
    </w:p>
    <w:p>
      <w:r>
        <w:br w:type="page"/>
      </w:r>
    </w:p>
    <w:p>
      <w:pPr>
        <w:pStyle w:val="Heading1"/>
      </w:pPr>
      <w:r>
        <w:t xml:space="preserve">V. Regulatory Compliance Framework</w:t>
      </w:r>
    </w:p>
    <w:p>
      <w:pPr>
        <w:pStyle w:val="Heading2"/>
      </w:pPr>
      <w:r>
        <w:t xml:space="preserve">Securities Law Compliance</w:t>
      </w:r>
    </w:p>
    <w:p>
      <w:r>
        <w:t xml:space="preserve">CDLS tokens are structured to emphasize utility and governance functions rather than investment contract characteristics. The platform undergoes Howey Test analysis with securities counsel, implementing features that strengthen utility classification:</w:t>
      </w:r>
    </w:p>
    <w:p>
      <w:r>
        <w:t xml:space="preserve">Tokens provide immediate functional utility for platform access and services. The decentralized governance structure ensures no single party controls token value. Open market participation prevents concentration of control. Marketing materials emphasize platform functionality over investment returns. Geographic restrictions prevent sales to US retail investors pending regulatory clarity.</w:t>
      </w:r>
    </w:p>
    <w:p>
      <w:r>
        <w:t xml:space="preserve">For institutional investors, the platform offers Regulation D private placements with appropriate accredited investor verification, disclosure documents, and compliance procedures. This provides compliant access for qualified purchasers while maintaining flexible regulatory positioning.</w:t>
      </w:r>
    </w:p>
    <w:p>
      <w:pPr>
        <w:pStyle w:val="Heading2"/>
      </w:pPr>
      <w:r>
        <w:t xml:space="preserve">Environmental Compliance</w:t>
      </w:r>
    </w:p>
    <w:p>
      <w:r>
        <w:t xml:space="preserve">Carbon credit generation follows strict protocols ensuring regulatory acceptance and audit resilience. The platform maintains partnerships with CARB-approved verification bodies who audit emission calculations quarterly. All credits conform to California Code of Regulations Title 17, Section 95970 requirements for offset credits.</w:t>
      </w:r>
    </w:p>
    <w:p>
      <w:r>
        <w:t xml:space="preserve">Data collection systems meet ISO 14064-2 standards for greenhouse gas project quantification. Third-party verification reports document additionality, permanence, and conservative quantification approaches. Regular California Air Resources Board filings maintain transparent reporting of all generated credits.</w:t>
      </w:r>
    </w:p>
    <w:p>
      <w:pPr>
        <w:pStyle w:val="Heading2"/>
      </w:pPr>
      <w:r>
        <w:t xml:space="preserve">Anti-Money Laundering &amp; KYC</w:t>
      </w:r>
    </w:p>
    <w:p>
      <w:r>
        <w:t xml:space="preserve">Platform participants undergo identity verification appropriate to their role and transaction volumes. Individual operators complete basic KYC with government-issued identification and address verification. Dealers and corporate participants provide business registration documents, beneficial ownership information, and enhanced due diligence for large transactions.</w:t>
      </w:r>
    </w:p>
    <w:p>
      <w:r>
        <w:t xml:space="preserve">Transaction monitoring systems flag suspicious patterns including rapid token conversions, structured transactions avoiding reporting thresholds, or connections to sanctioned entities. The platform files Currency Transaction Reports and Suspicious Activity Reports as required, maintaining five-year record retention of all verification documentation.</w:t>
      </w:r>
    </w:p>
    <w:p>
      <w:r>
        <w:br w:type="page"/>
      </w:r>
    </w:p>
    <w:p>
      <w:pPr>
        <w:pStyle w:val="Heading1"/>
      </w:pPr>
      <w:r>
        <w:t xml:space="preserve">VI. Investment Thesis &amp; Conclusion</w:t>
      </w:r>
    </w:p>
    <w:p>
      <w:r>
        <w:t xml:space="preserve">The CDLS tokenomics model represents convergence of three powerful market forces: California's aggressive emission reduction mandates, the growing carbon credit market, and blockchain technology's capability to fractionally monetize environmental assets.</w:t>
      </w:r>
    </w:p>
    <w:p>
      <w:r>
        <w:t xml:space="preserve">California's Advanced Clean Fleets regulation creates $8.5 billion addressable market as automotive logistics transitions to zero-emission vehicles. This regulatory certainty eliminates adoption risk while ensuring steady network growth. Unlike speculative blockchain projects, CDLS addresses concrete regulatory compliance needs with measurable ROI.</w:t>
      </w:r>
    </w:p>
    <w:p>
      <w:r>
        <w:t xml:space="preserve">The carbon credit backing provides fundamental value floor absent from pure utility tokens. As California tightens emission caps toward 2030 carbon neutrality goals, credit values trend upward providing natural appreciation. Token holders benefit from both platform growth and underlying asset appreciation.</w:t>
      </w:r>
    </w:p>
    <w:p>
      <w:r>
        <w:t xml:space="preserve">For institutional investors seeking ESG-aligned opportunities with strong return profiles, CDLS offers compelling characteristics: regulatory tailwinds, scalable unit economics, defensible competitive position, and measurable environmental impact. The 18-24% projected IRR combines growth from network expansion with carbon credit value appreciation, supported by conservative financial assumptions.</w:t>
      </w:r>
    </w:p>
    <w:p>
      <w:r>
        <w:t xml:space="preserve">The token structure aligns incentives across all participants. Operators gain immediate economic benefit from ZEV transition. Dealers achieve compliance at lower cost. Token holders profit from network growth. The environment benefits from measurable emission reductions. This alignment creates sustainable network effects driving long-term value.</w:t>
      </w:r>
    </w:p>
    <w:p>
      <w:r>
        <w:t xml:space="preserve">CDLS transforms California's zero-emission mandate from compliance burden into monetizable opportunity. The tokenomics model captures this value efficiently while creating liquid, tradable asset enabling institutional participation in environmental markets previously accessible only through illiquid carbon credit positions or direct project development.</w:t>
      </w:r>
    </w:p>
    <w:p>
      <w:r>
        <w:t xml:space="preserve">As the platform scales toward target 500 operators generating $29M annual revenues within five years, early institutional participants capture substantial value appreciation while contributing to California's climate goals. This unique combination of financial returns and environmental impact positions CDLS as exemplar of next-generation sustainable infrastructure investment.</w:t>
      </w:r>
    </w:p>
    <w:p>
      <w:r>
        <w:br w:type="page"/>
      </w:r>
    </w:p>
    <w:p>
      <w:pPr>
        <w:pStyle w:val="Heading1"/>
      </w:pPr>
      <w:r>
        <w:t xml:space="preserve">Appendix: Technical Specifications</w:t>
      </w:r>
    </w:p>
    <w:p>
      <w:pPr>
        <w:pStyle w:val="Heading2"/>
      </w:pPr>
      <w:r>
        <w:t xml:space="preserve">Token Technical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Specification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Standard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ERC-20 (Ethereum) / SPL (Solana)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Blockchain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Multi-chain (Ethereum L2 + Solana)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 Places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Minting Capability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(fixed supply)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Burning Mechanism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Enabled (transaction fees)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On-chain voting (1 token = 1 vote)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Contract Audit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CertiK / Trail of Bits</w:t>
            </w:r>
          </w:p>
        </w:tc>
      </w:tr>
    </w:tbl>
    <w:p>
      <w:pPr>
        <w:pStyle w:val="Heading2"/>
      </w:pPr>
      <w:r>
        <w:t xml:space="preserve">Contact Information</w:t>
      </w:r>
    </w:p>
    <w:p>
      <w:pPr>
        <w:spacing w:before="240"/>
      </w:pPr>
      <w:r>
        <w:t xml:space="preserve">California Dealer Logistics Solutions</w:t>
      </w:r>
    </w:p>
    <w:p>
      <w:r>
        <w:t xml:space="preserve">Sacramento, California</w:t>
      </w:r>
    </w:p>
    <w:p>
      <w:r>
        <w:t xml:space="preserve">For institutional investor inquiries, please contact our capital formation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2026-01-09T03:03:02.515Z</dcterms:created>
  <dcterms:modified xsi:type="dcterms:W3CDTF">2026-01-09T03:03:02.516Z</dcterms:modified>
</cp:coreProperties>
</file>

<file path=docProps/custom.xml><?xml version="1.0" encoding="utf-8"?>
<Properties xmlns="http://schemas.openxmlformats.org/officeDocument/2006/custom-properties" xmlns:vt="http://schemas.openxmlformats.org/officeDocument/2006/docPropsVTypes"/>
</file>