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F172A"/>
          <w:sz w:val="48"/>
        </w:rPr>
        <w:t>CDLS 300,000 UNIT MASTER STRATEGY</w:t>
      </w:r>
    </w:p>
    <w:p>
      <w:pPr>
        <w:spacing w:after="240"/>
      </w:pPr>
      <w:r>
        <w:rPr>
          <w:rFonts w:ascii="Calibri" w:hAnsi="Calibri"/>
          <w:i/>
          <w:color w:val="475569"/>
          <w:sz w:val="26"/>
        </w:rPr>
        <w:t>Executive Launch Dossier, Technical Architecture &amp; Operational Roadmap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shd w:fill="F1F5F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334155"/>
                <w:sz w:val="19"/>
              </w:rPr>
              <w:t>Date: July 24, 2026</w:t>
            </w:r>
          </w:p>
        </w:tc>
        <w:tc>
          <w:tcPr>
            <w:tcW w:type="dxa" w:w="4608"/>
            <w:shd w:fill="F1F5F9"/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/>
                <w:color w:val="334155"/>
                <w:sz w:val="19"/>
              </w:rPr>
              <w:t>Author: CDLS Executive Leadership &amp; Board of Directors</w:t>
            </w:r>
          </w:p>
        </w:tc>
      </w:tr>
    </w:tbl>
    <w:p>
      <w:pPr>
        <w:spacing w:after="240"/>
      </w:pP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28"/>
        </w:rPr>
        <w:t>1. Executive Summary &amp; Strategic Vision</w:t>
      </w:r>
    </w:p>
    <w:p>
      <w:pPr>
        <w:spacing w:after="120" w:before="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>The California Digital Logistics System (CDLS) is an integrated clean-energy, fintech, and fleet logistics platform designed to transform Zero-Emission Vehicles (ZEVs) and auto transport infrastructure into a distributed 150 GWh Virtual Power Plant (VPP) and 'Energy Bank'.</w:t>
      </w:r>
    </w:p>
    <w:p>
      <w:pPr>
        <w:spacing w:after="120" w:before="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>By deploying 300,000 bidirectional V2G (Vehicle-to-Grid) units and lightweight mobile energy pods across California, CDLS bridges fleet transport efficiency with real-time CAISO power grid monetization.</w:t>
      </w:r>
    </w:p>
    <w:p>
      <w:pPr>
        <w:spacing w:after="120" w:before="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>This document synthesizes the strategic, legal, technical, and mathematical foundations for the CDLS platform, codifying key agreements, regulatory mandates, software architectures, and field operations.</w:t>
      </w: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28"/>
        </w:rPr>
        <w:t>2. Core Strategic Pillars</w:t>
      </w:r>
    </w:p>
    <w:p>
      <w:pPr>
        <w:spacing w:after="80" w:before="0" w:line="276" w:lineRule="auto"/>
        <w:ind w:left="360"/>
      </w:pPr>
      <w:r>
        <w:rPr>
          <w:rFonts w:ascii="Calibri" w:hAnsi="Calibri"/>
          <w:b w:val="0"/>
          <w:i w:val="0"/>
          <w:color w:val="334155"/>
          <w:sz w:val="21"/>
        </w:rPr>
        <w:t>• Project Vanguard: Infrastructure repurposing initiative designed to transform vacant retail/mall real estate into grid-synchronized energy and logistics hubs.</w:t>
      </w:r>
    </w:p>
    <w:p>
      <w:pPr>
        <w:spacing w:after="80" w:before="0" w:line="276" w:lineRule="auto"/>
        <w:ind w:left="360"/>
      </w:pPr>
      <w:r>
        <w:rPr>
          <w:rFonts w:ascii="Calibri" w:hAnsi="Calibri"/>
          <w:b w:val="0"/>
          <w:i w:val="0"/>
          <w:color w:val="334155"/>
          <w:sz w:val="21"/>
        </w:rPr>
        <w:t>• Judas AI Engine: Proprietary, air-gapped real-time bidding (RTB) decision engine for high-yield CAISO grid energy discharge arbitrage.</w:t>
      </w:r>
    </w:p>
    <w:p>
      <w:pPr>
        <w:spacing w:after="80" w:before="0" w:line="276" w:lineRule="auto"/>
        <w:ind w:left="360"/>
      </w:pPr>
      <w:r>
        <w:rPr>
          <w:rFonts w:ascii="Calibri" w:hAnsi="Calibri"/>
          <w:b w:val="0"/>
          <w:i w:val="0"/>
          <w:color w:val="334155"/>
          <w:sz w:val="21"/>
        </w:rPr>
        <w:t>• The Sacramento Pilot: 1,000-unit pilot launch across founding Sacramento dealership partners (Carizma, Lions, Enzo, Exclusive, Prestige, M&amp;S) proving the 'Incentive-First' fleet monetization model.</w:t>
      </w:r>
    </w:p>
    <w:p>
      <w:pPr>
        <w:spacing w:after="80" w:before="0" w:line="276" w:lineRule="auto"/>
        <w:ind w:left="360"/>
      </w:pPr>
      <w:r>
        <w:rPr>
          <w:rFonts w:ascii="Calibri" w:hAnsi="Calibri"/>
          <w:b w:val="0"/>
          <w:i w:val="0"/>
          <w:color w:val="334155"/>
          <w:sz w:val="21"/>
        </w:rPr>
        <w:t>• The B.E.S.T. Program: Better Estates, Sustainable Tomorrow—an apprenticeship pipeline targeting 95817/95820 zip codes in Oak Park/Tahoe Park, securing federal 30C tax credit multipliers via prevailing wage compliance.</w:t>
      </w: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28"/>
        </w:rPr>
        <w:t>3. The Sovereign Split &amp; Financial Math</w:t>
      </w:r>
    </w:p>
    <w:p>
      <w:pPr>
        <w:spacing w:after="120" w:before="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>Energy arbitrage revenue generated during peak demand hours (e.g., $2.00/kWh Flex Alerts) follows the 33/33/33 Sovereign Split Model:</w:t>
      </w:r>
    </w:p>
    <w:p>
      <w:pPr>
        <w:spacing w:after="80" w:before="0" w:line="276" w:lineRule="auto"/>
        <w:ind w:left="360"/>
      </w:pPr>
      <w:r>
        <w:rPr>
          <w:rFonts w:ascii="Calibri" w:hAnsi="Calibri"/>
          <w:b w:val="0"/>
          <w:i w:val="0"/>
          <w:color w:val="334155"/>
          <w:sz w:val="21"/>
        </w:rPr>
        <w:t xml:space="preserve">  1. CA State Treasury (33.3%): Public infrastructure royalty ($0.666/kWh).</w:t>
      </w:r>
    </w:p>
    <w:p>
      <w:pPr>
        <w:spacing w:after="80" w:before="0" w:line="276" w:lineRule="auto"/>
        <w:ind w:left="360"/>
      </w:pPr>
      <w:r>
        <w:rPr>
          <w:rFonts w:ascii="Calibri" w:hAnsi="Calibri"/>
          <w:b w:val="0"/>
          <w:i w:val="0"/>
          <w:color w:val="334155"/>
          <w:sz w:val="21"/>
        </w:rPr>
        <w:t xml:space="preserve">  2. Global Legacy Fund (33.3%): Long-term debt erasure and civic fund ($0.666/kWh).</w:t>
      </w:r>
    </w:p>
    <w:p>
      <w:pPr>
        <w:spacing w:after="80" w:before="0" w:line="276" w:lineRule="auto"/>
        <w:ind w:left="360"/>
      </w:pPr>
      <w:r>
        <w:rPr>
          <w:rFonts w:ascii="Calibri" w:hAnsi="Calibri"/>
          <w:b w:val="0"/>
          <w:i w:val="0"/>
          <w:color w:val="334155"/>
          <w:sz w:val="21"/>
        </w:rPr>
        <w:t xml:space="preserve">  3. Kinetic Growth / Reinvestment (33.4%): Hyper-speed rail &amp; platform expansion ($0.668/kWh).</w:t>
      </w:r>
    </w:p>
    <w:p>
      <w:pPr>
        <w:spacing w:after="80" w:before="0" w:line="276" w:lineRule="auto"/>
        <w:ind w:left="360"/>
      </w:pPr>
      <w:r>
        <w:rPr>
          <w:rFonts w:ascii="Calibri" w:hAnsi="Calibri"/>
          <w:b w:val="0"/>
          <w:i w:val="0"/>
          <w:color w:val="334155"/>
          <w:sz w:val="21"/>
        </w:rPr>
        <w:t>• Platform Orchestration Fee: CDLS retains a 10% operational fee ($0.20/kWh) for server logic, R&amp;D, and corporate governance.</w:t>
      </w:r>
    </w:p>
    <w:p>
      <w:pPr>
        <w:spacing w:after="80" w:before="0" w:line="276" w:lineRule="auto"/>
        <w:ind w:left="360"/>
      </w:pPr>
      <w:r>
        <w:rPr>
          <w:rFonts w:ascii="Calibri" w:hAnsi="Calibri"/>
          <w:b w:val="0"/>
          <w:i w:val="0"/>
          <w:color w:val="334155"/>
          <w:sz w:val="21"/>
        </w:rPr>
        <w:t>• Flat-Rate Logistics: Fixed $1,500 shipping rate per truck, creating market price stability for dealers while covering mobile energy pod cooling and logistics OpEx.</w:t>
      </w:r>
    </w:p>
    <w:p>
      <w:pPr>
        <w:spacing w:after="80" w:before="0" w:line="276" w:lineRule="auto"/>
        <w:ind w:left="360"/>
      </w:pPr>
      <w:r>
        <w:rPr>
          <w:rFonts w:ascii="Calibri" w:hAnsi="Calibri"/>
          <w:b w:val="0"/>
          <w:i w:val="0"/>
          <w:color w:val="334155"/>
          <w:sz w:val="21"/>
        </w:rPr>
        <w:t>• Key Equations:</w:t>
      </w:r>
    </w:p>
    <w:p>
      <w:pPr>
        <w:spacing w:after="80" w:before="0" w:line="276" w:lineRule="auto"/>
        <w:ind w:left="360"/>
      </w:pPr>
      <w:r>
        <w:rPr>
          <w:rFonts w:ascii="Calibri" w:hAnsi="Calibri"/>
          <w:b w:val="0"/>
          <w:i w:val="0"/>
          <w:color w:val="334155"/>
          <w:sz w:val="21"/>
        </w:rPr>
        <w:t xml:space="preserve">  - Arbitrage Profit: P = η_sys * E_dis * (C_sell - C_buy) - C_deg</w:t>
      </w:r>
    </w:p>
    <w:p>
      <w:pPr>
        <w:spacing w:after="80" w:before="0" w:line="276" w:lineRule="auto"/>
        <w:ind w:left="360"/>
      </w:pPr>
      <w:r>
        <w:rPr>
          <w:rFonts w:ascii="Calibri" w:hAnsi="Calibri"/>
          <w:b w:val="0"/>
          <w:i w:val="0"/>
          <w:color w:val="334155"/>
          <w:sz w:val="21"/>
        </w:rPr>
        <w:t xml:space="preserve">  - Battery Degradation Cost: C_deg = C_batt / (L_cycle * E_cap * DoD)</w:t>
      </w: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28"/>
        </w:rPr>
        <w:t>4. Technical &amp; Software Architecture</w:t>
      </w:r>
    </w:p>
    <w:p>
      <w:pPr>
        <w:spacing w:after="80" w:before="0" w:line="276" w:lineRule="auto"/>
        <w:ind w:left="360"/>
      </w:pPr>
      <w:r>
        <w:rPr>
          <w:rFonts w:ascii="Calibri" w:hAnsi="Calibri"/>
          <w:b w:val="0"/>
          <w:i w:val="0"/>
          <w:color w:val="334155"/>
          <w:sz w:val="21"/>
        </w:rPr>
        <w:t>• Judas AI Bidding Core: Air-gapped Python engine calculating trade viability based on system efficiency (90%), current CAISO LMP prices, and battery health degradation.</w:t>
      </w:r>
    </w:p>
    <w:p>
      <w:pPr>
        <w:spacing w:after="80" w:before="0" w:line="276" w:lineRule="auto"/>
        <w:ind w:left="360"/>
      </w:pPr>
      <w:r>
        <w:rPr>
          <w:rFonts w:ascii="Calibri" w:hAnsi="Calibri"/>
          <w:b w:val="0"/>
          <w:i w:val="0"/>
          <w:color w:val="334155"/>
          <w:sz w:val="21"/>
        </w:rPr>
        <w:t>• Docker Isolation: Internal bridge network isolating PostgreSQL audit database and bidding runtime from external web egress to meet DFPI security standards.</w:t>
      </w:r>
    </w:p>
    <w:p>
      <w:pPr>
        <w:spacing w:after="80" w:before="0" w:line="276" w:lineRule="auto"/>
        <w:ind w:left="360"/>
      </w:pPr>
      <w:r>
        <w:rPr>
          <w:rFonts w:ascii="Calibri" w:hAnsi="Calibri"/>
          <w:b w:val="0"/>
          <w:i w:val="0"/>
          <w:color w:val="334155"/>
          <w:sz w:val="21"/>
        </w:rPr>
        <w:t>• Banking Integration: Treasury Prime Ledger API integrating Statutory Trust accounts for automated 1:1 asset-to-liability reserve enforcement.</w:t>
      </w:r>
    </w:p>
    <w:p>
      <w:pPr>
        <w:spacing w:after="80" w:before="0" w:line="276" w:lineRule="auto"/>
        <w:ind w:left="360"/>
      </w:pPr>
      <w:r>
        <w:rPr>
          <w:rFonts w:ascii="Calibri" w:hAnsi="Calibri"/>
          <w:b w:val="0"/>
          <w:i w:val="0"/>
          <w:color w:val="334155"/>
          <w:sz w:val="21"/>
        </w:rPr>
        <w:t>• Mobile Pod Logistics: ISO 15118-20 bidirectional 250kWh-500kWh LFP pods mounted on aluminum/composite 9-car haulers (taking advantage of California AB 1953's 82,000 lb ZEV GVWR allowance).</w:t>
      </w: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28"/>
        </w:rPr>
        <w:t>5. Regulatory Compliance &amp; Governance</w:t>
      </w:r>
    </w:p>
    <w:p>
      <w:pPr>
        <w:spacing w:after="80" w:before="0" w:line="276" w:lineRule="auto"/>
        <w:ind w:left="360"/>
      </w:pPr>
      <w:r>
        <w:rPr>
          <w:rFonts w:ascii="Calibri" w:hAnsi="Calibri"/>
          <w:b w:val="0"/>
          <w:i w:val="0"/>
          <w:color w:val="334155"/>
          <w:sz w:val="21"/>
        </w:rPr>
        <w:t>• California Digital Financial Assets Law (DFAL): CEO James Wood designated as primary Control Person for DFPI licensing via NMLS (MU1/MU2 filings).</w:t>
      </w:r>
    </w:p>
    <w:p>
      <w:pPr>
        <w:spacing w:after="80" w:before="0" w:line="276" w:lineRule="auto"/>
        <w:ind w:left="360"/>
      </w:pPr>
      <w:r>
        <w:rPr>
          <w:rFonts w:ascii="Calibri" w:hAnsi="Calibri"/>
          <w:b w:val="0"/>
          <w:i w:val="0"/>
          <w:color w:val="334155"/>
          <w:sz w:val="21"/>
        </w:rPr>
        <w:t>• Board Resolution No. 2026-001 &amp; 2026-002: Formal adoption of Judas AI, Sacramento Pilot, B.E.S.T. workforce rules, and 1:1 statutory trust mandates.</w:t>
      </w:r>
    </w:p>
    <w:p>
      <w:pPr>
        <w:spacing w:after="80" w:before="0" w:line="276" w:lineRule="auto"/>
        <w:ind w:left="360"/>
      </w:pPr>
      <w:r>
        <w:rPr>
          <w:rFonts w:ascii="Calibri" w:hAnsi="Calibri"/>
          <w:b w:val="0"/>
          <w:i w:val="0"/>
          <w:color w:val="334155"/>
          <w:sz w:val="21"/>
        </w:rPr>
        <w:t>• AB 2143 &amp; IRA Direct Pay: Compliance with certified prevailing wage payroll via LCPtracker, unlocking 30% IRS Direct Pay refunds on charging infrastructure.</w:t>
      </w: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28"/>
        </w:rPr>
        <w:t>6. Actionable Next Steps &amp; Execution Roadmap</w:t>
      </w:r>
    </w:p>
    <w:p>
      <w:pPr>
        <w:spacing w:after="120" w:before="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>1. Execute NMLS Filing: Finalize Live Scan fingerprinting, background checks, and submit MU1/MU2 forms prior to regulatory deadlines.</w:t>
      </w:r>
    </w:p>
    <w:p>
      <w:pPr>
        <w:spacing w:after="120" w:before="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>2. Complete Dealer Site Inspections: Verify 480V 3-phase capacity at Sacramento pilot sites (CARIZMA &amp; LIONS first) for V2G charger placement.</w:t>
      </w:r>
    </w:p>
    <w:p>
      <w:pPr>
        <w:spacing w:after="120" w:before="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>3. Issue B.E.S.T. Apprentice Recruitment: Launch Community Flyer and recruit first cohort of 20 apprentices in 95817/95820.</w:t>
      </w:r>
    </w:p>
    <w:p>
      <w:pPr>
        <w:spacing w:after="120" w:before="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>4. Deploy Hardware &amp; Test API: Execute 100-transaction simulation on Treasury Prime Sandbox and verify daily audit hash logging.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