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40"/>
      </w:pPr>
      <w:r>
        <w:rPr>
          <w:rFonts w:ascii="Arial" w:cs="Arial" w:eastAsia="Arial" w:hAnsi="Arial"/>
          <w:b/>
          <w:bCs/>
          <w:color w:val="0C1B2E"/>
          <w:sz w:val="36"/>
          <w:szCs w:val="36"/>
        </w:rPr>
        <w:t xml:space="preserve">How CASAER Extends Your Office’s Capabilities</w:t>
      </w:r>
    </w:p>
    <w:p>
      <w:pPr>
        <w:spacing w:after="80"/>
      </w:pPr>
      <w:r>
        <w:rPr>
          <w:rFonts w:ascii="Arial" w:cs="Arial" w:eastAsia="Arial" w:hAnsi="Arial"/>
          <w:color w:val="6B7D92"/>
          <w:sz w:val="20"/>
          <w:szCs w:val="20"/>
        </w:rPr>
        <w:t xml:space="preserve">A practical overview for the State Auditor, Deputy Auditors, and Division Chiefs</w:t>
      </w:r>
    </w:p>
    <w:p>
      <w:pPr>
        <w:pBdr>
          <w:bottom w:val="single" w:color="B5872B" w:sz="6" w:space="4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5872B"/>
                <w:sz w:val="18"/>
                <w:szCs w:val="18"/>
              </w:rPr>
              <w:t xml:space="preserve">THE BOTTOM LINE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CASAER gives your auditors the equivalent of a senior research analyst on every engagement — one that knows every California statute, never forgets a document request, and runs statistical tests in seconds instead of hours. It requires </w:t>
            </w:r>
            <w:r>
              <w:rPr>
                <w:rFonts w:ascii="Arial" w:cs="Arial" w:eastAsia="Arial" w:hAnsi="Arial"/>
                <w:b/>
                <w:bCs/>
                <w:color w:val="B5872B"/>
                <w:sz w:val="19"/>
                <w:szCs w:val="19"/>
              </w:rPr>
              <w:t xml:space="preserve">zero new staff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B5872B"/>
                <w:sz w:val="19"/>
                <w:szCs w:val="19"/>
              </w:rPr>
              <w:t xml:space="preserve">zero recurring costs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, and </w:t>
            </w:r>
            <w:r>
              <w:rPr>
                <w:rFonts w:ascii="Arial" w:cs="Arial" w:eastAsia="Arial" w:hAnsi="Arial"/>
                <w:b/>
                <w:bCs/>
                <w:color w:val="B5872B"/>
                <w:sz w:val="19"/>
                <w:szCs w:val="19"/>
              </w:rPr>
              <w:t xml:space="preserve">zero changes</w:t>
            </w:r>
            <w:r>
              <w:rPr>
                <w:rFonts w:ascii="Arial" w:cs="Arial" w:eastAsia="Arial" w:hAnsi="Arial"/>
                <w:color w:val="CBD5E1"/>
                <w:sz w:val="19"/>
                <w:szCs w:val="19"/>
              </w:rPr>
              <w:t xml:space="preserve"> to your existing audit methodology. Your team keeps full authority over every finding and report.</w:t>
            </w:r>
          </w:p>
        </w:tc>
      </w:tr>
    </w:tbl>
    <w:p>
      <w:pPr>
        <w:spacing w:before="16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aps/>
          <w:color w:val="0E7C6B"/>
          <w:sz w:val="17"/>
          <w:szCs w:val="17"/>
        </w:rPr>
        <w:t xml:space="preserve">The Scale of the Problem Your Office Faces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D4F63"/>
          <w:sz w:val="18"/>
          <w:szCs w:val="18"/>
        </w:rPr>
        <w:t xml:space="preserve">California’s State Auditor’s Office operates on a $51.4M annual budget with approximately 110 audit staff responsible for oversight of 132 state departments. The scale of fraud, waste, and mismanagement these auditors must detect is enormous: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EDF7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C1B2E"/>
                <w:sz w:val="24"/>
                <w:szCs w:val="24"/>
              </w:rPr>
              <w:t xml:space="preserve">$513M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D4F63"/>
                <w:sz w:val="14"/>
                <w:szCs w:val="14"/>
              </w:rPr>
              <w:t xml:space="preserve">EDD fraud in
2024 alone</w:t>
            </w:r>
          </w:p>
        </w:tc>
        <w:tc>
          <w:tcPr>
            <w:tcW w:type="dxa" w:w="23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EDF7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C1B2E"/>
                <w:sz w:val="24"/>
                <w:szCs w:val="24"/>
              </w:rPr>
              <w:t xml:space="preserve">$1.5B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D4F63"/>
                <w:sz w:val="14"/>
                <w:szCs w:val="14"/>
              </w:rPr>
              <w:t xml:space="preserve">EDD improper payments
2023–2024</w:t>
            </w:r>
          </w:p>
        </w:tc>
        <w:tc>
          <w:tcPr>
            <w:tcW w:type="dxa" w:w="23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EDF7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C1B2E"/>
                <w:sz w:val="24"/>
                <w:szCs w:val="24"/>
              </w:rPr>
              <w:t xml:space="preserve">$2.5B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D4F63"/>
                <w:sz w:val="14"/>
                <w:szCs w:val="14"/>
              </w:rPr>
              <w:t xml:space="preserve">Potential annual cost
if CalFresh PER persists</w:t>
            </w:r>
          </w:p>
        </w:tc>
        <w:tc>
          <w:tcPr>
            <w:tcW w:type="dxa" w:w="23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EDF7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C1B2E"/>
                <w:sz w:val="24"/>
                <w:szCs w:val="24"/>
              </w:rPr>
              <w:t xml:space="preserve">2,636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D4F63"/>
                <w:sz w:val="14"/>
                <w:szCs w:val="14"/>
              </w:rPr>
              <w:t xml:space="preserve">Whistleblower cases
worked (2024–25)</w:t>
            </w:r>
          </w:p>
        </w:tc>
      </w:tr>
    </w:tbl>
    <w:p>
      <w:pPr>
        <w:spacing w:before="20" w:after="60"/>
      </w:pPr>
      <w:r>
        <w:rPr>
          <w:rFonts w:ascii="Arial" w:cs="Arial" w:eastAsia="Arial" w:hAnsi="Arial"/>
          <w:i/>
          <w:iCs/>
          <w:color w:val="6B7D92"/>
          <w:sz w:val="14"/>
          <w:szCs w:val="14"/>
        </w:rPr>
        <w:t xml:space="preserve">Sources: CA State Auditor Report 2025-601; Report I2025-1; Ballotpedia FY 2024-25 Budget (Dept. 8855)</w:t>
      </w:r>
    </w:p>
    <w:p>
      <w:pPr>
        <w:spacing w:before="14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aps/>
          <w:color w:val="0E7C6B"/>
          <w:sz w:val="17"/>
          <w:szCs w:val="17"/>
        </w:rPr>
        <w:t xml:space="preserve">Five Ways CASAER Extends Your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8D2C8" w:sz="1"/>
              <w:left w:val="single" w:color="0E7C6B" w:sz="12"/>
              <w:bottom w:val="single" w:color="D8D2C8" w:sz="1"/>
              <w:right w:val="none" w:color="FFFFFF" w:sz="0"/>
            </w:tcBorders>
            <w:shd w:fill="EDF7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1B2E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D8D2C8" w:sz="1"/>
              <w:left w:val="none" w:color="FFFFFF" w:sz="0"/>
              <w:bottom w:val="single" w:color="D8D2C8" w:sz="1"/>
              <w:right w:val="single" w:color="D8D2C8" w:sz="1"/>
            </w:tcBorders>
            <w:shd w:fill="ED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1B2E"/>
                <w:sz w:val="21"/>
                <w:szCs w:val="21"/>
              </w:rPr>
              <w:t xml:space="preserve">Faster Response to Hearing Requests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D4F63"/>
                <w:sz w:val="18"/>
                <w:szCs w:val="18"/>
              </w:rPr>
              <w:t xml:space="preserve">When a hearing request arrives, CASAER immediately generates the enforcement pathway — which statutes apply, what documents to request, and how to structure the investigation. Auditors spend their time analyzing, not searching.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E7C6B"/>
                <w:sz w:val="16"/>
                <w:szCs w:val="16"/>
              </w:rPr>
              <w:t xml:space="preserve">Scoping from weeks to days — critical when your office handles 2,636 cases per cycle</w:t>
            </w:r>
          </w:p>
          <w:p>
            <w:r>
              <w:rPr>
                <w:rFonts w:ascii="Arial" w:cs="Arial" w:eastAsia="Arial" w:hAnsi="Arial"/>
                <w:i/>
                <w:iCs/>
                <w:color w:val="6B7D92"/>
                <w:sz w:val="13"/>
                <w:szCs w:val="13"/>
              </w:rPr>
              <w:t xml:space="preserve">Benchmark: CA State Auditor I2025-1 (2,636 allegations, Jan 2024–Oct 2025)</w:t>
            </w:r>
          </w:p>
        </w:tc>
      </w:tr>
      <w:tr>
        <w:tc>
          <w:tcPr>
            <w:tcW w:type="dxa" w:w="600"/>
            <w:tcBorders>
              <w:top w:val="single" w:color="D8D2C8" w:sz="1"/>
              <w:left w:val="single" w:color="B5872B" w:sz="12"/>
              <w:bottom w:val="single" w:color="D8D2C8" w:sz="1"/>
              <w:right w:val="none" w:color="FFFFFF" w:sz="0"/>
            </w:tcBorders>
            <w:shd w:fill="FBF6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1B2E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D8D2C8" w:sz="1"/>
              <w:left w:val="none" w:color="FFFFFF" w:sz="0"/>
              <w:bottom w:val="single" w:color="D8D2C8" w:sz="1"/>
              <w:right w:val="single" w:color="D8D2C8" w:sz="1"/>
            </w:tcBorders>
            <w:shd w:fill="FBF6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1B2E"/>
                <w:sz w:val="21"/>
                <w:szCs w:val="21"/>
              </w:rPr>
              <w:t xml:space="preserve">Consistent Quality Across All 132 Departments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D4F63"/>
                <w:sz w:val="18"/>
                <w:szCs w:val="18"/>
              </w:rPr>
              <w:t xml:space="preserve">Every audit follows the same rigorous framework regardless of which auditor runs it. Pre-built checklists, standardized report templates, and statute-linked enforcement paths ensure uniform quality whether auditing a $502B pension fund or a small commission.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5872B"/>
                <w:sz w:val="16"/>
                <w:szCs w:val="16"/>
              </w:rPr>
              <w:t xml:space="preserve">8 enforcement pathways covering the most common hearing request categories</w:t>
            </w:r>
          </w:p>
          <w:p>
            <w:r>
              <w:rPr>
                <w:rFonts w:ascii="Arial" w:cs="Arial" w:eastAsia="Arial" w:hAnsi="Arial"/>
                <w:i/>
                <w:iCs/>
                <w:color w:val="6B7D92"/>
                <w:sz w:val="13"/>
                <w:szCs w:val="13"/>
              </w:rPr>
              <w:t xml:space="preserve">Context: ACFE 2024 reports 50%+ of fraud enabled by weak or inconsistent internal controls</w:t>
            </w:r>
          </w:p>
        </w:tc>
      </w:tr>
      <w:tr>
        <w:tc>
          <w:tcPr>
            <w:tcW w:type="dxa" w:w="600"/>
            <w:tcBorders>
              <w:top w:val="single" w:color="D8D2C8" w:sz="1"/>
              <w:left w:val="single" w:color="2B6CB0" w:sz="12"/>
              <w:bottom w:val="single" w:color="D8D2C8" w:sz="1"/>
              <w:right w:val="none" w:color="FFFFFF" w:sz="0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1B2E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D8D2C8" w:sz="1"/>
              <w:left w:val="none" w:color="FFFFFF" w:sz="0"/>
              <w:bottom w:val="single" w:color="D8D2C8" w:sz="1"/>
              <w:right w:val="single" w:color="D8D2C8" w:sz="1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1B2E"/>
                <w:sz w:val="21"/>
                <w:szCs w:val="21"/>
              </w:rPr>
              <w:t xml:space="preserve">Statistical Detection That Wasn’t Practical Before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D4F63"/>
                <w:sz w:val="18"/>
                <w:szCs w:val="18"/>
              </w:rPr>
              <w:t xml:space="preserve">Benford’s Law analysis, anomaly detection, and variance testing run automatically on uploaded data. The ACFE estimates organizations lose 5% of revenue to fraud annually, with government cases averaging $200,000 per incident. Faster detection shortens the 12-month average time fraud goes undetected.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ACFE 2024: median government fraud loss of $200K/case; 12-month average detection time</w:t>
            </w:r>
          </w:p>
          <w:p>
            <w:r>
              <w:rPr>
                <w:rFonts w:ascii="Arial" w:cs="Arial" w:eastAsia="Arial" w:hAnsi="Arial"/>
                <w:i/>
                <w:iCs/>
                <w:color w:val="6B7D92"/>
                <w:sz w:val="13"/>
                <w:szCs w:val="13"/>
              </w:rPr>
              <w:t xml:space="preserve">Source: ACFE Occupational Fraud 2024: A Report to the Nations (1,921 cases, 138 countries)</w:t>
            </w:r>
          </w:p>
        </w:tc>
      </w:tr>
      <w:tr>
        <w:tc>
          <w:tcPr>
            <w:tcW w:type="dxa" w:w="600"/>
            <w:tcBorders>
              <w:top w:val="single" w:color="D8D2C8" w:sz="1"/>
              <w:left w:val="single" w:color="7C3AED" w:sz="12"/>
              <w:bottom w:val="single" w:color="D8D2C8" w:sz="1"/>
              <w:right w:val="none" w:color="FFFFFF" w:sz="0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1B2E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D8D2C8" w:sz="1"/>
              <w:left w:val="none" w:color="FFFFFF" w:sz="0"/>
              <w:bottom w:val="single" w:color="D8D2C8" w:sz="1"/>
              <w:right w:val="single" w:color="D8D2C8" w:sz="1"/>
            </w:tcBorders>
            <w:shd w:fill="F3F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1B2E"/>
                <w:sz w:val="21"/>
                <w:szCs w:val="21"/>
              </w:rPr>
              <w:t xml:space="preserve">Institutional Knowledge That Doesn’t Walk Out the Door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D4F63"/>
                <w:sz w:val="18"/>
                <w:szCs w:val="18"/>
              </w:rPr>
              <w:t xml:space="preserve">California state government carries a 20% vacancy rate across 243,829 positions. When experienced auditors retire or transfer, their investigative instincts leave with them. CASAER captures that logic in reusable enforcement pathways, reducing ramp-up time for new staff.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C3AED"/>
                <w:sz w:val="16"/>
                <w:szCs w:val="16"/>
              </w:rPr>
              <w:t xml:space="preserve">Statewide vacancy rate ~20% as of Feb 2024 (47,920 vacancies of 243,829 positions)</w:t>
            </w:r>
          </w:p>
          <w:p>
            <w:r>
              <w:rPr>
                <w:rFonts w:ascii="Arial" w:cs="Arial" w:eastAsia="Arial" w:hAnsi="Arial"/>
                <w:i/>
                <w:iCs/>
                <w:color w:val="6B7D92"/>
                <w:sz w:val="13"/>
                <w:szCs w:val="13"/>
              </w:rPr>
              <w:t xml:space="preserve">Source: CA Legislative Analyst’s Office, 2024-25 Budget: State Employee Compensation</w:t>
            </w:r>
          </w:p>
        </w:tc>
      </w:tr>
      <w:tr>
        <w:tc>
          <w:tcPr>
            <w:tcW w:type="dxa" w:w="600"/>
            <w:tcBorders>
              <w:top w:val="single" w:color="D8D2C8" w:sz="1"/>
              <w:left w:val="single" w:color="C0392B" w:sz="12"/>
              <w:bottom w:val="single" w:color="D8D2C8" w:sz="1"/>
              <w:right w:val="none" w:color="FFFFFF" w:sz="0"/>
            </w:tcBorders>
            <w:shd w:fill="FDF0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1B2E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D8D2C8" w:sz="1"/>
              <w:left w:val="none" w:color="FFFFFF" w:sz="0"/>
              <w:bottom w:val="single" w:color="D8D2C8" w:sz="1"/>
              <w:right w:val="single" w:color="D8D2C8" w:sz="1"/>
            </w:tcBorders>
            <w:shd w:fill="FD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C1B2E"/>
                <w:sz w:val="21"/>
                <w:szCs w:val="21"/>
              </w:rPr>
              <w:t xml:space="preserve">Legislative-Ready Deliverables on Demand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D4F63"/>
                <w:sz w:val="18"/>
                <w:szCs w:val="18"/>
              </w:rPr>
              <w:t xml:space="preserve">One-click generation of enforcement reports, anomaly analyses, department scorecards, and legislative briefs — all formatted with proper citations and evidence chains. Your staff spends less time formatting and more time on substance, directly addressing the State’s chronic late financial reporting problem.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CA financial statements have been issued late every year since FY 2017–18</w:t>
            </w:r>
          </w:p>
          <w:p>
            <w:r>
              <w:rPr>
                <w:rFonts w:ascii="Arial" w:cs="Arial" w:eastAsia="Arial" w:hAnsi="Arial"/>
                <w:i/>
                <w:iCs/>
                <w:color w:val="6B7D92"/>
                <w:sz w:val="13"/>
                <w:szCs w:val="13"/>
              </w:rPr>
              <w:t xml:space="preserve">Source: CA State Auditor Report 2025-601, State High-Risk Audit Program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60"/>
        <w:gridCol w:w="4600"/>
      </w:tblGrid>
      <w:tr>
        <w:tc>
          <w:tcPr>
            <w:tcW w:type="dxa" w:w="4600"/>
            <w:tcBorders>
              <w:top w:val="single" w:color="0E7C6B" w:sz="8"/>
              <w:left w:val="single" w:color="D8D2C8" w:sz="1"/>
              <w:bottom w:val="single" w:color="D8D2C8" w:sz="1"/>
              <w:right w:val="none" w:color="FFFFFF" w:sz="0"/>
            </w:tcBorders>
            <w:shd w:fill="EDF7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6B"/>
                <w:sz w:val="18"/>
                <w:szCs w:val="18"/>
              </w:rPr>
              <w:t xml:space="preserve">WHAT CHANGES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00"/>
            <w:tcBorders>
              <w:top w:val="single" w:color="B5872B" w:sz="8"/>
              <w:left w:val="none" w:color="FFFFFF" w:sz="0"/>
              <w:bottom w:val="single" w:color="D8D2C8" w:sz="1"/>
              <w:right w:val="single" w:color="D8D2C8" w:sz="1"/>
            </w:tcBorders>
            <w:shd w:fill="FBF6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5872B"/>
                <w:sz w:val="18"/>
                <w:szCs w:val="18"/>
              </w:rPr>
              <w:t xml:space="preserve">WHAT DOESN’T CHANGE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single" w:color="D8D2C8" w:sz="1"/>
              <w:bottom w:val="single" w:color="D8D2C8" w:sz="1"/>
              <w:right w:val="none" w:color="FFFFFF" w:sz="0"/>
            </w:tcBorders>
            <w:shd w:fill="EDF7F5" w:val="clear"/>
            <w:tcMar>
              <w:top w:type="dxa" w:w="8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D4F63"/>
                <w:sz w:val="17"/>
                <w:szCs w:val="17"/>
              </w:rPr>
              <w:t xml:space="preserve">Auditors find statutes and pathways in minutes instead of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D4F63"/>
                <w:sz w:val="17"/>
                <w:szCs w:val="17"/>
              </w:rPr>
              <w:t xml:space="preserve">Statistical tests run automatically on uploaded transaction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D4F63"/>
                <w:sz w:val="17"/>
                <w:szCs w:val="17"/>
              </w:rPr>
              <w:t xml:space="preserve">Reports generate with citations and evidence chains pre-populated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3D4F63"/>
                <w:sz w:val="17"/>
                <w:szCs w:val="17"/>
              </w:rPr>
              <w:t xml:space="preserve">New staff get structured guidance from day one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D8D2C8" w:sz="1"/>
              <w:right w:val="single" w:color="D8D2C8" w:sz="1"/>
            </w:tcBorders>
            <w:shd w:fill="FBF6EC" w:val="clear"/>
            <w:tcMar>
              <w:top w:type="dxa" w:w="8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3D4F63"/>
                <w:sz w:val="17"/>
                <w:szCs w:val="17"/>
              </w:rPr>
              <w:t xml:space="preserve">Auditors retain full authority over all findings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3D4F63"/>
                <w:sz w:val="17"/>
                <w:szCs w:val="17"/>
              </w:rPr>
              <w:t xml:space="preserve">Your methodology and standards stay exactly the same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3D4F63"/>
                <w:sz w:val="17"/>
                <w:szCs w:val="17"/>
              </w:rPr>
              <w:t xml:space="preserve">No staff reductions — this enhances, not replaces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3D4F63"/>
                <w:sz w:val="17"/>
                <w:szCs w:val="17"/>
              </w:rPr>
              <w:t xml:space="preserve">All data stays on your network, 100% air-gapped</w:t>
            </w:r>
          </w:p>
        </w:tc>
      </w:tr>
    </w:tbl>
    <w:p>
      <w:pPr>
        <w:spacing w:before="16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aps/>
          <w:color w:val="0E7C6B"/>
          <w:sz w:val="17"/>
          <w:szCs w:val="17"/>
        </w:rPr>
        <w:t xml:space="preserve">Getting Started — Three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E7C6B" w:sz="8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E7C6B"/>
                <w:sz w:val="15"/>
                <w:szCs w:val="15"/>
              </w:rPr>
              <w:t xml:space="preserve">TODAY</w:t>
            </w:r>
          </w:p>
          <w:p>
            <w:r>
              <w:rPr>
                <w:rFonts w:ascii="Arial" w:cs="Arial" w:eastAsia="Arial" w:hAnsi="Arial"/>
                <w:b/>
                <w:bCs/>
                <w:color w:val="0C1B2E"/>
                <w:sz w:val="22"/>
                <w:szCs w:val="22"/>
              </w:rPr>
              <w:t xml:space="preserve">Immediate</w:t>
            </w:r>
          </w:p>
        </w:tc>
        <w:tc>
          <w:tcPr>
            <w:tcW w:type="dxa" w:w="3120"/>
            <w:tcBorders>
              <w:top w:val="single" w:color="B5872B" w:sz="8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B5872B"/>
                <w:sz w:val="15"/>
                <w:szCs w:val="15"/>
              </w:rPr>
              <w:t xml:space="preserve">MONTH 1</w:t>
            </w:r>
          </w:p>
          <w:p>
            <w:r>
              <w:rPr>
                <w:rFonts w:ascii="Arial" w:cs="Arial" w:eastAsia="Arial" w:hAnsi="Arial"/>
                <w:b/>
                <w:bCs/>
                <w:color w:val="0C1B2E"/>
                <w:sz w:val="22"/>
                <w:szCs w:val="22"/>
              </w:rPr>
              <w:t xml:space="preserve">Pilot</w:t>
            </w:r>
          </w:p>
        </w:tc>
        <w:tc>
          <w:tcPr>
            <w:tcW w:type="dxa" w:w="3120"/>
            <w:tcBorders>
              <w:top w:val="single" w:color="2B6CB0" w:sz="8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MONTH 3+</w:t>
            </w:r>
          </w:p>
          <w:p>
            <w:r>
              <w:rPr>
                <w:rFonts w:ascii="Arial" w:cs="Arial" w:eastAsia="Arial" w:hAnsi="Arial"/>
                <w:b/>
                <w:bCs/>
                <w:color w:val="0C1B2E"/>
                <w:sz w:val="22"/>
                <w:szCs w:val="22"/>
              </w:rPr>
              <w:t xml:space="preserve">Scale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D92"/>
                <w:sz w:val="17"/>
                <w:szCs w:val="17"/>
              </w:rPr>
              <w:t xml:space="preserve">Distribute the offline HTML file to audit staff. No IT approval needed — it’s a single file that opens in any browser.</w:t>
            </w:r>
          </w:p>
        </w:tc>
        <w:tc>
          <w:tcPr>
            <w:tcW w:type="dxa" w:w="3120"/>
            <w:tcBorders>
              <w:top w:val="none" w:color="FFFFFF" w:sz="0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D92"/>
                <w:sz w:val="17"/>
                <w:szCs w:val="17"/>
              </w:rPr>
              <w:t xml:space="preserve">IT reviews documentation and deploys the server edition. 10–15 auditors run 2–3 audits through the full system.</w:t>
            </w:r>
          </w:p>
        </w:tc>
        <w:tc>
          <w:tcPr>
            <w:tcW w:type="dxa" w:w="3120"/>
            <w:tcBorders>
              <w:top w:val="none" w:color="FFFFFF" w:sz="0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D92"/>
                <w:sz w:val="17"/>
                <w:szCs w:val="17"/>
              </w:rPr>
              <w:t xml:space="preserve">Expand to all audit staff and 132 departments. Customize portal branding and integrate with existing workflows.</w:t>
            </w:r>
          </w:p>
        </w:tc>
      </w:tr>
    </w:tbl>
    <w:p>
      <w:pPr>
        <w:spacing w:before="16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aps/>
          <w:color w:val="0E7C6B"/>
          <w:sz w:val="17"/>
          <w:szCs w:val="17"/>
        </w:rPr>
        <w:t xml:space="preserve">What We Deliver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color w:val="3D4F63"/>
          <w:sz w:val="18"/>
          <w:szCs w:val="18"/>
        </w:rPr>
        <w:t xml:space="preserve">IT Documentation Package (67 pages) — architecture, security, API docs, deployment guide, command reference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color w:val="3D4F63"/>
          <w:sz w:val="18"/>
          <w:szCs w:val="18"/>
        </w:rPr>
        <w:t xml:space="preserve">Offline HTML Portal — fully functional, ready for immediate use by any auditor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color w:val="3D4F63"/>
          <w:sz w:val="18"/>
          <w:szCs w:val="18"/>
        </w:rPr>
        <w:t xml:space="preserve">User Guide (HTML + PDF) — intuitive 8-chapter walkthrough for non-technical staff</w:t>
      </w:r>
    </w:p>
    <w:p>
      <w:pPr>
        <w:pStyle w:val="ListParagraph"/>
        <w:numPr>
          <w:ilvl w:val="0"/>
          <w:numId w:val="4"/>
        </w:numPr>
        <w:spacing w:after="30"/>
      </w:pPr>
      <w:r>
        <w:rPr>
          <w:rFonts w:ascii="Arial" w:cs="Arial" w:eastAsia="Arial" w:hAnsi="Arial"/>
          <w:color w:val="3D4F63"/>
          <w:sz w:val="18"/>
          <w:szCs w:val="18"/>
        </w:rPr>
        <w:t xml:space="preserve">Server Deployment Package — Docker images with pre-loaded Ollama AI + R engine + PostgreSQL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720" w:right="1440" w:bottom="720" w:left="1440" w:header="708" w:footer="708" w:gutter="0"/>
          <w:pgNumType/>
          <w:docGrid w:linePitch="360"/>
        </w:sectPr>
      </w:pPr>
    </w:p>
    <w:p>
      <w:pPr>
        <w:spacing w:before="160" w:after="40"/>
      </w:pPr>
      <w:r>
        <w:rPr>
          <w:rFonts w:ascii="Arial" w:cs="Arial" w:eastAsia="Arial" w:hAnsi="Arial"/>
          <w:b/>
          <w:bCs/>
          <w:color w:val="0C1B2E"/>
          <w:sz w:val="36"/>
          <w:szCs w:val="36"/>
        </w:rPr>
        <w:t xml:space="preserve">Value Analysis: Why CASAER Matters Now</w:t>
      </w:r>
    </w:p>
    <w:p>
      <w:pPr>
        <w:spacing w:after="60"/>
      </w:pPr>
      <w:r>
        <w:rPr>
          <w:rFonts w:ascii="Arial" w:cs="Arial" w:eastAsia="Arial" w:hAnsi="Arial"/>
          <w:color w:val="6B7D92"/>
          <w:sz w:val="20"/>
          <w:szCs w:val="20"/>
        </w:rPr>
        <w:t xml:space="preserve">All figures sourced from published government reports and peer-reviewed fraud research</w:t>
      </w:r>
    </w:p>
    <w:p>
      <w:pPr>
        <w:pBdr>
          <w:bottom w:val="single" w:color="B5872B" w:sz="6" w:space="4"/>
        </w:pBdr>
        <w:spacing w:after="16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aps/>
          <w:color w:val="0E7C6B"/>
          <w:sz w:val="17"/>
          <w:szCs w:val="17"/>
        </w:rPr>
        <w:t xml:space="preserve">1. The Fraud Landscape in California State Government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B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5872B"/>
                <w:sz w:val="16"/>
                <w:szCs w:val="16"/>
              </w:rPr>
              <w:t xml:space="preserve">Finding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B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5872B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dxa" w:w="54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D4F63"/>
                <w:sz w:val="16"/>
                <w:szCs w:val="16"/>
              </w:rPr>
              <w:t xml:space="preserve">EDD lost an estimated $513M to fraud in 2024 alone, with $1.5B in improper payments over 2023–2024.</w:t>
            </w:r>
          </w:p>
        </w:tc>
        <w:tc>
          <w:tcPr>
            <w:tcW w:type="dxa" w:w="3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D92"/>
                <w:sz w:val="14"/>
                <w:szCs w:val="14"/>
              </w:rPr>
              <w:t xml:space="preserve">CA State Auditor Report 2025-601 (Dec 2025)</w:t>
            </w:r>
          </w:p>
        </w:tc>
      </w:tr>
      <w:tr>
        <w:tc>
          <w:tcPr>
            <w:tcW w:type="dxa" w:w="54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D4F63"/>
                <w:sz w:val="16"/>
                <w:szCs w:val="16"/>
              </w:rPr>
              <w:t xml:space="preserve">EDD paid $10.4B on potentially fraudulent claims during March–Dec 2020; total pandemic fraud estimated at $32.6B.</w:t>
            </w:r>
          </w:p>
        </w:tc>
        <w:tc>
          <w:tcPr>
            <w:tcW w:type="dxa" w:w="3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D92"/>
                <w:sz w:val="14"/>
                <w:szCs w:val="14"/>
              </w:rPr>
              <w:t xml:space="preserve">CA State Auditor Report 2020-628.2; U.S. Senate Finance Committee (May 2024)</w:t>
            </w:r>
          </w:p>
        </w:tc>
      </w:tr>
      <w:tr>
        <w:tc>
          <w:tcPr>
            <w:tcW w:type="dxa" w:w="54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D4F63"/>
                <w:sz w:val="16"/>
                <w:szCs w:val="16"/>
              </w:rPr>
              <w:t xml:space="preserve">If CalFresh payment error rate is not reduced, California faces $2.5B in additional annual costs under the OBBBA.</w:t>
            </w:r>
          </w:p>
        </w:tc>
        <w:tc>
          <w:tcPr>
            <w:tcW w:type="dxa" w:w="3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D92"/>
                <w:sz w:val="14"/>
                <w:szCs w:val="14"/>
              </w:rPr>
              <w:t xml:space="preserve">CA State Auditor Report 2025-601; USDA PER data FFY 2024</w:t>
            </w:r>
          </w:p>
        </w:tc>
      </w:tr>
      <w:tr>
        <w:tc>
          <w:tcPr>
            <w:tcW w:type="dxa" w:w="54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D4F63"/>
                <w:sz w:val="16"/>
                <w:szCs w:val="16"/>
              </w:rPr>
              <w:t xml:space="preserve">Medi-Cal eligibility discrepancies have exceeded $4B in identified issues.</w:t>
            </w:r>
          </w:p>
        </w:tc>
        <w:tc>
          <w:tcPr>
            <w:tcW w:type="dxa" w:w="3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D92"/>
                <w:sz w:val="14"/>
                <w:szCs w:val="14"/>
              </w:rPr>
              <w:t xml:space="preserve">CA State Auditor Reports (2018, 2020 findings cited in 2025-601)</w:t>
            </w:r>
          </w:p>
        </w:tc>
      </w:tr>
      <w:tr>
        <w:tc>
          <w:tcPr>
            <w:tcW w:type="dxa" w:w="54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D4F63"/>
                <w:sz w:val="16"/>
                <w:szCs w:val="16"/>
              </w:rPr>
              <w:t xml:space="preserve">Organizations lose an estimated 5% of revenue to fraud annually. Median government fraud case: $200K.</w:t>
            </w:r>
          </w:p>
        </w:tc>
        <w:tc>
          <w:tcPr>
            <w:tcW w:type="dxa" w:w="3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D92"/>
                <w:sz w:val="14"/>
                <w:szCs w:val="14"/>
              </w:rPr>
              <w:t xml:space="preserve">ACFE Occupational Fraud 2024: Report to the Nations (1,921 cases, 138 countries)</w:t>
            </w:r>
          </w:p>
        </w:tc>
      </w:tr>
      <w:tr>
        <w:tc>
          <w:tcPr>
            <w:tcW w:type="dxa" w:w="54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D4F63"/>
                <w:sz w:val="16"/>
                <w:szCs w:val="16"/>
              </w:rPr>
              <w:t xml:space="preserve">50%+ of occupational frauds resulted from lack of internal controls or management override of controls.</w:t>
            </w:r>
          </w:p>
        </w:tc>
        <w:tc>
          <w:tcPr>
            <w:tcW w:type="dxa" w:w="3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D92"/>
                <w:sz w:val="14"/>
                <w:szCs w:val="14"/>
              </w:rPr>
              <w:t xml:space="preserve">ACFE 2024 Report to the Nations</w:t>
            </w:r>
          </w:p>
        </w:tc>
      </w:tr>
      <w:tr>
        <w:tc>
          <w:tcPr>
            <w:tcW w:type="dxa" w:w="54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D4F63"/>
                <w:sz w:val="16"/>
                <w:szCs w:val="16"/>
              </w:rPr>
              <w:t xml:space="preserve">Typical fraud case lasts 12 months before detection. Organizations with fraud hotlines had 50% smaller losses.</w:t>
            </w:r>
          </w:p>
        </w:tc>
        <w:tc>
          <w:tcPr>
            <w:tcW w:type="dxa" w:w="3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D92"/>
                <w:sz w:val="14"/>
                <w:szCs w:val="14"/>
              </w:rPr>
              <w:t xml:space="preserve">ACFE 2024 Report to the Nations</w:t>
            </w:r>
          </w:p>
        </w:tc>
      </w:tr>
      <w:tr>
        <w:tc>
          <w:tcPr>
            <w:tcW w:type="dxa" w:w="546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color w:val="3D4F63"/>
                <w:sz w:val="16"/>
                <w:szCs w:val="16"/>
              </w:rPr>
              <w:t xml:space="preserve">State Auditor investigated 2,636 allegations of improper activity (Jan 2024–Oct 2025); substantiated findings exceeded $5M.</w:t>
            </w:r>
          </w:p>
        </w:tc>
        <w:tc>
          <w:tcPr>
            <w:tcW w:type="dxa" w:w="39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D92"/>
                <w:sz w:val="14"/>
                <w:szCs w:val="14"/>
              </w:rPr>
              <w:t xml:space="preserve">CA State Auditor Report I2025-1 (Dec 2025)</w:t>
            </w:r>
          </w:p>
        </w:tc>
      </w:tr>
    </w:tbl>
    <w:p>
      <w:pPr>
        <w:spacing w:before="20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aps/>
          <w:color w:val="0E7C6B"/>
          <w:sz w:val="17"/>
          <w:szCs w:val="17"/>
        </w:rPr>
        <w:t xml:space="preserve">2. How CASAER Addresses These Findings</w:t>
      </w:r>
    </w:p>
    <w:p>
      <w:pPr>
        <w:spacing w:before="60" w:after="100"/>
        <w:jc w:val="both"/>
      </w:pPr>
      <w:r>
        <w:rPr>
          <w:rFonts w:ascii="Arial" w:cs="Arial" w:eastAsia="Arial" w:hAnsi="Arial"/>
          <w:color w:val="3D4F63"/>
          <w:sz w:val="18"/>
          <w:szCs w:val="18"/>
        </w:rPr>
        <w:t xml:space="preserve">Rather than claiming specific dollar savings — which require post-deployment measurement — CASAER targets the </w:t>
      </w:r>
      <w:r>
        <w:rPr>
          <w:rFonts w:ascii="Arial" w:cs="Arial" w:eastAsia="Arial" w:hAnsi="Arial"/>
          <w:b/>
          <w:bCs/>
          <w:color w:val="0C1B2E"/>
          <w:sz w:val="18"/>
          <w:szCs w:val="18"/>
        </w:rPr>
        <w:t xml:space="preserve">root causes</w:t>
      </w:r>
      <w:r>
        <w:rPr>
          <w:rFonts w:ascii="Arial" w:cs="Arial" w:eastAsia="Arial" w:hAnsi="Arial"/>
          <w:color w:val="3D4F63"/>
          <w:sz w:val="18"/>
          <w:szCs w:val="18"/>
        </w:rPr>
        <w:t xml:space="preserve"> the ACFE and State Auditor have identified as enabling fraud and waste: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C0392B" w:sz="4"/>
              <w:right w:val="none" w:color="FFFFFF" w:sz="0"/>
            </w:tcBorders>
            <w:shd w:fill="0C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72B"/>
                <w:sz w:val="16"/>
                <w:szCs w:val="16"/>
              </w:rPr>
              <w:t xml:space="preserve">Root Cause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2B6CB0" w:sz="4"/>
              <w:right w:val="none" w:color="FFFFFF" w:sz="0"/>
            </w:tcBorders>
            <w:shd w:fill="0C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72B"/>
                <w:sz w:val="16"/>
                <w:szCs w:val="16"/>
              </w:rPr>
              <w:t xml:space="preserve">ACFE / Auditor Finding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0E7C6B" w:sz="4"/>
              <w:right w:val="none" w:color="FFFFFF" w:sz="0"/>
            </w:tcBorders>
            <w:shd w:fill="0C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5872B"/>
                <w:sz w:val="16"/>
                <w:szCs w:val="16"/>
              </w:rPr>
              <w:t xml:space="preserve">CASAER Response</w:t>
            </w:r>
          </w:p>
        </w:tc>
      </w:tr>
      <w:tr>
        <w:tc>
          <w:tcPr>
            <w:tcW w:type="dxa" w:w="31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D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B2E"/>
                <w:sz w:val="16"/>
                <w:szCs w:val="16"/>
              </w:rPr>
              <w:t xml:space="preserve">Inconsistent controls across departments</w:t>
            </w:r>
          </w:p>
        </w:tc>
        <w:tc>
          <w:tcPr>
            <w:tcW w:type="dxa" w:w="31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63"/>
                <w:sz w:val="15"/>
                <w:szCs w:val="15"/>
              </w:rPr>
              <w:t xml:space="preserve">50%+ of frauds enabled by weak/inconsistent controls (ACFE 2024)</w:t>
            </w:r>
          </w:p>
        </w:tc>
        <w:tc>
          <w:tcPr>
            <w:tcW w:type="dxa" w:w="31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ED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63"/>
                <w:sz w:val="15"/>
                <w:szCs w:val="15"/>
              </w:rPr>
              <w:t xml:space="preserve">8 standardized enforcement pathways with built-in statute checklists ensure every audit follows the same rigorous framework</w:t>
            </w:r>
          </w:p>
        </w:tc>
      </w:tr>
      <w:tr>
        <w:tc>
          <w:tcPr>
            <w:tcW w:type="dxa" w:w="31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D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B2E"/>
                <w:sz w:val="16"/>
                <w:szCs w:val="16"/>
              </w:rPr>
              <w:t xml:space="preserve">Slow detection timelines</w:t>
            </w:r>
          </w:p>
        </w:tc>
        <w:tc>
          <w:tcPr>
            <w:tcW w:type="dxa" w:w="31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63"/>
                <w:sz w:val="15"/>
                <w:szCs w:val="15"/>
              </w:rPr>
              <w:t xml:space="preserve">Average fraud goes undetected 12 months (ACFE 2024); avg loss $9,900/month</w:t>
            </w:r>
          </w:p>
        </w:tc>
        <w:tc>
          <w:tcPr>
            <w:tcW w:type="dxa" w:w="31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ED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63"/>
                <w:sz w:val="15"/>
                <w:szCs w:val="15"/>
              </w:rPr>
              <w:t xml:space="preserve">Automated Benford’s Law, anomaly detection, and variance analysis run in seconds on uploaded data</w:t>
            </w:r>
          </w:p>
        </w:tc>
      </w:tr>
      <w:tr>
        <w:tc>
          <w:tcPr>
            <w:tcW w:type="dxa" w:w="31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D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B2E"/>
                <w:sz w:val="16"/>
                <w:szCs w:val="16"/>
              </w:rPr>
              <w:t xml:space="preserve">Knowledge loss from staff turnover</w:t>
            </w:r>
          </w:p>
        </w:tc>
        <w:tc>
          <w:tcPr>
            <w:tcW w:type="dxa" w:w="31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63"/>
                <w:sz w:val="15"/>
                <w:szCs w:val="15"/>
              </w:rPr>
              <w:t xml:space="preserve">20% statewide vacancy rate; 47,920 vacant positions (LAO 2024)</w:t>
            </w:r>
          </w:p>
        </w:tc>
        <w:tc>
          <w:tcPr>
            <w:tcW w:type="dxa" w:w="31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ED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63"/>
                <w:sz w:val="15"/>
                <w:szCs w:val="15"/>
              </w:rPr>
              <w:t xml:space="preserve">Enforcement pathways capture investigative logic in reusable templates; new auditors get structured guidance from day one</w:t>
            </w:r>
          </w:p>
        </w:tc>
      </w:tr>
      <w:tr>
        <w:tc>
          <w:tcPr>
            <w:tcW w:type="dxa" w:w="31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D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B2E"/>
                <w:sz w:val="16"/>
                <w:szCs w:val="16"/>
              </w:rPr>
              <w:t xml:space="preserve">Late financial reporting</w:t>
            </w:r>
          </w:p>
        </w:tc>
        <w:tc>
          <w:tcPr>
            <w:tcW w:type="dxa" w:w="31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63"/>
                <w:sz w:val="15"/>
                <w:szCs w:val="15"/>
              </w:rPr>
              <w:t xml:space="preserve">State financial statements late every year since FY 2017–18 (Auditor 2025-601)</w:t>
            </w:r>
          </w:p>
        </w:tc>
        <w:tc>
          <w:tcPr>
            <w:tcW w:type="dxa" w:w="31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ED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63"/>
                <w:sz w:val="15"/>
                <w:szCs w:val="15"/>
              </w:rPr>
              <w:t xml:space="preserve">One-click report generation with pre-populated citations, evidence chains, and legislative formatting</w:t>
            </w:r>
          </w:p>
        </w:tc>
      </w:tr>
      <w:tr>
        <w:tc>
          <w:tcPr>
            <w:tcW w:type="dxa" w:w="31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D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1B2E"/>
                <w:sz w:val="16"/>
                <w:szCs w:val="16"/>
              </w:rPr>
              <w:t xml:space="preserve">Manual investigation bottleneck</w:t>
            </w:r>
          </w:p>
        </w:tc>
        <w:tc>
          <w:tcPr>
            <w:tcW w:type="dxa" w:w="31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63"/>
                <w:sz w:val="15"/>
                <w:szCs w:val="15"/>
              </w:rPr>
              <w:t xml:space="preserve">2,636 allegations; only 72 fully investigated (Auditor I2025-1)</w:t>
            </w:r>
          </w:p>
        </w:tc>
        <w:tc>
          <w:tcPr>
            <w:tcW w:type="dxa" w:w="312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EDF7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D4F63"/>
                <w:sz w:val="15"/>
                <w:szCs w:val="15"/>
              </w:rPr>
              <w:t xml:space="preserve">Automated scoping and pathway identification accelerates initial case assessment from weeks to days</w:t>
            </w:r>
          </w:p>
        </w:tc>
      </w:tr>
    </w:tbl>
    <w:p>
      <w:pPr>
        <w:spacing w:before="20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aps/>
          <w:color w:val="0E7C6B"/>
          <w:sz w:val="17"/>
          <w:szCs w:val="17"/>
        </w:rPr>
        <w:t xml:space="preserve">3. Measurable Value Framework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3D4F63"/>
          <w:sz w:val="18"/>
          <w:szCs w:val="18"/>
        </w:rPr>
        <w:t xml:space="preserve">The following value estimates use conservative assumptions grounded in published data. Actual impact should be measured during the pilot phase (Month 1–3) and validated before scaling.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600"/>
        <w:gridCol w:w="208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B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5872B"/>
                <w:sz w:val="15"/>
                <w:szCs w:val="15"/>
              </w:rPr>
              <w:t xml:space="preserve">Value Driver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B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5872B"/>
                <w:sz w:val="15"/>
                <w:szCs w:val="15"/>
              </w:rPr>
              <w:t xml:space="preserve">Assumption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B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5872B"/>
                <w:sz w:val="15"/>
                <w:szCs w:val="15"/>
              </w:rPr>
              <w:t xml:space="preserve">Estimated Range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B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5872B"/>
                <w:sz w:val="15"/>
                <w:szCs w:val="15"/>
              </w:rPr>
              <w:t xml:space="preserve">How to Validate</w:t>
            </w:r>
          </w:p>
        </w:tc>
      </w:tr>
      <w:tr>
        <w:tc>
          <w:tcPr>
            <w:tcW w:type="dxa" w:w="23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1B2E"/>
                <w:sz w:val="15"/>
                <w:szCs w:val="15"/>
              </w:rPr>
              <w:t xml:space="preserve">Audit cycle time reduction</w:t>
            </w:r>
          </w:p>
        </w:tc>
        <w:tc>
          <w:tcPr>
            <w:tcW w:type="dxa" w:w="26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4F63"/>
                <w:sz w:val="14"/>
                <w:szCs w:val="14"/>
              </w:rPr>
              <w:t xml:space="preserve">If CASAER reduces scoping/research by 30–50% for ~110 auditors at avg $120K loaded cost</w:t>
            </w:r>
          </w:p>
        </w:tc>
        <w:tc>
          <w:tcPr>
            <w:tcW w:type="dxa" w:w="208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6B"/>
                <w:sz w:val="14"/>
                <w:szCs w:val="14"/>
              </w:rPr>
              <w:t xml:space="preserve">$1.8M–$3.3M /yr in staff-hour reallocation</w:t>
            </w:r>
          </w:p>
        </w:tc>
        <w:tc>
          <w:tcPr>
            <w:tcW w:type="dxa" w:w="23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D92"/>
                <w:sz w:val="14"/>
                <w:szCs w:val="14"/>
              </w:rPr>
              <w:t xml:space="preserve">Track hours per audit phase during pilot vs. historical baseline</w:t>
            </w:r>
          </w:p>
        </w:tc>
      </w:tr>
      <w:tr>
        <w:tc>
          <w:tcPr>
            <w:tcW w:type="dxa" w:w="23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1B2E"/>
                <w:sz w:val="15"/>
                <w:szCs w:val="15"/>
              </w:rPr>
              <w:t xml:space="preserve">Faster fraud detection</w:t>
            </w:r>
          </w:p>
        </w:tc>
        <w:tc>
          <w:tcPr>
            <w:tcW w:type="dxa" w:w="26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4F63"/>
                <w:sz w:val="14"/>
                <w:szCs w:val="14"/>
              </w:rPr>
              <w:t xml:space="preserve">If statistical tools shorten detection by even 2 months (from 12-month avg), at $9,900/mo avg loss per case</w:t>
            </w:r>
          </w:p>
        </w:tc>
        <w:tc>
          <w:tcPr>
            <w:tcW w:type="dxa" w:w="208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6B"/>
                <w:sz w:val="14"/>
                <w:szCs w:val="14"/>
              </w:rPr>
              <w:t xml:space="preserve">Depends on case volume; $19,800 saved per case detected earlier</w:t>
            </w:r>
          </w:p>
        </w:tc>
        <w:tc>
          <w:tcPr>
            <w:tcW w:type="dxa" w:w="23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D92"/>
                <w:sz w:val="14"/>
                <w:szCs w:val="14"/>
              </w:rPr>
              <w:t xml:space="preserve">Compare detection timeline for CASAER-assisted vs. non-assisted audits</w:t>
            </w:r>
          </w:p>
        </w:tc>
      </w:tr>
      <w:tr>
        <w:tc>
          <w:tcPr>
            <w:tcW w:type="dxa" w:w="23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1B2E"/>
                <w:sz w:val="15"/>
                <w:szCs w:val="15"/>
              </w:rPr>
              <w:t xml:space="preserve">Report consistency and compliance</w:t>
            </w:r>
          </w:p>
        </w:tc>
        <w:tc>
          <w:tcPr>
            <w:tcW w:type="dxa" w:w="26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4F63"/>
                <w:sz w:val="14"/>
                <w:szCs w:val="14"/>
              </w:rPr>
              <w:t xml:space="preserve">Reduced rework and late submissions; CA financial statements late every year since FY 2017–18</w:t>
            </w:r>
          </w:p>
        </w:tc>
        <w:tc>
          <w:tcPr>
            <w:tcW w:type="dxa" w:w="208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6B"/>
                <w:sz w:val="14"/>
                <w:szCs w:val="14"/>
              </w:rPr>
              <w:t xml:space="preserve">Qualitative until measured; reduces risk of credit rating impact</w:t>
            </w:r>
          </w:p>
        </w:tc>
        <w:tc>
          <w:tcPr>
            <w:tcW w:type="dxa" w:w="23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D92"/>
                <w:sz w:val="14"/>
                <w:szCs w:val="14"/>
              </w:rPr>
              <w:t xml:space="preserve">Measure report completion time and revision cycles</w:t>
            </w:r>
          </w:p>
        </w:tc>
      </w:tr>
      <w:tr>
        <w:tc>
          <w:tcPr>
            <w:tcW w:type="dxa" w:w="23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1B2E"/>
                <w:sz w:val="15"/>
                <w:szCs w:val="15"/>
              </w:rPr>
              <w:t xml:space="preserve">New auditor ramp-up</w:t>
            </w:r>
          </w:p>
        </w:tc>
        <w:tc>
          <w:tcPr>
            <w:tcW w:type="dxa" w:w="26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4F63"/>
                <w:sz w:val="14"/>
                <w:szCs w:val="14"/>
              </w:rPr>
              <w:t xml:space="preserve">Reducing onboarding from ~6 months to ~6 weeks for 20% annual turnover (~22 positions)</w:t>
            </w:r>
          </w:p>
        </w:tc>
        <w:tc>
          <w:tcPr>
            <w:tcW w:type="dxa" w:w="208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6B"/>
                <w:sz w:val="14"/>
                <w:szCs w:val="14"/>
              </w:rPr>
              <w:t xml:space="preserve">~$440K /yr in accelerated productivity</w:t>
            </w:r>
          </w:p>
        </w:tc>
        <w:tc>
          <w:tcPr>
            <w:tcW w:type="dxa" w:w="23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D92"/>
                <w:sz w:val="14"/>
                <w:szCs w:val="14"/>
              </w:rPr>
              <w:t xml:space="preserve">Survey new hire time-to-first-independent-audit</w:t>
            </w:r>
          </w:p>
        </w:tc>
      </w:tr>
      <w:tr>
        <w:tc>
          <w:tcPr>
            <w:tcW w:type="dxa" w:w="23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1B2E"/>
                <w:sz w:val="15"/>
                <w:szCs w:val="15"/>
              </w:rPr>
              <w:t xml:space="preserve">Investigation throughput</w:t>
            </w:r>
          </w:p>
        </w:tc>
        <w:tc>
          <w:tcPr>
            <w:tcW w:type="dxa" w:w="260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D4F63"/>
                <w:sz w:val="14"/>
                <w:szCs w:val="14"/>
              </w:rPr>
              <w:t xml:space="preserve">Currently 72 of 2,636 cases fully investigated (2.7%); faster scoping could increase throughput</w:t>
            </w:r>
          </w:p>
        </w:tc>
        <w:tc>
          <w:tcPr>
            <w:tcW w:type="dxa" w:w="208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6B"/>
                <w:sz w:val="14"/>
                <w:szCs w:val="14"/>
              </w:rPr>
              <w:t xml:space="preserve">Each additional investigation is a potential waste recovery</w:t>
            </w:r>
          </w:p>
        </w:tc>
        <w:tc>
          <w:tcPr>
            <w:tcW w:type="dxa" w:w="2340"/>
            <w:tcBorders>
              <w:top w:val="single" w:color="D8D2C8" w:sz="1"/>
              <w:left w:val="single" w:color="D8D2C8" w:sz="1"/>
              <w:bottom w:val="single" w:color="D8D2C8" w:sz="1"/>
              <w:right w:val="single" w:color="D8D2C8" w:sz="1"/>
            </w:tcBorders>
            <w:shd w:fill="FAF8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B7D92"/>
                <w:sz w:val="14"/>
                <w:szCs w:val="14"/>
              </w:rPr>
              <w:t xml:space="preserve">Track cases scoped per auditor per quarter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1B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5872B"/>
                <w:sz w:val="22"/>
                <w:szCs w:val="22"/>
              </w:rPr>
              <w:t xml:space="preserve">Conservative Estimated Annual Value: $2.2M–$3.7M+ </w:t>
            </w:r>
            <w:r>
              <w:rPr>
                <w:rFonts w:ascii="Arial" w:cs="Arial" w:eastAsia="Arial" w:hAnsi="Arial"/>
                <w:color w:val="CBD5E1"/>
                <w:sz w:val="17"/>
                <w:szCs w:val="17"/>
              </w:rPr>
              <w:t xml:space="preserve">in quantifiable staff-hour reallocation and accelerated productivity, before accounting for additional fraud and waste detection. These estimates are </w:t>
            </w:r>
            <w:r>
              <w:rPr>
                <w:rFonts w:ascii="Arial" w:cs="Arial" w:eastAsia="Arial" w:hAnsi="Arial"/>
                <w:b/>
                <w:bCs/>
                <w:color w:val="B5872B"/>
                <w:sz w:val="17"/>
                <w:szCs w:val="17"/>
              </w:rPr>
              <w:t xml:space="preserve">assumptions to be validated during pilot</w:t>
            </w:r>
            <w:r>
              <w:rPr>
                <w:rFonts w:ascii="Arial" w:cs="Arial" w:eastAsia="Arial" w:hAnsi="Arial"/>
                <w:color w:val="CBD5E1"/>
                <w:sz w:val="17"/>
                <w:szCs w:val="17"/>
              </w:rPr>
              <w:t xml:space="preserve">, not guaranteed outcomes.</w:t>
            </w:r>
          </w:p>
        </w:tc>
      </w:tr>
    </w:tbl>
    <w:p>
      <w:pPr>
        <w:spacing w:before="20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aps/>
          <w:color w:val="0E7C6B"/>
          <w:sz w:val="17"/>
          <w:szCs w:val="17"/>
        </w:rPr>
        <w:t xml:space="preserve">4. Source Documents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D4F63"/>
          <w:sz w:val="15"/>
          <w:szCs w:val="15"/>
        </w:rPr>
        <w:t xml:space="preserve">[1] CA State Auditor, Report 2025-601: State High-Risk Audit Program (December 2025) — auditor.ca.gov/reports/2025-601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D4F63"/>
          <w:sz w:val="15"/>
          <w:szCs w:val="15"/>
        </w:rPr>
        <w:t xml:space="preserve">[2] CA State Auditor, Report I2025-1: Investigations of Improper Activities by State Agencies (December 2025) — auditor.ca.gov/reports/i2025-1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D4F63"/>
          <w:sz w:val="15"/>
          <w:szCs w:val="15"/>
        </w:rPr>
        <w:t xml:space="preserve">[3] CA State Auditor, Report 2020-628.2: EDD Fraud Prevention (January 2021) — auditor.ca.gov/reports/2020-628.2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D4F63"/>
          <w:sz w:val="15"/>
          <w:szCs w:val="15"/>
        </w:rPr>
        <w:t xml:space="preserve">[4] CA State Auditor, Report 2024-001.1: State of California Financial Report FY 2023–24 (September 2025) — auditor.ca.gov/reports/2024-001-1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D4F63"/>
          <w:sz w:val="15"/>
          <w:szCs w:val="15"/>
        </w:rPr>
        <w:t xml:space="preserve">[5] ACFE, Occupational Fraud 2024: A Report to the Nations (March 2024) — acfe.com/RTTN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D4F63"/>
          <w:sz w:val="15"/>
          <w:szCs w:val="15"/>
        </w:rPr>
        <w:t xml:space="preserve">[6] CA Legislative Analyst’s Office, 2024-25 Budget: State Employee Compensation (2024) — lao.ca.gov/Publications/Report/4888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D4F63"/>
          <w:sz w:val="15"/>
          <w:szCs w:val="15"/>
        </w:rPr>
        <w:t xml:space="preserve">[7] U.S. Senate Finance Committee, Crapo-Cassidy letter on CA UI fraud (May 2024) — finance.senate.gov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D4F63"/>
          <w:sz w:val="15"/>
          <w:szCs w:val="15"/>
        </w:rPr>
        <w:t xml:space="preserve">[8] Ballotpedia, CA State Auditor FY 2024-25 Budget: $51,373,000 (Dept. 8855) — ballotpedia.org/California_State_Auditor</w:t>
      </w:r>
    </w:p>
    <w:sectPr>
      <w:headerReference w:type="default" r:id="rId8"/>
      <w:footerReference w:type="default" r:id="rId9"/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5872B" w:sz="2" w:space="4"/>
      </w:pBdr>
      <w:spacing w:before="60"/>
      <w:jc w:val="center"/>
    </w:pPr>
    <w:r>
      <w:rPr>
        <w:rFonts w:ascii="Arial" w:cs="Arial" w:eastAsia="Arial" w:hAnsi="Arial"/>
        <w:color w:val="6B7D92"/>
        <w:sz w:val="13"/>
        <w:szCs w:val="13"/>
      </w:rPr>
      <w:t xml:space="preserve">California State Auditor’s Office  |  621 Capitol Mall, Suite 1200, Sacramento, CA 95814  |  916-445-0255  |  Confidential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5872B" w:sz="2" w:space="4"/>
      </w:pBdr>
      <w:spacing w:before="60"/>
      <w:jc w:val="center"/>
    </w:pPr>
    <w:r>
      <w:rPr>
        <w:rFonts w:ascii="Arial" w:cs="Arial" w:eastAsia="Arial" w:hAnsi="Arial"/>
        <w:color w:val="6B7D92"/>
        <w:sz w:val="13"/>
        <w:szCs w:val="13"/>
      </w:rPr>
      <w:t xml:space="preserve">California State Auditor’s Office  |  621 Capitol Mall, Suite 1200, Sacramento, CA 95814  |  916-445-0255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none" w:color="FFFFFF" w:sz="0"/>
            <w:left w:val="none" w:color="FFFFFF" w:sz="0"/>
            <w:bottom w:val="single" w:color="B5872B" w:sz="8"/>
            <w:right w:val="none" w:color="FFFFFF" w:sz="0"/>
          </w:tcBorders>
          <w:shd w:fill="0C1B2E" w:val="clear"/>
          <w:tcMar>
            <w:top w:type="dxa" w:w="60"/>
            <w:left w:type="dxa" w:w="160"/>
            <w:bottom w:type="dxa" w:w="6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B5872B"/>
              <w:sz w:val="18"/>
              <w:szCs w:val="18"/>
            </w:rPr>
            <w:t xml:space="preserve">CASAER</w:t>
          </w:r>
          <w:r>
            <w:rPr>
              <w:rFonts w:ascii="Arial" w:cs="Arial" w:eastAsia="Arial" w:hAnsi="Arial"/>
              <w:color w:val="94A3B8"/>
              <w:sz w:val="14"/>
              <w:szCs w:val="14"/>
            </w:rPr>
            <w:t xml:space="preserve">   CA State Auditing Enforcement Reports  |  Executive Office Brief  |  v3.0  |  February 2026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none" w:color="FFFFFF" w:sz="0"/>
            <w:left w:val="none" w:color="FFFFFF" w:sz="0"/>
            <w:bottom w:val="single" w:color="B5872B" w:sz="8"/>
            <w:right w:val="none" w:color="FFFFFF" w:sz="0"/>
          </w:tcBorders>
          <w:shd w:fill="0C1B2E" w:val="clear"/>
          <w:tcMar>
            <w:top w:type="dxa" w:w="60"/>
            <w:left w:type="dxa" w:w="160"/>
            <w:bottom w:type="dxa" w:w="6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B5872B"/>
              <w:sz w:val="18"/>
              <w:szCs w:val="18"/>
            </w:rPr>
            <w:t xml:space="preserve">CASAER</w:t>
          </w:r>
          <w:r>
            <w:rPr>
              <w:rFonts w:ascii="Arial" w:cs="Arial" w:eastAsia="Arial" w:hAnsi="Arial"/>
              <w:color w:val="94A3B8"/>
              <w:sz w:val="14"/>
              <w:szCs w:val="14"/>
            </w:rPr>
            <w:t xml:space="preserve">   Value Analysis  |  Sourced Data  |  February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80"/>
      <w:outlineLvl w:val="0"/>
    </w:pPr>
    <w:rPr>
      <w:rFonts w:ascii="Arial" w:cs="Arial" w:eastAsia="Arial" w:hAnsi="Arial"/>
      <w:b/>
      <w:bCs/>
      <w:color w:val="0C1B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0E7C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2026-02-12T20:10:28.631Z</dcterms:created>
  <dcterms:modified xsi:type="dcterms:W3CDTF">2026-02-12T20:10:28.632Z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