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440"/>
      </w:pPr>
    </w:p>
    <w:p>
      <w:pPr>
        <w:pStyle w:val="Title"/>
      </w:pPr>
      <w:r>
        <w:t xml:space="preserve">California Dealer Logistics Syndicate</w:t>
      </w:r>
    </w:p>
    <w:p>
      <w:pPr>
        <w:pStyle w:val="subtitle"/>
      </w:pPr>
      <w:r>
        <w:t xml:space="preserve">Private Equity Infrastructure Investment Memorandum</w:t>
      </w:r>
    </w:p>
    <w:p>
      <w:pPr>
        <w:spacing w:after="720"/>
      </w:pPr>
    </w:p>
    <w:p>
      <w:pPr>
        <w:spacing w:after="120"/>
        <w:jc w:val="center"/>
      </w:pPr>
      <w:r>
        <w:rPr>
          <w:b/>
          <w:bCs/>
          <w:sz w:val="28"/>
          <w:szCs w:val="28"/>
        </w:rPr>
        <w:t xml:space="preserve">CONFIDENTIAL</w:t>
      </w:r>
    </w:p>
    <w:p>
      <w:pPr>
        <w:spacing w:after="60"/>
        <w:jc w:val="center"/>
      </w:pPr>
      <w:r>
        <w:rPr>
          <w:i/>
          <w:iCs/>
          <w:sz w:val="24"/>
          <w:szCs w:val="24"/>
        </w:rPr>
        <w:t xml:space="preserve">Prepared for Institutional Investors</w:t>
      </w:r>
    </w:p>
    <w:p>
      <w:pPr>
        <w:spacing w:after="1440"/>
        <w:jc w:val="center"/>
      </w:pPr>
      <w:r>
        <w:rPr>
          <w:sz w:val="24"/>
          <w:szCs w:val="24"/>
        </w:rPr>
        <w:t xml:space="preserve">December 2024</w:t>
      </w:r>
    </w:p>
    <w:p>
      <w:pPr>
        <w:spacing w:before="720" w:after="240"/>
        <w:jc w:val="both"/>
      </w:pPr>
      <w:r>
        <w:rPr>
          <w:i/>
          <w:iCs/>
          <w:sz w:val="18"/>
          <w:szCs w:val="18"/>
        </w:rPr>
        <w:t xml:space="preserve">This Investment Memorandum contains confidential and proprietary information. By accepting this document, you agree to keep all information contained herein strictly confidential. This document is for discussion purposes only and does not constitute an offer to sell or a solicitation of an offer to buy securities. Any such offer will be made only through formal offering documents.</w:t>
      </w:r>
    </w:p>
    <w:p>
      <w:r>
        <w:br w:type="page"/>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pPr>
      <w:r>
        <w:t xml:space="preserve">I. Executive Summary</w:t>
      </w:r>
    </w:p>
    <w:p>
      <w:pPr>
        <w:pStyle w:val="Heading2"/>
      </w:pPr>
      <w:r>
        <w:t xml:space="preserve">Investment Overview</w:t>
      </w:r>
    </w:p>
    <w:p>
      <w:pPr>
        <w:spacing w:after="180"/>
        <w:jc w:val="both"/>
      </w:pPr>
      <w:r>
        <w:t xml:space="preserve">The California Dealer Logistics Syndicate represents a unique opportunity to invest in essential transportation infrastructure serving California's $1.0-1.2 billion annual automotive logistics market. This first institutional fund combines proven vertical integration strategies from Carvana and CarMax with the unprecedented scale of California's organized dealer network through the California New Car Dealers Association (CNCDA).</w:t>
      </w:r>
    </w:p>
    <w:p>
      <w:pPr>
        <w:spacing w:after="240"/>
        <w:jc w:val="both"/>
      </w:pPr>
      <w:r>
        <w:t xml:space="preserve">As an emerging manager opportunity, the Syndicate qualifies for CalPERS' private equity infrastructure allocation while delivering compelling risk-adjusted returns through a proven business model with established comparable precedents.</w:t>
      </w:r>
    </w:p>
    <w:p>
      <w:pPr>
        <w:pStyle w:val="Heading2"/>
      </w:pPr>
      <w:r>
        <w:t xml:space="preserve">Investment Thesis</w:t>
      </w:r>
    </w:p>
    <w:p>
      <w:pPr>
        <w:spacing w:after="120"/>
      </w:pPr>
      <w:r>
        <w:t xml:space="preserve">The investment thesis rests on four pillars:</w:t>
      </w:r>
    </w:p>
    <w:p>
      <w:pPr>
        <w:pStyle w:val="ListParagraph"/>
        <w:numPr>
          <w:ilvl w:val="0"/>
          <w:numId w:val="2"/>
        </w:numPr>
      </w:pPr>
      <w:r>
        <w:rPr>
          <w:b/>
          <w:bCs/>
        </w:rPr>
        <w:t xml:space="preserve">Market Inefficiency: </w:t>
      </w:r>
      <w:r>
        <w:t xml:space="preserve">California dealers currently pay $1.20-$2.50 per mile to third-party brokers with zero ownership stake, creating a $300-600M annual cost savings opportunity through vertical integration.</w:t>
      </w:r>
    </w:p>
    <w:p>
      <w:pPr>
        <w:pStyle w:val="ListParagraph"/>
        <w:numPr>
          <w:ilvl w:val="0"/>
          <w:numId w:val="2"/>
        </w:numPr>
      </w:pPr>
      <w:r>
        <w:rPr>
          <w:b/>
          <w:bCs/>
        </w:rPr>
        <w:t xml:space="preserve">Proven Model: </w:t>
      </w:r>
      <w:r>
        <w:t xml:space="preserve">Carvana achieved 50% cost reduction ($400→$200 per vehicle) and CarMax demonstrated 40-45% savings through ownership of logistics infrastructure, validating the economic model.</w:t>
      </w:r>
    </w:p>
    <w:p>
      <w:pPr>
        <w:pStyle w:val="ListParagraph"/>
        <w:numPr>
          <w:ilvl w:val="0"/>
          <w:numId w:val="2"/>
        </w:numPr>
      </w:pPr>
      <w:r>
        <w:rPr>
          <w:b/>
          <w:bCs/>
        </w:rPr>
        <w:t xml:space="preserve">Unique Scale Advantage: </w:t>
      </w:r>
      <w:r>
        <w:t xml:space="preserve">1,200+ CNCDA member dealerships provide immediate critical mass and network effects that no competitor can replicate, with transportation volumes reaching 2.5-3.0 million vehicles annually.</w:t>
      </w:r>
    </w:p>
    <w:p>
      <w:pPr>
        <w:pStyle w:val="ListParagraph"/>
        <w:numPr>
          <w:ilvl w:val="0"/>
          <w:numId w:val="2"/>
        </w:numPr>
        <w:spacing w:after="240"/>
      </w:pPr>
      <w:r>
        <w:rPr>
          <w:b/>
          <w:bCs/>
        </w:rPr>
        <w:t xml:space="preserve">Regulatory Moat: </w:t>
      </w:r>
      <w:r>
        <w:t xml:space="preserve">California's complex CARB compliance requirements, Clean Truck Check mandates, and Advanced Clean Fleets regulations create high barriers to entry that protect market position.</w:t>
      </w:r>
    </w:p>
    <w:p>
      <w:pPr>
        <w:pStyle w:val="Heading2"/>
      </w:pPr>
      <w:r>
        <w:t xml:space="preserve">Key Investment Highlights</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100"/>
          <w:left w:type="dxa" w:w="180"/>
          <w:bottom w:type="dxa" w:w="100"/>
          <w:right w:type="dxa" w:w="180"/>
        </w:tblCellMar>
      </w:tblPr>
      <w:tblGrid>
        <w:gridCol w:w="3120"/>
        <w:gridCol w:w="6240"/>
      </w:tblGrid>
      <w:tr>
        <w:trPr>
          <w:tblHeader/>
        </w:trPr>
        <w:tc>
          <w:tcPr>
            <w:tcW w:type="dxa" w:w="3120"/>
            <w:tcBorders>
              <w:top w:val="single" w:color="CCCCCC" w:sz="1"/>
              <w:left w:val="single" w:color="CCCCCC" w:sz="1"/>
              <w:bottom w:val="single" w:color="CCCCCC" w:sz="1"/>
              <w:right w:val="single" w:color="CCCCCC" w:sz="1"/>
            </w:tcBorders>
            <w:shd w:fill="1F4E78" w:val="clear"/>
          </w:tcPr>
          <w:p>
            <w:pPr>
              <w:jc w:val="center"/>
            </w:pPr>
            <w:r>
              <w:rPr>
                <w:b/>
                <w:bCs/>
                <w:color w:val="FFFFFF"/>
                <w:sz w:val="22"/>
                <w:szCs w:val="22"/>
              </w:rPr>
              <w:t xml:space="preserve">Metric</w:t>
            </w:r>
          </w:p>
        </w:tc>
        <w:tc>
          <w:tcPr>
            <w:tcW w:type="dxa" w:w="6240"/>
            <w:tcBorders>
              <w:top w:val="single" w:color="CCCCCC" w:sz="1"/>
              <w:left w:val="single" w:color="CCCCCC" w:sz="1"/>
              <w:bottom w:val="single" w:color="CCCCCC" w:sz="1"/>
              <w:right w:val="single" w:color="CCCCCC" w:sz="1"/>
            </w:tcBorders>
            <w:shd w:fill="1F4E78" w:val="clear"/>
          </w:tcPr>
          <w:p>
            <w:pPr>
              <w:jc w:val="center"/>
            </w:pPr>
            <w:r>
              <w:rPr>
                <w:b/>
                <w:bCs/>
                <w:color w:val="FFFFFF"/>
                <w:sz w:val="22"/>
                <w:szCs w:val="22"/>
              </w:rPr>
              <w:t xml:space="preserve">Details</w:t>
            </w:r>
          </w:p>
        </w:tc>
      </w:tr>
      <w:tr>
        <w:tc>
          <w:tcPr>
            <w:tcW w:type="dxa" w:w="3120"/>
            <w:tcBorders>
              <w:top w:val="single" w:color="CCCCCC" w:sz="1"/>
              <w:left w:val="single" w:color="CCCCCC" w:sz="1"/>
              <w:bottom w:val="single" w:color="CCCCCC" w:sz="1"/>
              <w:right w:val="single" w:color="CCCCCC" w:sz="1"/>
            </w:tcBorders>
          </w:tcPr>
          <w:p>
            <w:r>
              <w:rPr>
                <w:b/>
                <w:bCs/>
              </w:rPr>
              <w:t xml:space="preserve">Asset Class</w:t>
            </w:r>
          </w:p>
        </w:tc>
        <w:tc>
          <w:tcPr>
            <w:tcW w:type="dxa" w:w="6240"/>
            <w:tcBorders>
              <w:top w:val="single" w:color="CCCCCC" w:sz="1"/>
              <w:left w:val="single" w:color="CCCCCC" w:sz="1"/>
              <w:bottom w:val="single" w:color="CCCCCC" w:sz="1"/>
              <w:right w:val="single" w:color="CCCCCC" w:sz="1"/>
            </w:tcBorders>
          </w:tcPr>
          <w:p>
            <w:r>
              <w:t xml:space="preserve">Private Equity - Infrastructure (Transportation &amp; Logistics)</w:t>
            </w:r>
          </w:p>
        </w:tc>
      </w:tr>
      <w:tr>
        <w:tc>
          <w:tcPr>
            <w:tcW w:type="dxa" w:w="3120"/>
            <w:tcBorders>
              <w:top w:val="single" w:color="CCCCCC" w:sz="1"/>
              <w:left w:val="single" w:color="CCCCCC" w:sz="1"/>
              <w:bottom w:val="single" w:color="CCCCCC" w:sz="1"/>
              <w:right w:val="single" w:color="CCCCCC" w:sz="1"/>
            </w:tcBorders>
          </w:tcPr>
          <w:p>
            <w:r>
              <w:rPr>
                <w:b/>
                <w:bCs/>
              </w:rPr>
              <w:t xml:space="preserve">Fund Classification</w:t>
            </w:r>
          </w:p>
        </w:tc>
        <w:tc>
          <w:tcPr>
            <w:tcW w:type="dxa" w:w="6240"/>
            <w:tcBorders>
              <w:top w:val="single" w:color="CCCCCC" w:sz="1"/>
              <w:left w:val="single" w:color="CCCCCC" w:sz="1"/>
              <w:bottom w:val="single" w:color="CCCCCC" w:sz="1"/>
              <w:right w:val="single" w:color="CCCCCC" w:sz="1"/>
            </w:tcBorders>
          </w:tcPr>
          <w:p>
            <w:r>
              <w:t xml:space="preserve">First Institutional Fund (Emerging Manager)</w:t>
            </w:r>
          </w:p>
        </w:tc>
      </w:tr>
      <w:tr>
        <w:tc>
          <w:tcPr>
            <w:tcW w:type="dxa" w:w="3120"/>
            <w:tcBorders>
              <w:top w:val="single" w:color="CCCCCC" w:sz="1"/>
              <w:left w:val="single" w:color="CCCCCC" w:sz="1"/>
              <w:bottom w:val="single" w:color="CCCCCC" w:sz="1"/>
              <w:right w:val="single" w:color="CCCCCC" w:sz="1"/>
            </w:tcBorders>
          </w:tcPr>
          <w:p>
            <w:r>
              <w:rPr>
                <w:b/>
                <w:bCs/>
              </w:rPr>
              <w:t xml:space="preserve">Target Fund Size</w:t>
            </w:r>
          </w:p>
        </w:tc>
        <w:tc>
          <w:tcPr>
            <w:tcW w:type="dxa" w:w="6240"/>
            <w:tcBorders>
              <w:top w:val="single" w:color="CCCCCC" w:sz="1"/>
              <w:left w:val="single" w:color="CCCCCC" w:sz="1"/>
              <w:bottom w:val="single" w:color="CCCCCC" w:sz="1"/>
              <w:right w:val="single" w:color="CCCCCC" w:sz="1"/>
            </w:tcBorders>
          </w:tcPr>
          <w:p>
            <w:r>
              <w:t xml:space="preserve">$10-15 million initial capitalization</w:t>
            </w:r>
          </w:p>
        </w:tc>
      </w:tr>
      <w:tr>
        <w:tc>
          <w:tcPr>
            <w:tcW w:type="dxa" w:w="3120"/>
            <w:tcBorders>
              <w:top w:val="single" w:color="CCCCCC" w:sz="1"/>
              <w:left w:val="single" w:color="CCCCCC" w:sz="1"/>
              <w:bottom w:val="single" w:color="CCCCCC" w:sz="1"/>
              <w:right w:val="single" w:color="CCCCCC" w:sz="1"/>
            </w:tcBorders>
          </w:tcPr>
          <w:p>
            <w:r>
              <w:rPr>
                <w:b/>
                <w:bCs/>
              </w:rPr>
              <w:t xml:space="preserve">Minimum Investment</w:t>
            </w:r>
          </w:p>
        </w:tc>
        <w:tc>
          <w:tcPr>
            <w:tcW w:type="dxa" w:w="6240"/>
            <w:tcBorders>
              <w:top w:val="single" w:color="CCCCCC" w:sz="1"/>
              <w:left w:val="single" w:color="CCCCCC" w:sz="1"/>
              <w:bottom w:val="single" w:color="CCCCCC" w:sz="1"/>
              <w:right w:val="single" w:color="CCCCCC" w:sz="1"/>
            </w:tcBorders>
          </w:tcPr>
          <w:p>
            <w:r>
              <w:t xml:space="preserve">$150,000 - $500,000 per limited partner</w:t>
            </w:r>
          </w:p>
        </w:tc>
      </w:tr>
      <w:tr>
        <w:tc>
          <w:tcPr>
            <w:tcW w:type="dxa" w:w="3120"/>
            <w:tcBorders>
              <w:top w:val="single" w:color="CCCCCC" w:sz="1"/>
              <w:left w:val="single" w:color="CCCCCC" w:sz="1"/>
              <w:bottom w:val="single" w:color="CCCCCC" w:sz="1"/>
              <w:right w:val="single" w:color="CCCCCC" w:sz="1"/>
            </w:tcBorders>
          </w:tcPr>
          <w:p>
            <w:r>
              <w:rPr>
                <w:b/>
                <w:bCs/>
              </w:rPr>
              <w:t xml:space="preserve">Target Returns</w:t>
            </w:r>
          </w:p>
        </w:tc>
        <w:tc>
          <w:tcPr>
            <w:tcW w:type="dxa" w:w="6240"/>
            <w:tcBorders>
              <w:top w:val="single" w:color="CCCCCC" w:sz="1"/>
              <w:left w:val="single" w:color="CCCCCC" w:sz="1"/>
              <w:bottom w:val="single" w:color="CCCCCC" w:sz="1"/>
              <w:right w:val="single" w:color="CCCCCC" w:sz="1"/>
            </w:tcBorders>
          </w:tcPr>
          <w:p>
            <w:r>
              <w:t xml:space="preserve">18-24% IRR (Net to LPs), 2.0-2.5x MOIC over 7 years</w:t>
            </w:r>
          </w:p>
        </w:tc>
      </w:tr>
      <w:tr>
        <w:tc>
          <w:tcPr>
            <w:tcW w:type="dxa" w:w="3120"/>
            <w:tcBorders>
              <w:top w:val="single" w:color="CCCCCC" w:sz="1"/>
              <w:left w:val="single" w:color="CCCCCC" w:sz="1"/>
              <w:bottom w:val="single" w:color="CCCCCC" w:sz="1"/>
              <w:right w:val="single" w:color="CCCCCC" w:sz="1"/>
            </w:tcBorders>
          </w:tcPr>
          <w:p>
            <w:r>
              <w:rPr>
                <w:b/>
                <w:bCs/>
              </w:rPr>
              <w:t xml:space="preserve">Investment Period</w:t>
            </w:r>
          </w:p>
        </w:tc>
        <w:tc>
          <w:tcPr>
            <w:tcW w:type="dxa" w:w="6240"/>
            <w:tcBorders>
              <w:top w:val="single" w:color="CCCCCC" w:sz="1"/>
              <w:left w:val="single" w:color="CCCCCC" w:sz="1"/>
              <w:bottom w:val="single" w:color="CCCCCC" w:sz="1"/>
              <w:right w:val="single" w:color="CCCCCC" w:sz="1"/>
            </w:tcBorders>
          </w:tcPr>
          <w:p>
            <w:r>
              <w:t xml:space="preserve">18 months (infrastructure buildout and market penetration)</w:t>
            </w:r>
          </w:p>
        </w:tc>
      </w:tr>
      <w:tr>
        <w:tc>
          <w:tcPr>
            <w:tcW w:type="dxa" w:w="3120"/>
            <w:tcBorders>
              <w:top w:val="single" w:color="CCCCCC" w:sz="1"/>
              <w:left w:val="single" w:color="CCCCCC" w:sz="1"/>
              <w:bottom w:val="single" w:color="CCCCCC" w:sz="1"/>
              <w:right w:val="single" w:color="CCCCCC" w:sz="1"/>
            </w:tcBorders>
          </w:tcPr>
          <w:p>
            <w:r>
              <w:rPr>
                <w:b/>
                <w:bCs/>
              </w:rPr>
              <w:t xml:space="preserve">Fund Term</w:t>
            </w:r>
          </w:p>
        </w:tc>
        <w:tc>
          <w:tcPr>
            <w:tcW w:type="dxa" w:w="6240"/>
            <w:tcBorders>
              <w:top w:val="single" w:color="CCCCCC" w:sz="1"/>
              <w:left w:val="single" w:color="CCCCCC" w:sz="1"/>
              <w:bottom w:val="single" w:color="CCCCCC" w:sz="1"/>
              <w:right w:val="single" w:color="CCCCCC" w:sz="1"/>
            </w:tcBorders>
          </w:tcPr>
          <w:p>
            <w:r>
              <w:t xml:space="preserve">7 years + 2-year extension option</w:t>
            </w:r>
          </w:p>
        </w:tc>
      </w:tr>
      <w:tr>
        <w:tc>
          <w:tcPr>
            <w:tcW w:type="dxa" w:w="3120"/>
            <w:tcBorders>
              <w:top w:val="single" w:color="CCCCCC" w:sz="1"/>
              <w:left w:val="single" w:color="CCCCCC" w:sz="1"/>
              <w:bottom w:val="single" w:color="CCCCCC" w:sz="1"/>
              <w:right w:val="single" w:color="CCCCCC" w:sz="1"/>
            </w:tcBorders>
          </w:tcPr>
          <w:p>
            <w:r>
              <w:rPr>
                <w:b/>
                <w:bCs/>
              </w:rPr>
              <w:t xml:space="preserve">Fee Structure</w:t>
            </w:r>
          </w:p>
        </w:tc>
        <w:tc>
          <w:tcPr>
            <w:tcW w:type="dxa" w:w="6240"/>
            <w:tcBorders>
              <w:top w:val="single" w:color="CCCCCC" w:sz="1"/>
              <w:left w:val="single" w:color="CCCCCC" w:sz="1"/>
              <w:bottom w:val="single" w:color="CCCCCC" w:sz="1"/>
              <w:right w:val="single" w:color="CCCCCC" w:sz="1"/>
            </w:tcBorders>
          </w:tcPr>
          <w:p>
            <w:r>
              <w:t xml:space="preserve">2% management fee, 20% carried interest (8% preferred return)</w:t>
            </w:r>
          </w:p>
        </w:tc>
      </w:tr>
      <w:tr>
        <w:tc>
          <w:tcPr>
            <w:tcW w:type="dxa" w:w="3120"/>
            <w:tcBorders>
              <w:top w:val="single" w:color="CCCCCC" w:sz="1"/>
              <w:left w:val="single" w:color="CCCCCC" w:sz="1"/>
              <w:bottom w:val="single" w:color="CCCCCC" w:sz="1"/>
              <w:right w:val="single" w:color="CCCCCC" w:sz="1"/>
            </w:tcBorders>
          </w:tcPr>
          <w:p>
            <w:r>
              <w:rPr>
                <w:b/>
                <w:bCs/>
              </w:rPr>
              <w:t xml:space="preserve">Geographic Focus</w:t>
            </w:r>
          </w:p>
        </w:tc>
        <w:tc>
          <w:tcPr>
            <w:tcW w:type="dxa" w:w="6240"/>
            <w:tcBorders>
              <w:top w:val="single" w:color="CCCCCC" w:sz="1"/>
              <w:left w:val="single" w:color="CCCCCC" w:sz="1"/>
              <w:bottom w:val="single" w:color="CCCCCC" w:sz="1"/>
              <w:right w:val="single" w:color="CCCCCC" w:sz="1"/>
            </w:tcBorders>
          </w:tcPr>
          <w:p>
            <w:r>
              <w:t xml:space="preserve">California (100% in-state operations)</w:t>
            </w:r>
          </w:p>
        </w:tc>
      </w:tr>
    </w:tbl>
    <w:p>
      <w:r>
        <w:br w:type="page"/>
      </w:r>
    </w:p>
    <w:p>
      <w:pPr>
        <w:pStyle w:val="Heading1"/>
      </w:pPr>
      <w:r>
        <w:t xml:space="preserve">II. Market Opportunity</w:t>
      </w:r>
    </w:p>
    <w:p>
      <w:pPr>
        <w:pStyle w:val="Heading2"/>
      </w:pPr>
      <w:r>
        <w:t xml:space="preserve">Total Addressable Market</w:t>
      </w:r>
    </w:p>
    <w:p>
      <w:pPr>
        <w:spacing w:after="180"/>
        <w:jc w:val="both"/>
      </w:pPr>
      <w:r>
        <w:t xml:space="preserve">California's automotive logistics market represents a substantial and underserved opportunity. With 1,200+ CNCDA member dealerships transporting an estimated 2.5-3.0 million vehicles annually, the total annual market expenditure reaches $1.0-1.2 billion based on current per-vehicle transport costs of $400.</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100"/>
          <w:left w:type="dxa" w:w="180"/>
          <w:bottom w:type="dxa" w:w="100"/>
          <w:right w:type="dxa" w:w="180"/>
        </w:tblCellMar>
      </w:tblPr>
      <w:tblGrid>
        <w:gridCol w:w="3900"/>
        <w:gridCol w:w="2730"/>
        <w:gridCol w:w="2730"/>
      </w:tblGrid>
      <w:tr>
        <w:trPr>
          <w:tblHeader/>
        </w:trPr>
        <w:tc>
          <w:tcPr>
            <w:tcW w:type="dxa" w:w="3900"/>
            <w:tcBorders>
              <w:top w:val="single" w:color="CCCCCC" w:sz="1"/>
              <w:left w:val="single" w:color="CCCCCC" w:sz="1"/>
              <w:bottom w:val="single" w:color="CCCCCC" w:sz="1"/>
              <w:right w:val="single" w:color="CCCCCC" w:sz="1"/>
            </w:tcBorders>
            <w:shd w:fill="D9E2F3" w:val="clear"/>
          </w:tcPr>
          <w:p>
            <w:pPr>
              <w:jc w:val="center"/>
            </w:pPr>
            <w:r>
              <w:rPr>
                <w:b/>
                <w:bCs/>
              </w:rPr>
              <w:t xml:space="preserve">Market Segment</w:t>
            </w:r>
          </w:p>
        </w:tc>
        <w:tc>
          <w:tcPr>
            <w:tcW w:type="dxa" w:w="2730"/>
            <w:tcBorders>
              <w:top w:val="single" w:color="CCCCCC" w:sz="1"/>
              <w:left w:val="single" w:color="CCCCCC" w:sz="1"/>
              <w:bottom w:val="single" w:color="CCCCCC" w:sz="1"/>
              <w:right w:val="single" w:color="CCCCCC" w:sz="1"/>
            </w:tcBorders>
            <w:shd w:fill="D9E2F3" w:val="clear"/>
          </w:tcPr>
          <w:p>
            <w:pPr>
              <w:jc w:val="center"/>
            </w:pPr>
            <w:r>
              <w:rPr>
                <w:b/>
                <w:bCs/>
              </w:rPr>
              <w:t xml:space="preserve">Annual Volume</w:t>
            </w:r>
          </w:p>
        </w:tc>
        <w:tc>
          <w:tcPr>
            <w:tcW w:type="dxa" w:w="2730"/>
            <w:tcBorders>
              <w:top w:val="single" w:color="CCCCCC" w:sz="1"/>
              <w:left w:val="single" w:color="CCCCCC" w:sz="1"/>
              <w:bottom w:val="single" w:color="CCCCCC" w:sz="1"/>
              <w:right w:val="single" w:color="CCCCCC" w:sz="1"/>
            </w:tcBorders>
            <w:shd w:fill="D9E2F3" w:val="clear"/>
          </w:tcPr>
          <w:p>
            <w:pPr>
              <w:jc w:val="center"/>
            </w:pPr>
            <w:r>
              <w:rPr>
                <w:b/>
                <w:bCs/>
              </w:rPr>
              <w:t xml:space="preserve">Market Value</w:t>
            </w:r>
          </w:p>
        </w:tc>
      </w:tr>
      <w:tr>
        <w:tc>
          <w:tcPr>
            <w:tcW w:type="dxa" w:w="3900"/>
            <w:tcBorders>
              <w:top w:val="single" w:color="CCCCCC" w:sz="1"/>
              <w:left w:val="single" w:color="CCCCCC" w:sz="1"/>
              <w:bottom w:val="single" w:color="CCCCCC" w:sz="1"/>
              <w:right w:val="single" w:color="CCCCCC" w:sz="1"/>
            </w:tcBorders>
          </w:tcPr>
          <w:p>
            <w:r>
              <w:t xml:space="preserve">Auction to Dealer Transport</w:t>
            </w:r>
          </w:p>
        </w:tc>
        <w:tc>
          <w:tcPr>
            <w:tcW w:type="dxa" w:w="2730"/>
            <w:tcBorders>
              <w:top w:val="single" w:color="CCCCCC" w:sz="1"/>
              <w:left w:val="single" w:color="CCCCCC" w:sz="1"/>
              <w:bottom w:val="single" w:color="CCCCCC" w:sz="1"/>
              <w:right w:val="single" w:color="CCCCCC" w:sz="1"/>
            </w:tcBorders>
          </w:tcPr>
          <w:p>
            <w:pPr>
              <w:jc w:val="right"/>
            </w:pPr>
            <w:r>
              <w:t xml:space="preserve">1,200,000</w:t>
            </w:r>
          </w:p>
        </w:tc>
        <w:tc>
          <w:tcPr>
            <w:tcW w:type="dxa" w:w="2730"/>
            <w:tcBorders>
              <w:top w:val="single" w:color="CCCCCC" w:sz="1"/>
              <w:left w:val="single" w:color="CCCCCC" w:sz="1"/>
              <w:bottom w:val="single" w:color="CCCCCC" w:sz="1"/>
              <w:right w:val="single" w:color="CCCCCC" w:sz="1"/>
            </w:tcBorders>
          </w:tcPr>
          <w:p>
            <w:pPr>
              <w:jc w:val="right"/>
            </w:pPr>
            <w:r>
              <w:t xml:space="preserve">$480M</w:t>
            </w:r>
          </w:p>
        </w:tc>
      </w:tr>
      <w:tr>
        <w:tc>
          <w:tcPr>
            <w:tcW w:type="dxa" w:w="3900"/>
            <w:tcBorders>
              <w:top w:val="single" w:color="CCCCCC" w:sz="1"/>
              <w:left w:val="single" w:color="CCCCCC" w:sz="1"/>
              <w:bottom w:val="single" w:color="CCCCCC" w:sz="1"/>
              <w:right w:val="single" w:color="CCCCCC" w:sz="1"/>
            </w:tcBorders>
          </w:tcPr>
          <w:p>
            <w:r>
              <w:t xml:space="preserve">Dealer-to-Dealer Transfers</w:t>
            </w:r>
          </w:p>
        </w:tc>
        <w:tc>
          <w:tcPr>
            <w:tcW w:type="dxa" w:w="2730"/>
            <w:tcBorders>
              <w:top w:val="single" w:color="CCCCCC" w:sz="1"/>
              <w:left w:val="single" w:color="CCCCCC" w:sz="1"/>
              <w:bottom w:val="single" w:color="CCCCCC" w:sz="1"/>
              <w:right w:val="single" w:color="CCCCCC" w:sz="1"/>
            </w:tcBorders>
          </w:tcPr>
          <w:p>
            <w:pPr>
              <w:jc w:val="right"/>
            </w:pPr>
            <w:r>
              <w:t xml:space="preserve">800,000</w:t>
            </w:r>
          </w:p>
        </w:tc>
        <w:tc>
          <w:tcPr>
            <w:tcW w:type="dxa" w:w="2730"/>
            <w:tcBorders>
              <w:top w:val="single" w:color="CCCCCC" w:sz="1"/>
              <w:left w:val="single" w:color="CCCCCC" w:sz="1"/>
              <w:bottom w:val="single" w:color="CCCCCC" w:sz="1"/>
              <w:right w:val="single" w:color="CCCCCC" w:sz="1"/>
            </w:tcBorders>
          </w:tcPr>
          <w:p>
            <w:pPr>
              <w:jc w:val="right"/>
            </w:pPr>
            <w:r>
              <w:t xml:space="preserve">$320M</w:t>
            </w:r>
          </w:p>
        </w:tc>
      </w:tr>
      <w:tr>
        <w:tc>
          <w:tcPr>
            <w:tcW w:type="dxa" w:w="3900"/>
            <w:tcBorders>
              <w:top w:val="single" w:color="CCCCCC" w:sz="1"/>
              <w:left w:val="single" w:color="CCCCCC" w:sz="1"/>
              <w:bottom w:val="single" w:color="CCCCCC" w:sz="1"/>
              <w:right w:val="single" w:color="CCCCCC" w:sz="1"/>
            </w:tcBorders>
          </w:tcPr>
          <w:p>
            <w:r>
              <w:t xml:space="preserve">Customer Home Delivery</w:t>
            </w:r>
          </w:p>
        </w:tc>
        <w:tc>
          <w:tcPr>
            <w:tcW w:type="dxa" w:w="2730"/>
            <w:tcBorders>
              <w:top w:val="single" w:color="CCCCCC" w:sz="1"/>
              <w:left w:val="single" w:color="CCCCCC" w:sz="1"/>
              <w:bottom w:val="single" w:color="CCCCCC" w:sz="1"/>
              <w:right w:val="single" w:color="CCCCCC" w:sz="1"/>
            </w:tcBorders>
          </w:tcPr>
          <w:p>
            <w:pPr>
              <w:jc w:val="right"/>
            </w:pPr>
            <w:r>
              <w:t xml:space="preserve">500,000</w:t>
            </w:r>
          </w:p>
        </w:tc>
        <w:tc>
          <w:tcPr>
            <w:tcW w:type="dxa" w:w="2730"/>
            <w:tcBorders>
              <w:top w:val="single" w:color="CCCCCC" w:sz="1"/>
              <w:left w:val="single" w:color="CCCCCC" w:sz="1"/>
              <w:bottom w:val="single" w:color="CCCCCC" w:sz="1"/>
              <w:right w:val="single" w:color="CCCCCC" w:sz="1"/>
            </w:tcBorders>
          </w:tcPr>
          <w:p>
            <w:pPr>
              <w:jc w:val="right"/>
            </w:pPr>
            <w:r>
              <w:t xml:space="preserve">$200M</w:t>
            </w:r>
          </w:p>
        </w:tc>
      </w:tr>
      <w:tr>
        <w:tc>
          <w:tcPr>
            <w:tcW w:type="dxa" w:w="3900"/>
            <w:tcBorders>
              <w:top w:val="single" w:color="CCCCCC" w:sz="1"/>
              <w:left w:val="single" w:color="CCCCCC" w:sz="1"/>
              <w:bottom w:val="single" w:color="CCCCCC" w:sz="1"/>
              <w:right w:val="single" w:color="CCCCCC" w:sz="1"/>
            </w:tcBorders>
          </w:tcPr>
          <w:p>
            <w:r>
              <w:rPr>
                <w:b/>
                <w:bCs/>
              </w:rPr>
              <w:t xml:space="preserve">Total Addressable Market</w:t>
            </w:r>
          </w:p>
        </w:tc>
        <w:tc>
          <w:tcPr>
            <w:tcW w:type="dxa" w:w="2730"/>
            <w:tcBorders>
              <w:top w:val="single" w:color="CCCCCC" w:sz="1"/>
              <w:left w:val="single" w:color="CCCCCC" w:sz="1"/>
              <w:bottom w:val="single" w:color="CCCCCC" w:sz="1"/>
              <w:right w:val="single" w:color="CCCCCC" w:sz="1"/>
            </w:tcBorders>
            <w:shd w:fill="FFF2CC" w:val="clear"/>
          </w:tcPr>
          <w:p>
            <w:pPr>
              <w:jc w:val="right"/>
            </w:pPr>
            <w:r>
              <w:rPr>
                <w:b/>
                <w:bCs/>
              </w:rPr>
              <w:t xml:space="preserve">2,500,000</w:t>
            </w:r>
          </w:p>
        </w:tc>
        <w:tc>
          <w:tcPr>
            <w:tcW w:type="dxa" w:w="2730"/>
            <w:tcBorders>
              <w:top w:val="single" w:color="CCCCCC" w:sz="1"/>
              <w:left w:val="single" w:color="CCCCCC" w:sz="1"/>
              <w:bottom w:val="single" w:color="CCCCCC" w:sz="1"/>
              <w:right w:val="single" w:color="CCCCCC" w:sz="1"/>
            </w:tcBorders>
            <w:shd w:fill="FFF2CC" w:val="clear"/>
          </w:tcPr>
          <w:p>
            <w:pPr>
              <w:jc w:val="right"/>
            </w:pPr>
            <w:r>
              <w:rPr>
                <w:b/>
                <w:bCs/>
              </w:rPr>
              <w:t xml:space="preserve">$1.0B</w:t>
            </w:r>
          </w:p>
        </w:tc>
      </w:tr>
    </w:tbl>
    <w:p>
      <w:pPr>
        <w:spacing w:after="240"/>
      </w:pPr>
    </w:p>
    <w:p>
      <w:pPr>
        <w:pStyle w:val="Heading2"/>
      </w:pPr>
      <w:r>
        <w:t xml:space="preserve">Current Market Inefficiencies</w:t>
      </w:r>
    </w:p>
    <w:p>
      <w:pPr>
        <w:spacing w:after="120"/>
        <w:jc w:val="both"/>
      </w:pPr>
      <w:r>
        <w:t xml:space="preserve">The existing third-party broker model creates multiple inefficiencies that the Syndicate will address:</w:t>
      </w:r>
    </w:p>
    <w:p>
      <w:pPr>
        <w:pStyle w:val="ListParagraph"/>
        <w:numPr>
          <w:ilvl w:val="0"/>
          <w:numId w:val="3"/>
        </w:numPr>
      </w:pPr>
      <w:r>
        <w:rPr>
          <w:b/>
          <w:bCs/>
        </w:rPr>
        <w:t xml:space="preserve">Premium Pricing: </w:t>
      </w:r>
      <w:r>
        <w:t xml:space="preserve">Dealers pay $1.20-$2.50 per mile ($400 average per vehicle) to third-party brokers who add 15-25% margins without providing ownership value to dealers.</w:t>
      </w:r>
    </w:p>
    <w:p>
      <w:pPr>
        <w:pStyle w:val="ListParagraph"/>
        <w:numPr>
          <w:ilvl w:val="0"/>
          <w:numId w:val="3"/>
        </w:numPr>
      </w:pPr>
      <w:r>
        <w:rPr>
          <w:b/>
          <w:bCs/>
        </w:rPr>
        <w:t xml:space="preserve">Capacity Constraints: </w:t>
      </w:r>
      <w:r>
        <w:t xml:space="preserve">During peak seasons, brokers prioritize higher-margin routes, leaving dealers without guaranteed capacity when they need it most.</w:t>
      </w:r>
    </w:p>
    <w:p>
      <w:pPr>
        <w:pStyle w:val="ListParagraph"/>
        <w:numPr>
          <w:ilvl w:val="0"/>
          <w:numId w:val="3"/>
        </w:numPr>
      </w:pPr>
      <w:r>
        <w:rPr>
          <w:b/>
          <w:bCs/>
        </w:rPr>
        <w:t xml:space="preserve">Service Variability: </w:t>
      </w:r>
      <w:r>
        <w:t xml:space="preserve">Quality and reliability vary significantly across different carriers contracted by brokers, creating unpredictable service levels.</w:t>
      </w:r>
    </w:p>
    <w:p>
      <w:pPr>
        <w:pStyle w:val="ListParagraph"/>
        <w:numPr>
          <w:ilvl w:val="0"/>
          <w:numId w:val="3"/>
        </w:numPr>
      </w:pPr>
      <w:r>
        <w:rPr>
          <w:b/>
          <w:bCs/>
        </w:rPr>
        <w:t xml:space="preserve">Administrative Burden: </w:t>
      </w:r>
      <w:r>
        <w:t xml:space="preserve">Each dealer manages CARB compliance, Clean Truck Check requirements, and carrier vetting independently, duplicating efforts across 1,200+ dealerships.</w:t>
      </w:r>
    </w:p>
    <w:p>
      <w:pPr>
        <w:pStyle w:val="ListParagraph"/>
        <w:numPr>
          <w:ilvl w:val="0"/>
          <w:numId w:val="3"/>
        </w:numPr>
        <w:spacing w:after="240"/>
      </w:pPr>
      <w:r>
        <w:rPr>
          <w:b/>
          <w:bCs/>
        </w:rPr>
        <w:t xml:space="preserve">Price Volatility: </w:t>
      </w:r>
      <w:r>
        <w:t xml:space="preserve">Spot market pricing creates unpredictable costs, with rates spiking 40-60% during peak seasons, making budgeting difficult.</w:t>
      </w:r>
    </w:p>
    <w:p>
      <w:pPr>
        <w:pStyle w:val="Heading2"/>
      </w:pPr>
      <w:r>
        <w:t xml:space="preserve">Competitive Landscape</w:t>
      </w:r>
    </w:p>
    <w:p>
      <w:pPr>
        <w:spacing w:after="180"/>
        <w:jc w:val="both"/>
      </w:pPr>
      <w:r>
        <w:t xml:space="preserve">The competitive landscape reveals a significant market gap that the Syndicate is uniquely positioned to fill:</w:t>
      </w:r>
    </w:p>
    <w:p>
      <w:pPr>
        <w:pStyle w:val="Heading3"/>
      </w:pPr>
      <w:r>
        <w:t xml:space="preserve">Third-Party Brokers</w:t>
      </w:r>
    </w:p>
    <w:p>
      <w:pPr>
        <w:spacing w:after="180"/>
        <w:jc w:val="both"/>
      </w:pPr>
      <w:r>
        <w:t xml:space="preserve">Traditional logistics brokers like Montway Auto Transport, Central Dispatch, and uShip dominate the current market. These brokers aggregate carrier capacity and charge premium rates ($1.20-$2.50/mile) while dealers maintain zero ownership stake. Their business model prioritizes broker profitability over dealer economics.</w:t>
      </w:r>
    </w:p>
    <w:p>
      <w:pPr>
        <w:pStyle w:val="Heading3"/>
      </w:pPr>
      <w:r>
        <w:t xml:space="preserve">Vertically Integrated Competitors</w:t>
      </w:r>
    </w:p>
    <w:p>
      <w:pPr>
        <w:spacing w:after="180"/>
        <w:jc w:val="both"/>
      </w:pPr>
      <w:r>
        <w:t xml:space="preserve">Carvana and CarMax have successfully built internal logistics capabilities, achieving 40-50% cost reductions. However, these systems serve only their proprietary operations and are not available to independent dealers. This validates the economic model while confirming that independent dealers lack access to similar cost advantages.</w:t>
      </w:r>
    </w:p>
    <w:p>
      <w:pPr>
        <w:pStyle w:val="Heading3"/>
      </w:pPr>
      <w:r>
        <w:t xml:space="preserve">Dealer Cooperatives</w:t>
      </w:r>
    </w:p>
    <w:p>
      <w:pPr>
        <w:spacing w:after="240"/>
        <w:jc w:val="both"/>
      </w:pPr>
      <w:r>
        <w:t xml:space="preserve">No dealer-owned logistics cooperatives currently operate in California. The Syndicate's first-mover advantage is significant: by establishing infrastructure, relationships, and compliance systems first, we create sustainable competitive moats that protect market position.</w:t>
      </w:r>
    </w:p>
    <w:p>
      <w:r>
        <w:br w:type="page"/>
      </w:r>
    </w:p>
    <w:p>
      <w:pPr>
        <w:pStyle w:val="Heading1"/>
      </w:pPr>
      <w:r>
        <w:t xml:space="preserve">III. Business Model &amp; Operations</w:t>
      </w:r>
    </w:p>
    <w:p>
      <w:pPr>
        <w:pStyle w:val="Heading2"/>
      </w:pPr>
      <w:r>
        <w:t xml:space="preserve">Operating Strategy</w:t>
      </w:r>
    </w:p>
    <w:p>
      <w:pPr>
        <w:spacing w:after="180"/>
        <w:jc w:val="both"/>
      </w:pPr>
      <w:r>
        <w:t xml:space="preserve">The Syndicate employs a hybrid operating model that balances capital efficiency with operational control, following the successful approach demonstrated by both Carvana and CarMax in their logistics buildouts.</w:t>
      </w:r>
    </w:p>
    <w:p>
      <w:pPr>
        <w:pStyle w:val="Heading3"/>
      </w:pPr>
      <w:r>
        <w:t xml:space="preserve">Phase 1: Core Infrastructure (Months 1-12)</w:t>
      </w:r>
    </w:p>
    <w:p>
      <w:pPr>
        <w:pStyle w:val="ListParagraph"/>
        <w:numPr>
          <w:ilvl w:val="0"/>
          <w:numId w:val="3"/>
        </w:numPr>
      </w:pPr>
      <w:r>
        <w:t xml:space="preserve">Establish 3-4 regional hub facilities along critical I-5 corridor (Sacramento, Bay Area, Los Angeles, San Diego regions)</w:t>
      </w:r>
    </w:p>
    <w:p>
      <w:pPr>
        <w:pStyle w:val="ListParagraph"/>
        <w:numPr>
          <w:ilvl w:val="0"/>
          <w:numId w:val="3"/>
        </w:numPr>
      </w:pPr>
      <w:r>
        <w:t xml:space="preserve">Acquire initial fleet of 15-20 company-owned car haulers for high-density routes</w:t>
      </w:r>
    </w:p>
    <w:p>
      <w:pPr>
        <w:pStyle w:val="ListParagraph"/>
        <w:numPr>
          <w:ilvl w:val="0"/>
          <w:numId w:val="3"/>
        </w:numPr>
      </w:pPr>
      <w:r>
        <w:t xml:space="preserve">Deploy proprietary Transportation Management System (TMS) with real-time GPS tracking and route optimization</w:t>
      </w:r>
    </w:p>
    <w:p>
      <w:pPr>
        <w:pStyle w:val="ListParagraph"/>
        <w:numPr>
          <w:ilvl w:val="0"/>
          <w:numId w:val="3"/>
        </w:numPr>
      </w:pPr>
      <w:r>
        <w:t xml:space="preserve">Build dedicated CARB compliance team and Clean Truck Check program infrastructure</w:t>
      </w:r>
    </w:p>
    <w:p>
      <w:pPr>
        <w:pStyle w:val="ListParagraph"/>
        <w:numPr>
          <w:ilvl w:val="0"/>
          <w:numId w:val="3"/>
        </w:numPr>
        <w:spacing w:after="180"/>
      </w:pPr>
      <w:r>
        <w:t xml:space="preserve">Establish preferred carrier partnerships for specialized routes and overflow capacity</w:t>
      </w:r>
    </w:p>
    <w:p>
      <w:pPr>
        <w:pStyle w:val="Heading3"/>
      </w:pPr>
      <w:r>
        <w:t xml:space="preserve">Phase 2: Market Penetration (Months 13-24)</w:t>
      </w:r>
    </w:p>
    <w:p>
      <w:pPr>
        <w:pStyle w:val="ListParagraph"/>
        <w:numPr>
          <w:ilvl w:val="0"/>
          <w:numId w:val="3"/>
        </w:numPr>
      </w:pPr>
      <w:r>
        <w:t xml:space="preserve">Scale to 30,000 vehicles transported in Year 1, targeting founding dealer partners first</w:t>
      </w:r>
    </w:p>
    <w:p>
      <w:pPr>
        <w:pStyle w:val="ListParagraph"/>
        <w:numPr>
          <w:ilvl w:val="0"/>
          <w:numId w:val="3"/>
        </w:numPr>
      </w:pPr>
      <w:r>
        <w:t xml:space="preserve">Expand fleet to 30-35 company-owned haulers as volume increases</w:t>
      </w:r>
    </w:p>
    <w:p>
      <w:pPr>
        <w:pStyle w:val="ListParagraph"/>
        <w:numPr>
          <w:ilvl w:val="0"/>
          <w:numId w:val="3"/>
        </w:numPr>
      </w:pPr>
      <w:r>
        <w:t xml:space="preserve">Develop customer-facing delivery tracking portal and automated scheduling systems</w:t>
      </w:r>
    </w:p>
    <w:p>
      <w:pPr>
        <w:pStyle w:val="ListParagraph"/>
        <w:numPr>
          <w:ilvl w:val="0"/>
          <w:numId w:val="3"/>
        </w:numPr>
        <w:spacing w:after="180"/>
      </w:pPr>
      <w:r>
        <w:t xml:space="preserve">Implement AI-driven load optimization and dynamic routing algorithms</w:t>
      </w:r>
    </w:p>
    <w:p>
      <w:pPr>
        <w:pStyle w:val="Heading3"/>
      </w:pPr>
      <w:r>
        <w:t xml:space="preserve">Phase 3: Scale &amp; Optimization (Years 3-5)</w:t>
      </w:r>
    </w:p>
    <w:p>
      <w:pPr>
        <w:pStyle w:val="ListParagraph"/>
        <w:numPr>
          <w:ilvl w:val="0"/>
          <w:numId w:val="3"/>
        </w:numPr>
      </w:pPr>
      <w:r>
        <w:t xml:space="preserve">Achieve 100,000+ vehicles transported annually by Year 3</w:t>
      </w:r>
    </w:p>
    <w:p>
      <w:pPr>
        <w:pStyle w:val="ListParagraph"/>
        <w:numPr>
          <w:ilvl w:val="0"/>
          <w:numId w:val="3"/>
        </w:numPr>
      </w:pPr>
      <w:r>
        <w:t xml:space="preserve">Optimize fleet composition based on actual route patterns and demand</w:t>
      </w:r>
    </w:p>
    <w:p>
      <w:pPr>
        <w:pStyle w:val="ListParagraph"/>
        <w:numPr>
          <w:ilvl w:val="0"/>
          <w:numId w:val="3"/>
        </w:numPr>
      </w:pPr>
      <w:r>
        <w:t xml:space="preserve">Implement zero-emission vehicle transition plan aligned with California Advanced Clean Fleets regulation</w:t>
      </w:r>
    </w:p>
    <w:p>
      <w:pPr>
        <w:pStyle w:val="ListParagraph"/>
        <w:numPr>
          <w:ilvl w:val="0"/>
          <w:numId w:val="3"/>
        </w:numPr>
        <w:spacing w:after="240"/>
      </w:pPr>
      <w:r>
        <w:t xml:space="preserve">Expand services to additional value-added offerings (inspection, reconditioning, storage)</w:t>
      </w:r>
    </w:p>
    <w:p>
      <w:pPr>
        <w:pStyle w:val="Heading2"/>
      </w:pPr>
      <w:r>
        <w:t xml:space="preserve">Revenue Model</w:t>
      </w:r>
    </w:p>
    <w:p>
      <w:pPr>
        <w:spacing w:after="180"/>
        <w:jc w:val="both"/>
      </w:pPr>
      <w:r>
        <w:t xml:space="preserve">The Syndicate generates revenue through competitive per-vehicle transport fees charged to member dealers. Pricing is structured to deliver 30-50% savings versus current broker rates while maintaining healthy operating margins that support equity returns.</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100"/>
          <w:left w:type="dxa" w:w="180"/>
          <w:bottom w:type="dxa" w:w="100"/>
          <w:right w:type="dxa" w:w="180"/>
        </w:tblCellMar>
      </w:tblPr>
      <w:tblGrid>
        <w:gridCol w:w="3900"/>
        <w:gridCol w:w="2730"/>
        <w:gridCol w:w="2730"/>
      </w:tblGrid>
      <w:tr>
        <w:trPr>
          <w:tblHeader/>
        </w:trPr>
        <w:tc>
          <w:tcPr>
            <w:tcW w:type="dxa" w:w="3900"/>
            <w:tcBorders>
              <w:top w:val="single" w:color="CCCCCC" w:sz="1"/>
              <w:left w:val="single" w:color="CCCCCC" w:sz="1"/>
              <w:bottom w:val="single" w:color="CCCCCC" w:sz="1"/>
              <w:right w:val="single" w:color="CCCCCC" w:sz="1"/>
            </w:tcBorders>
            <w:shd w:fill="D9E2F3" w:val="clear"/>
          </w:tcPr>
          <w:p>
            <w:pPr>
              <w:jc w:val="center"/>
            </w:pPr>
            <w:r>
              <w:rPr>
                <w:b/>
                <w:bCs/>
              </w:rPr>
              <w:t xml:space="preserve">Pricing Component</w:t>
            </w:r>
          </w:p>
        </w:tc>
        <w:tc>
          <w:tcPr>
            <w:tcW w:type="dxa" w:w="2730"/>
            <w:tcBorders>
              <w:top w:val="single" w:color="CCCCCC" w:sz="1"/>
              <w:left w:val="single" w:color="CCCCCC" w:sz="1"/>
              <w:bottom w:val="single" w:color="CCCCCC" w:sz="1"/>
              <w:right w:val="single" w:color="CCCCCC" w:sz="1"/>
            </w:tcBorders>
            <w:shd w:fill="D9E2F3" w:val="clear"/>
          </w:tcPr>
          <w:p>
            <w:pPr>
              <w:jc w:val="center"/>
            </w:pPr>
            <w:r>
              <w:rPr>
                <w:b/>
                <w:bCs/>
              </w:rPr>
              <w:t xml:space="preserve">Current (Broker)</w:t>
            </w:r>
          </w:p>
        </w:tc>
        <w:tc>
          <w:tcPr>
            <w:tcW w:type="dxa" w:w="2730"/>
            <w:tcBorders>
              <w:top w:val="single" w:color="CCCCCC" w:sz="1"/>
              <w:left w:val="single" w:color="CCCCCC" w:sz="1"/>
              <w:bottom w:val="single" w:color="CCCCCC" w:sz="1"/>
              <w:right w:val="single" w:color="CCCCCC" w:sz="1"/>
            </w:tcBorders>
            <w:shd w:fill="D9E2F3" w:val="clear"/>
          </w:tcPr>
          <w:p>
            <w:pPr>
              <w:jc w:val="center"/>
            </w:pPr>
            <w:r>
              <w:rPr>
                <w:b/>
                <w:bCs/>
              </w:rPr>
              <w:t xml:space="preserve">Syndicate Target</w:t>
            </w:r>
          </w:p>
        </w:tc>
      </w:tr>
      <w:tr>
        <w:tc>
          <w:tcPr>
            <w:tcW w:type="dxa" w:w="3900"/>
            <w:tcBorders>
              <w:top w:val="single" w:color="CCCCCC" w:sz="1"/>
              <w:left w:val="single" w:color="CCCCCC" w:sz="1"/>
              <w:bottom w:val="single" w:color="CCCCCC" w:sz="1"/>
              <w:right w:val="single" w:color="CCCCCC" w:sz="1"/>
            </w:tcBorders>
          </w:tcPr>
          <w:p>
            <w:r>
              <w:t xml:space="preserve">Cost Per Mile</w:t>
            </w:r>
          </w:p>
        </w:tc>
        <w:tc>
          <w:tcPr>
            <w:tcW w:type="dxa" w:w="2730"/>
            <w:tcBorders>
              <w:top w:val="single" w:color="CCCCCC" w:sz="1"/>
              <w:left w:val="single" w:color="CCCCCC" w:sz="1"/>
              <w:bottom w:val="single" w:color="CCCCCC" w:sz="1"/>
              <w:right w:val="single" w:color="CCCCCC" w:sz="1"/>
            </w:tcBorders>
          </w:tcPr>
          <w:p>
            <w:pPr>
              <w:jc w:val="right"/>
            </w:pPr>
            <w:r>
              <w:t xml:space="preserve">$1.20-$2.50</w:t>
            </w:r>
          </w:p>
        </w:tc>
        <w:tc>
          <w:tcPr>
            <w:tcW w:type="dxa" w:w="2730"/>
            <w:tcBorders>
              <w:top w:val="single" w:color="CCCCCC" w:sz="1"/>
              <w:left w:val="single" w:color="CCCCCC" w:sz="1"/>
              <w:bottom w:val="single" w:color="CCCCCC" w:sz="1"/>
              <w:right w:val="single" w:color="CCCCCC" w:sz="1"/>
            </w:tcBorders>
          </w:tcPr>
          <w:p>
            <w:pPr>
              <w:jc w:val="right"/>
            </w:pPr>
            <w:r>
              <w:t xml:space="preserve">$0.70-$1.50</w:t>
            </w:r>
          </w:p>
        </w:tc>
      </w:tr>
      <w:tr>
        <w:tc>
          <w:tcPr>
            <w:tcW w:type="dxa" w:w="3900"/>
            <w:tcBorders>
              <w:top w:val="single" w:color="CCCCCC" w:sz="1"/>
              <w:left w:val="single" w:color="CCCCCC" w:sz="1"/>
              <w:bottom w:val="single" w:color="CCCCCC" w:sz="1"/>
              <w:right w:val="single" w:color="CCCCCC" w:sz="1"/>
            </w:tcBorders>
          </w:tcPr>
          <w:p>
            <w:r>
              <w:t xml:space="preserve">Average Cost Per Vehicle</w:t>
            </w:r>
          </w:p>
        </w:tc>
        <w:tc>
          <w:tcPr>
            <w:tcW w:type="dxa" w:w="2730"/>
            <w:tcBorders>
              <w:top w:val="single" w:color="CCCCCC" w:sz="1"/>
              <w:left w:val="single" w:color="CCCCCC" w:sz="1"/>
              <w:bottom w:val="single" w:color="CCCCCC" w:sz="1"/>
              <w:right w:val="single" w:color="CCCCCC" w:sz="1"/>
            </w:tcBorders>
          </w:tcPr>
          <w:p>
            <w:pPr>
              <w:jc w:val="right"/>
            </w:pPr>
            <w:r>
              <w:t xml:space="preserve">$400</w:t>
            </w:r>
          </w:p>
        </w:tc>
        <w:tc>
          <w:tcPr>
            <w:tcW w:type="dxa" w:w="2730"/>
            <w:tcBorders>
              <w:top w:val="single" w:color="CCCCCC" w:sz="1"/>
              <w:left w:val="single" w:color="CCCCCC" w:sz="1"/>
              <w:bottom w:val="single" w:color="CCCCCC" w:sz="1"/>
              <w:right w:val="single" w:color="CCCCCC" w:sz="1"/>
            </w:tcBorders>
          </w:tcPr>
          <w:p>
            <w:pPr>
              <w:jc w:val="right"/>
            </w:pPr>
            <w:r>
              <w:t xml:space="preserve">$240</w:t>
            </w:r>
          </w:p>
        </w:tc>
      </w:tr>
      <w:tr>
        <w:tc>
          <w:tcPr>
            <w:tcW w:type="dxa" w:w="3900"/>
            <w:tcBorders>
              <w:top w:val="single" w:color="CCCCCC" w:sz="1"/>
              <w:left w:val="single" w:color="CCCCCC" w:sz="1"/>
              <w:bottom w:val="single" w:color="CCCCCC" w:sz="1"/>
              <w:right w:val="single" w:color="CCCCCC" w:sz="1"/>
            </w:tcBorders>
          </w:tcPr>
          <w:p>
            <w:r>
              <w:rPr>
                <w:b/>
                <w:bCs/>
              </w:rPr>
              <w:t xml:space="preserve">Dealer Savings Per Vehicle</w:t>
            </w:r>
          </w:p>
        </w:tc>
        <w:tc>
          <w:tcPr>
            <w:tcW w:type="dxa" w:w="2730"/>
            <w:tcBorders>
              <w:top w:val="single" w:color="CCCCCC" w:sz="1"/>
              <w:left w:val="single" w:color="CCCCCC" w:sz="1"/>
              <w:bottom w:val="single" w:color="CCCCCC" w:sz="1"/>
              <w:right w:val="single" w:color="CCCCCC" w:sz="1"/>
            </w:tcBorders>
          </w:tcPr>
          <w:p>
            <w:pPr>
              <w:jc w:val="right"/>
            </w:pPr>
            <w:r>
              <w:t xml:space="preserve">—</w:t>
            </w:r>
          </w:p>
        </w:tc>
        <w:tc>
          <w:tcPr>
            <w:tcW w:type="dxa" w:w="2730"/>
            <w:tcBorders>
              <w:top w:val="single" w:color="CCCCCC" w:sz="1"/>
              <w:left w:val="single" w:color="CCCCCC" w:sz="1"/>
              <w:bottom w:val="single" w:color="CCCCCC" w:sz="1"/>
              <w:right w:val="single" w:color="CCCCCC" w:sz="1"/>
            </w:tcBorders>
            <w:shd w:fill="E2EFDA" w:val="clear"/>
          </w:tcPr>
          <w:p>
            <w:pPr>
              <w:jc w:val="right"/>
            </w:pPr>
            <w:r>
              <w:rPr>
                <w:b/>
                <w:bCs/>
              </w:rPr>
              <w:t xml:space="preserve">$160 (40%)</w:t>
            </w:r>
          </w:p>
        </w:tc>
      </w:tr>
    </w:tbl>
    <w:p>
      <w:r>
        <w:br w:type="page"/>
      </w:r>
    </w:p>
    <w:p>
      <w:pPr>
        <w:pStyle w:val="Heading1"/>
      </w:pPr>
      <w:r>
        <w:t xml:space="preserve">IV. Financial Projections</w:t>
      </w:r>
    </w:p>
    <w:p>
      <w:pPr>
        <w:pStyle w:val="Heading2"/>
      </w:pPr>
      <w:r>
        <w:t xml:space="preserve">Five-Year Pro Forma Financial Statements</w:t>
      </w:r>
    </w:p>
    <w:p>
      <w:pPr>
        <w:spacing w:after="180"/>
        <w:jc w:val="both"/>
      </w:pPr>
      <w:r>
        <w:t xml:space="preserve">The following projections assume 20 founding limited partners with initial capitalization of $10-15 million, phased deployment over 18-month investment period, and conservative market penetration based on committed dealer partnerships.</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60"/>
          <w:left w:type="dxa" w:w="100"/>
          <w:bottom w:type="dxa" w:w="60"/>
          <w:right w:type="dxa" w:w="100"/>
        </w:tblCellMar>
      </w:tblPr>
      <w:tblGrid>
        <w:gridCol w:w="2808"/>
        <w:gridCol w:w="1170"/>
        <w:gridCol w:w="1170"/>
        <w:gridCol w:w="1170"/>
        <w:gridCol w:w="1170"/>
        <w:gridCol w:w="1170"/>
        <w:gridCol w:w="702"/>
      </w:tblGrid>
      <w:tr>
        <w:trPr>
          <w:tblHeader/>
        </w:trPr>
        <w:tc>
          <w:tcPr>
            <w:tcW w:type="dxa" w:w="2808"/>
            <w:tcBorders>
              <w:top w:val="single" w:color="CCCCCC" w:sz="1"/>
              <w:left w:val="single" w:color="CCCCCC" w:sz="1"/>
              <w:bottom w:val="single" w:color="CCCCCC" w:sz="1"/>
              <w:right w:val="single" w:color="CCCCCC" w:sz="1"/>
            </w:tcBorders>
            <w:shd w:fill="1F4E78" w:val="clear"/>
          </w:tcPr>
          <w:p>
            <w:pPr>
              <w:jc w:val="left"/>
            </w:pPr>
            <w:r>
              <w:rPr>
                <w:b/>
                <w:bCs/>
                <w:color w:val="FFFFFF"/>
                <w:sz w:val="20"/>
                <w:szCs w:val="20"/>
              </w:rPr>
              <w:t xml:space="preserve">Income Statement ($000s)</w:t>
            </w:r>
          </w:p>
        </w:tc>
        <w:tc>
          <w:tcPr>
            <w:tcW w:type="dxa" w:w="1170"/>
            <w:tcBorders>
              <w:top w:val="single" w:color="CCCCCC" w:sz="1"/>
              <w:left w:val="single" w:color="CCCCCC" w:sz="1"/>
              <w:bottom w:val="single" w:color="CCCCCC" w:sz="1"/>
              <w:right w:val="single" w:color="CCCCCC" w:sz="1"/>
            </w:tcBorders>
            <w:shd w:fill="1F4E78" w:val="clear"/>
          </w:tcPr>
          <w:p>
            <w:pPr>
              <w:jc w:val="center"/>
            </w:pPr>
            <w:r>
              <w:rPr>
                <w:b/>
                <w:bCs/>
                <w:color w:val="FFFFFF"/>
                <w:sz w:val="18"/>
                <w:szCs w:val="18"/>
              </w:rPr>
              <w:t xml:space="preserve">Year 1</w:t>
            </w:r>
          </w:p>
        </w:tc>
        <w:tc>
          <w:tcPr>
            <w:tcW w:type="dxa" w:w="1170"/>
            <w:tcBorders>
              <w:top w:val="single" w:color="CCCCCC" w:sz="1"/>
              <w:left w:val="single" w:color="CCCCCC" w:sz="1"/>
              <w:bottom w:val="single" w:color="CCCCCC" w:sz="1"/>
              <w:right w:val="single" w:color="CCCCCC" w:sz="1"/>
            </w:tcBorders>
            <w:shd w:fill="1F4E78" w:val="clear"/>
          </w:tcPr>
          <w:p>
            <w:pPr>
              <w:jc w:val="center"/>
            </w:pPr>
            <w:r>
              <w:rPr>
                <w:b/>
                <w:bCs/>
                <w:color w:val="FFFFFF"/>
                <w:sz w:val="18"/>
                <w:szCs w:val="18"/>
              </w:rPr>
              <w:t xml:space="preserve">Year 2</w:t>
            </w:r>
          </w:p>
        </w:tc>
        <w:tc>
          <w:tcPr>
            <w:tcW w:type="dxa" w:w="1170"/>
            <w:tcBorders>
              <w:top w:val="single" w:color="CCCCCC" w:sz="1"/>
              <w:left w:val="single" w:color="CCCCCC" w:sz="1"/>
              <w:bottom w:val="single" w:color="CCCCCC" w:sz="1"/>
              <w:right w:val="single" w:color="CCCCCC" w:sz="1"/>
            </w:tcBorders>
            <w:shd w:fill="1F4E78" w:val="clear"/>
          </w:tcPr>
          <w:p>
            <w:pPr>
              <w:jc w:val="center"/>
            </w:pPr>
            <w:r>
              <w:rPr>
                <w:b/>
                <w:bCs/>
                <w:color w:val="FFFFFF"/>
                <w:sz w:val="18"/>
                <w:szCs w:val="18"/>
              </w:rPr>
              <w:t xml:space="preserve">Year 3</w:t>
            </w:r>
          </w:p>
        </w:tc>
        <w:tc>
          <w:tcPr>
            <w:tcW w:type="dxa" w:w="1170"/>
            <w:tcBorders>
              <w:top w:val="single" w:color="CCCCCC" w:sz="1"/>
              <w:left w:val="single" w:color="CCCCCC" w:sz="1"/>
              <w:bottom w:val="single" w:color="CCCCCC" w:sz="1"/>
              <w:right w:val="single" w:color="CCCCCC" w:sz="1"/>
            </w:tcBorders>
            <w:shd w:fill="1F4E78" w:val="clear"/>
          </w:tcPr>
          <w:p>
            <w:pPr>
              <w:jc w:val="center"/>
            </w:pPr>
            <w:r>
              <w:rPr>
                <w:b/>
                <w:bCs/>
                <w:color w:val="FFFFFF"/>
                <w:sz w:val="18"/>
                <w:szCs w:val="18"/>
              </w:rPr>
              <w:t xml:space="preserve">Year 4</w:t>
            </w:r>
          </w:p>
        </w:tc>
        <w:tc>
          <w:tcPr>
            <w:tcW w:type="dxa" w:w="1170"/>
            <w:tcBorders>
              <w:top w:val="single" w:color="CCCCCC" w:sz="1"/>
              <w:left w:val="single" w:color="CCCCCC" w:sz="1"/>
              <w:bottom w:val="single" w:color="CCCCCC" w:sz="1"/>
              <w:right w:val="single" w:color="CCCCCC" w:sz="1"/>
            </w:tcBorders>
            <w:shd w:fill="1F4E78" w:val="clear"/>
          </w:tcPr>
          <w:p>
            <w:pPr>
              <w:jc w:val="center"/>
            </w:pPr>
            <w:r>
              <w:rPr>
                <w:b/>
                <w:bCs/>
                <w:color w:val="FFFFFF"/>
                <w:sz w:val="18"/>
                <w:szCs w:val="18"/>
              </w:rPr>
              <w:t xml:space="preserve">Year 5</w:t>
            </w:r>
          </w:p>
        </w:tc>
        <w:tc>
          <w:tcPr>
            <w:tcW w:type="dxa" w:w="702"/>
            <w:tcBorders>
              <w:top w:val="single" w:color="CCCCCC" w:sz="1"/>
              <w:left w:val="single" w:color="CCCCCC" w:sz="1"/>
              <w:bottom w:val="single" w:color="CCCCCC" w:sz="1"/>
              <w:right w:val="single" w:color="CCCCCC" w:sz="1"/>
            </w:tcBorders>
            <w:shd w:fill="1F4E78" w:val="clear"/>
          </w:tcPr>
          <w:p>
            <w:pPr>
              <w:jc w:val="center"/>
            </w:pPr>
            <w:r>
              <w:rPr>
                <w:b/>
                <w:bCs/>
                <w:color w:val="FFFFFF"/>
                <w:sz w:val="18"/>
                <w:szCs w:val="18"/>
              </w:rPr>
              <w:t xml:space="preserve">CAGR</w:t>
            </w:r>
          </w:p>
        </w:tc>
      </w:tr>
      <w:tr>
        <w:tc>
          <w:tcPr>
            <w:tcW w:type="dxa" w:w="2808"/>
            <w:tcBorders>
              <w:top w:val="single" w:color="CCCCCC" w:sz="1"/>
              <w:left w:val="single" w:color="CCCCCC" w:sz="1"/>
              <w:bottom w:val="single" w:color="CCCCCC" w:sz="1"/>
              <w:right w:val="single" w:color="CCCCCC" w:sz="1"/>
            </w:tcBorders>
          </w:tcPr>
          <w:p>
            <w:r>
              <w:t xml:space="preserve">Vehicles Transported</w:t>
            </w:r>
          </w:p>
        </w:tc>
        <w:tc>
          <w:tcPr>
            <w:tcW w:type="dxa" w:w="1170"/>
            <w:tcBorders>
              <w:top w:val="single" w:color="CCCCCC" w:sz="1"/>
              <w:left w:val="single" w:color="CCCCCC" w:sz="1"/>
              <w:bottom w:val="single" w:color="CCCCCC" w:sz="1"/>
              <w:right w:val="single" w:color="CCCCCC" w:sz="1"/>
            </w:tcBorders>
          </w:tcPr>
          <w:p>
            <w:pPr>
              <w:jc w:val="right"/>
            </w:pPr>
            <w:r>
              <w:t xml:space="preserve">30,000</w:t>
            </w:r>
          </w:p>
        </w:tc>
        <w:tc>
          <w:tcPr>
            <w:tcW w:type="dxa" w:w="1170"/>
            <w:tcBorders>
              <w:top w:val="single" w:color="CCCCCC" w:sz="1"/>
              <w:left w:val="single" w:color="CCCCCC" w:sz="1"/>
              <w:bottom w:val="single" w:color="CCCCCC" w:sz="1"/>
              <w:right w:val="single" w:color="CCCCCC" w:sz="1"/>
            </w:tcBorders>
          </w:tcPr>
          <w:p>
            <w:pPr>
              <w:jc w:val="right"/>
            </w:pPr>
            <w:r>
              <w:t xml:space="preserve">65,000</w:t>
            </w:r>
          </w:p>
        </w:tc>
        <w:tc>
          <w:tcPr>
            <w:tcW w:type="dxa" w:w="1170"/>
            <w:tcBorders>
              <w:top w:val="single" w:color="CCCCCC" w:sz="1"/>
              <w:left w:val="single" w:color="CCCCCC" w:sz="1"/>
              <w:bottom w:val="single" w:color="CCCCCC" w:sz="1"/>
              <w:right w:val="single" w:color="CCCCCC" w:sz="1"/>
            </w:tcBorders>
          </w:tcPr>
          <w:p>
            <w:pPr>
              <w:jc w:val="right"/>
            </w:pPr>
            <w:r>
              <w:t xml:space="preserve">100,000</w:t>
            </w:r>
          </w:p>
        </w:tc>
        <w:tc>
          <w:tcPr>
            <w:tcW w:type="dxa" w:w="1170"/>
            <w:tcBorders>
              <w:top w:val="single" w:color="CCCCCC" w:sz="1"/>
              <w:left w:val="single" w:color="CCCCCC" w:sz="1"/>
              <w:bottom w:val="single" w:color="CCCCCC" w:sz="1"/>
              <w:right w:val="single" w:color="CCCCCC" w:sz="1"/>
            </w:tcBorders>
          </w:tcPr>
          <w:p>
            <w:pPr>
              <w:jc w:val="right"/>
            </w:pPr>
            <w:r>
              <w:t xml:space="preserve">130,000</w:t>
            </w:r>
          </w:p>
        </w:tc>
        <w:tc>
          <w:tcPr>
            <w:tcW w:type="dxa" w:w="1170"/>
            <w:tcBorders>
              <w:top w:val="single" w:color="CCCCCC" w:sz="1"/>
              <w:left w:val="single" w:color="CCCCCC" w:sz="1"/>
              <w:bottom w:val="single" w:color="CCCCCC" w:sz="1"/>
              <w:right w:val="single" w:color="CCCCCC" w:sz="1"/>
            </w:tcBorders>
          </w:tcPr>
          <w:p>
            <w:pPr>
              <w:jc w:val="right"/>
            </w:pPr>
            <w:r>
              <w:t xml:space="preserve">150,000</w:t>
            </w:r>
          </w:p>
        </w:tc>
        <w:tc>
          <w:tcPr>
            <w:tcW w:type="dxa" w:w="702"/>
            <w:tcBorders>
              <w:top w:val="single" w:color="CCCCCC" w:sz="1"/>
              <w:left w:val="single" w:color="CCCCCC" w:sz="1"/>
              <w:bottom w:val="single" w:color="CCCCCC" w:sz="1"/>
              <w:right w:val="single" w:color="CCCCCC" w:sz="1"/>
            </w:tcBorders>
          </w:tcPr>
          <w:p>
            <w:pPr>
              <w:jc w:val="right"/>
            </w:pPr>
            <w:r>
              <w:t xml:space="preserve">38%</w:t>
            </w:r>
          </w:p>
        </w:tc>
      </w:tr>
      <w:tr>
        <w:tc>
          <w:tcPr>
            <w:tcW w:type="dxa" w:w="2808"/>
            <w:tcBorders>
              <w:top w:val="single" w:color="CCCCCC" w:sz="1"/>
              <w:left w:val="single" w:color="CCCCCC" w:sz="1"/>
              <w:bottom w:val="single" w:color="CCCCCC" w:sz="1"/>
              <w:right w:val="single" w:color="CCCCCC" w:sz="1"/>
            </w:tcBorders>
            <w:shd w:fill="F2F2F2" w:val="clear"/>
          </w:tcPr>
          <w:p>
            <w:r>
              <w:rPr>
                <w:b/>
                <w:bCs/>
              </w:rPr>
              <w:t xml:space="preserve">Revenue</w:t>
            </w:r>
          </w:p>
        </w:tc>
        <w:tc>
          <w:tcPr>
            <w:tcW w:type="dxa" w:w="1170"/>
            <w:tcBorders>
              <w:top w:val="single" w:color="CCCCCC" w:sz="1"/>
              <w:left w:val="single" w:color="CCCCCC" w:sz="1"/>
              <w:bottom w:val="single" w:color="CCCCCC" w:sz="1"/>
              <w:right w:val="single" w:color="CCCCCC" w:sz="1"/>
            </w:tcBorders>
            <w:shd w:fill="F2F2F2" w:val="clear"/>
          </w:tcPr>
          <w:p>
            <w:pPr>
              <w:jc w:val="right"/>
            </w:pPr>
            <w:r>
              <w:rPr>
                <w:b/>
                <w:bCs/>
              </w:rPr>
              <w:t xml:space="preserve">$7,500</w:t>
            </w:r>
          </w:p>
        </w:tc>
        <w:tc>
          <w:tcPr>
            <w:tcW w:type="dxa" w:w="1170"/>
            <w:tcBorders>
              <w:top w:val="single" w:color="CCCCCC" w:sz="1"/>
              <w:left w:val="single" w:color="CCCCCC" w:sz="1"/>
              <w:bottom w:val="single" w:color="CCCCCC" w:sz="1"/>
              <w:right w:val="single" w:color="CCCCCC" w:sz="1"/>
            </w:tcBorders>
            <w:shd w:fill="F2F2F2" w:val="clear"/>
          </w:tcPr>
          <w:p>
            <w:pPr>
              <w:jc w:val="right"/>
            </w:pPr>
            <w:r>
              <w:rPr>
                <w:b/>
                <w:bCs/>
              </w:rPr>
              <w:t xml:space="preserve">$16,250</w:t>
            </w:r>
          </w:p>
        </w:tc>
        <w:tc>
          <w:tcPr>
            <w:tcW w:type="dxa" w:w="1170"/>
            <w:tcBorders>
              <w:top w:val="single" w:color="CCCCCC" w:sz="1"/>
              <w:left w:val="single" w:color="CCCCCC" w:sz="1"/>
              <w:bottom w:val="single" w:color="CCCCCC" w:sz="1"/>
              <w:right w:val="single" w:color="CCCCCC" w:sz="1"/>
            </w:tcBorders>
            <w:shd w:fill="F2F2F2" w:val="clear"/>
          </w:tcPr>
          <w:p>
            <w:pPr>
              <w:jc w:val="right"/>
            </w:pPr>
            <w:r>
              <w:rPr>
                <w:b/>
                <w:bCs/>
              </w:rPr>
              <w:t xml:space="preserve">$25,000</w:t>
            </w:r>
          </w:p>
        </w:tc>
        <w:tc>
          <w:tcPr>
            <w:tcW w:type="dxa" w:w="1170"/>
            <w:tcBorders>
              <w:top w:val="single" w:color="CCCCCC" w:sz="1"/>
              <w:left w:val="single" w:color="CCCCCC" w:sz="1"/>
              <w:bottom w:val="single" w:color="CCCCCC" w:sz="1"/>
              <w:right w:val="single" w:color="CCCCCC" w:sz="1"/>
            </w:tcBorders>
            <w:shd w:fill="F2F2F2" w:val="clear"/>
          </w:tcPr>
          <w:p>
            <w:pPr>
              <w:jc w:val="right"/>
            </w:pPr>
            <w:r>
              <w:rPr>
                <w:b/>
                <w:bCs/>
              </w:rPr>
              <w:t xml:space="preserve">$32,500</w:t>
            </w:r>
          </w:p>
        </w:tc>
        <w:tc>
          <w:tcPr>
            <w:tcW w:type="dxa" w:w="1170"/>
            <w:tcBorders>
              <w:top w:val="single" w:color="CCCCCC" w:sz="1"/>
              <w:left w:val="single" w:color="CCCCCC" w:sz="1"/>
              <w:bottom w:val="single" w:color="CCCCCC" w:sz="1"/>
              <w:right w:val="single" w:color="CCCCCC" w:sz="1"/>
            </w:tcBorders>
            <w:shd w:fill="F2F2F2" w:val="clear"/>
          </w:tcPr>
          <w:p>
            <w:pPr>
              <w:jc w:val="right"/>
            </w:pPr>
            <w:r>
              <w:rPr>
                <w:b/>
                <w:bCs/>
              </w:rPr>
              <w:t xml:space="preserve">$37,500</w:t>
            </w:r>
          </w:p>
        </w:tc>
        <w:tc>
          <w:tcPr>
            <w:tcW w:type="dxa" w:w="702"/>
            <w:tcBorders>
              <w:top w:val="single" w:color="CCCCCC" w:sz="1"/>
              <w:left w:val="single" w:color="CCCCCC" w:sz="1"/>
              <w:bottom w:val="single" w:color="CCCCCC" w:sz="1"/>
              <w:right w:val="single" w:color="CCCCCC" w:sz="1"/>
            </w:tcBorders>
            <w:shd w:fill="F2F2F2" w:val="clear"/>
          </w:tcPr>
          <w:p>
            <w:pPr>
              <w:jc w:val="right"/>
            </w:pPr>
            <w:r>
              <w:t xml:space="preserve">38%</w:t>
            </w:r>
          </w:p>
        </w:tc>
      </w:tr>
      <w:tr>
        <w:tc>
          <w:tcPr>
            <w:tcW w:type="dxa" w:w="2808"/>
            <w:tcBorders>
              <w:top w:val="single" w:color="CCCCCC" w:sz="1"/>
              <w:left w:val="single" w:color="CCCCCC" w:sz="1"/>
              <w:bottom w:val="single" w:color="CCCCCC" w:sz="1"/>
              <w:right w:val="single" w:color="CCCCCC" w:sz="1"/>
            </w:tcBorders>
          </w:tcPr>
          <w:p>
            <w:r>
              <w:t xml:space="preserve">Operating Costs</w:t>
            </w:r>
          </w:p>
        </w:tc>
        <w:tc>
          <w:tcPr>
            <w:tcW w:type="dxa" w:w="1170"/>
            <w:tcBorders>
              <w:top w:val="single" w:color="CCCCCC" w:sz="1"/>
              <w:left w:val="single" w:color="CCCCCC" w:sz="1"/>
              <w:bottom w:val="single" w:color="CCCCCC" w:sz="1"/>
              <w:right w:val="single" w:color="CCCCCC" w:sz="1"/>
            </w:tcBorders>
          </w:tcPr>
          <w:p>
            <w:pPr>
              <w:jc w:val="right"/>
            </w:pPr>
            <w:r>
              <w:t xml:space="preserve">$6,450</w:t>
            </w:r>
          </w:p>
        </w:tc>
        <w:tc>
          <w:tcPr>
            <w:tcW w:type="dxa" w:w="1170"/>
            <w:tcBorders>
              <w:top w:val="single" w:color="CCCCCC" w:sz="1"/>
              <w:left w:val="single" w:color="CCCCCC" w:sz="1"/>
              <w:bottom w:val="single" w:color="CCCCCC" w:sz="1"/>
              <w:right w:val="single" w:color="CCCCCC" w:sz="1"/>
            </w:tcBorders>
          </w:tcPr>
          <w:p>
            <w:pPr>
              <w:jc w:val="right"/>
            </w:pPr>
            <w:r>
              <w:t xml:space="preserve">$13,450</w:t>
            </w:r>
          </w:p>
        </w:tc>
        <w:tc>
          <w:tcPr>
            <w:tcW w:type="dxa" w:w="1170"/>
            <w:tcBorders>
              <w:top w:val="single" w:color="CCCCCC" w:sz="1"/>
              <w:left w:val="single" w:color="CCCCCC" w:sz="1"/>
              <w:bottom w:val="single" w:color="CCCCCC" w:sz="1"/>
              <w:right w:val="single" w:color="CCCCCC" w:sz="1"/>
            </w:tcBorders>
          </w:tcPr>
          <w:p>
            <w:pPr>
              <w:jc w:val="right"/>
            </w:pPr>
            <w:r>
              <w:t xml:space="preserve">$20,000</w:t>
            </w:r>
          </w:p>
        </w:tc>
        <w:tc>
          <w:tcPr>
            <w:tcW w:type="dxa" w:w="1170"/>
            <w:tcBorders>
              <w:top w:val="single" w:color="CCCCCC" w:sz="1"/>
              <w:left w:val="single" w:color="CCCCCC" w:sz="1"/>
              <w:bottom w:val="single" w:color="CCCCCC" w:sz="1"/>
              <w:right w:val="single" w:color="CCCCCC" w:sz="1"/>
            </w:tcBorders>
          </w:tcPr>
          <w:p>
            <w:pPr>
              <w:jc w:val="right"/>
            </w:pPr>
            <w:r>
              <w:t xml:space="preserve">$25,350</w:t>
            </w:r>
          </w:p>
        </w:tc>
        <w:tc>
          <w:tcPr>
            <w:tcW w:type="dxa" w:w="1170"/>
            <w:tcBorders>
              <w:top w:val="single" w:color="CCCCCC" w:sz="1"/>
              <w:left w:val="single" w:color="CCCCCC" w:sz="1"/>
              <w:bottom w:val="single" w:color="CCCCCC" w:sz="1"/>
              <w:right w:val="single" w:color="CCCCCC" w:sz="1"/>
            </w:tcBorders>
          </w:tcPr>
          <w:p>
            <w:pPr>
              <w:jc w:val="right"/>
            </w:pPr>
            <w:r>
              <w:t xml:space="preserve">$28,875</w:t>
            </w:r>
          </w:p>
        </w:tc>
        <w:tc>
          <w:tcPr>
            <w:tcW w:type="dxa" w:w="702"/>
            <w:tcBorders>
              <w:top w:val="single" w:color="CCCCCC" w:sz="1"/>
              <w:left w:val="single" w:color="CCCCCC" w:sz="1"/>
              <w:bottom w:val="single" w:color="CCCCCC" w:sz="1"/>
              <w:right w:val="single" w:color="CCCCCC" w:sz="1"/>
            </w:tcBorders>
          </w:tcPr>
          <w:p>
            <w:pPr>
              <w:jc w:val="right"/>
            </w:pPr>
            <w:r>
              <w:t xml:space="preserve">—</w:t>
            </w:r>
          </w:p>
        </w:tc>
      </w:tr>
      <w:tr>
        <w:tc>
          <w:tcPr>
            <w:tcW w:type="dxa" w:w="2808"/>
            <w:tcBorders>
              <w:top w:val="single" w:color="CCCCCC" w:sz="1"/>
              <w:left w:val="single" w:color="CCCCCC" w:sz="1"/>
              <w:bottom w:val="single" w:color="CCCCCC" w:sz="1"/>
              <w:right w:val="single" w:color="CCCCCC" w:sz="1"/>
            </w:tcBorders>
            <w:shd w:fill="FFF2CC" w:val="clear"/>
          </w:tcPr>
          <w:p>
            <w:r>
              <w:rPr>
                <w:b/>
                <w:bCs/>
              </w:rPr>
              <w:t xml:space="preserve">EBITDA</w:t>
            </w:r>
          </w:p>
        </w:tc>
        <w:tc>
          <w:tcPr>
            <w:tcW w:type="dxa" w:w="1170"/>
            <w:tcBorders>
              <w:top w:val="single" w:color="CCCCCC" w:sz="1"/>
              <w:left w:val="single" w:color="CCCCCC" w:sz="1"/>
              <w:bottom w:val="single" w:color="CCCCCC" w:sz="1"/>
              <w:right w:val="single" w:color="CCCCCC" w:sz="1"/>
            </w:tcBorders>
            <w:shd w:fill="FFF2CC" w:val="clear"/>
          </w:tcPr>
          <w:p>
            <w:pPr>
              <w:jc w:val="right"/>
            </w:pPr>
            <w:r>
              <w:rPr>
                <w:b/>
                <w:bCs/>
              </w:rPr>
              <w:t xml:space="preserve">$1,050</w:t>
            </w:r>
          </w:p>
        </w:tc>
        <w:tc>
          <w:tcPr>
            <w:tcW w:type="dxa" w:w="1170"/>
            <w:tcBorders>
              <w:top w:val="single" w:color="CCCCCC" w:sz="1"/>
              <w:left w:val="single" w:color="CCCCCC" w:sz="1"/>
              <w:bottom w:val="single" w:color="CCCCCC" w:sz="1"/>
              <w:right w:val="single" w:color="CCCCCC" w:sz="1"/>
            </w:tcBorders>
            <w:shd w:fill="FFF2CC" w:val="clear"/>
          </w:tcPr>
          <w:p>
            <w:pPr>
              <w:jc w:val="right"/>
            </w:pPr>
            <w:r>
              <w:rPr>
                <w:b/>
                <w:bCs/>
              </w:rPr>
              <w:t xml:space="preserve">$2,800</w:t>
            </w:r>
          </w:p>
        </w:tc>
        <w:tc>
          <w:tcPr>
            <w:tcW w:type="dxa" w:w="1170"/>
            <w:tcBorders>
              <w:top w:val="single" w:color="CCCCCC" w:sz="1"/>
              <w:left w:val="single" w:color="CCCCCC" w:sz="1"/>
              <w:bottom w:val="single" w:color="CCCCCC" w:sz="1"/>
              <w:right w:val="single" w:color="CCCCCC" w:sz="1"/>
            </w:tcBorders>
            <w:shd w:fill="FFF2CC" w:val="clear"/>
          </w:tcPr>
          <w:p>
            <w:pPr>
              <w:jc w:val="right"/>
            </w:pPr>
            <w:r>
              <w:rPr>
                <w:b/>
                <w:bCs/>
              </w:rPr>
              <w:t xml:space="preserve">$5,000</w:t>
            </w:r>
          </w:p>
        </w:tc>
        <w:tc>
          <w:tcPr>
            <w:tcW w:type="dxa" w:w="1170"/>
            <w:tcBorders>
              <w:top w:val="single" w:color="CCCCCC" w:sz="1"/>
              <w:left w:val="single" w:color="CCCCCC" w:sz="1"/>
              <w:bottom w:val="single" w:color="CCCCCC" w:sz="1"/>
              <w:right w:val="single" w:color="CCCCCC" w:sz="1"/>
            </w:tcBorders>
            <w:shd w:fill="FFF2CC" w:val="clear"/>
          </w:tcPr>
          <w:p>
            <w:pPr>
              <w:jc w:val="right"/>
            </w:pPr>
            <w:r>
              <w:rPr>
                <w:b/>
                <w:bCs/>
              </w:rPr>
              <w:t xml:space="preserve">$7,150</w:t>
            </w:r>
          </w:p>
        </w:tc>
        <w:tc>
          <w:tcPr>
            <w:tcW w:type="dxa" w:w="1170"/>
            <w:tcBorders>
              <w:top w:val="single" w:color="CCCCCC" w:sz="1"/>
              <w:left w:val="single" w:color="CCCCCC" w:sz="1"/>
              <w:bottom w:val="single" w:color="CCCCCC" w:sz="1"/>
              <w:right w:val="single" w:color="CCCCCC" w:sz="1"/>
            </w:tcBorders>
            <w:shd w:fill="FFF2CC" w:val="clear"/>
          </w:tcPr>
          <w:p>
            <w:pPr>
              <w:jc w:val="right"/>
            </w:pPr>
            <w:r>
              <w:rPr>
                <w:b/>
                <w:bCs/>
              </w:rPr>
              <w:t xml:space="preserve">$8,625</w:t>
            </w:r>
          </w:p>
        </w:tc>
        <w:tc>
          <w:tcPr>
            <w:tcW w:type="dxa" w:w="702"/>
            <w:tcBorders>
              <w:top w:val="single" w:color="CCCCCC" w:sz="1"/>
              <w:left w:val="single" w:color="CCCCCC" w:sz="1"/>
              <w:bottom w:val="single" w:color="CCCCCC" w:sz="1"/>
              <w:right w:val="single" w:color="CCCCCC" w:sz="1"/>
            </w:tcBorders>
            <w:shd w:fill="FFF2CC" w:val="clear"/>
          </w:tcPr>
          <w:p>
            <w:pPr>
              <w:jc w:val="right"/>
            </w:pPr>
            <w:r>
              <w:t xml:space="preserve">52%</w:t>
            </w:r>
          </w:p>
        </w:tc>
      </w:tr>
      <w:tr>
        <w:tc>
          <w:tcPr>
            <w:tcW w:type="dxa" w:w="2808"/>
            <w:tcBorders>
              <w:top w:val="single" w:color="CCCCCC" w:sz="1"/>
              <w:left w:val="single" w:color="CCCCCC" w:sz="1"/>
              <w:bottom w:val="single" w:color="CCCCCC" w:sz="1"/>
              <w:right w:val="single" w:color="CCCCCC" w:sz="1"/>
            </w:tcBorders>
          </w:tcPr>
          <w:p>
            <w:r>
              <w:t xml:space="preserve">EBITDA Margin %</w:t>
            </w:r>
          </w:p>
        </w:tc>
        <w:tc>
          <w:tcPr>
            <w:tcW w:type="dxa" w:w="1170"/>
            <w:tcBorders>
              <w:top w:val="single" w:color="CCCCCC" w:sz="1"/>
              <w:left w:val="single" w:color="CCCCCC" w:sz="1"/>
              <w:bottom w:val="single" w:color="CCCCCC" w:sz="1"/>
              <w:right w:val="single" w:color="CCCCCC" w:sz="1"/>
            </w:tcBorders>
          </w:tcPr>
          <w:p>
            <w:pPr>
              <w:jc w:val="right"/>
            </w:pPr>
            <w:r>
              <w:t xml:space="preserve">14%</w:t>
            </w:r>
          </w:p>
        </w:tc>
        <w:tc>
          <w:tcPr>
            <w:tcW w:type="dxa" w:w="1170"/>
            <w:tcBorders>
              <w:top w:val="single" w:color="CCCCCC" w:sz="1"/>
              <w:left w:val="single" w:color="CCCCCC" w:sz="1"/>
              <w:bottom w:val="single" w:color="CCCCCC" w:sz="1"/>
              <w:right w:val="single" w:color="CCCCCC" w:sz="1"/>
            </w:tcBorders>
          </w:tcPr>
          <w:p>
            <w:pPr>
              <w:jc w:val="right"/>
            </w:pPr>
            <w:r>
              <w:t xml:space="preserve">17%</w:t>
            </w:r>
          </w:p>
        </w:tc>
        <w:tc>
          <w:tcPr>
            <w:tcW w:type="dxa" w:w="1170"/>
            <w:tcBorders>
              <w:top w:val="single" w:color="CCCCCC" w:sz="1"/>
              <w:left w:val="single" w:color="CCCCCC" w:sz="1"/>
              <w:bottom w:val="single" w:color="CCCCCC" w:sz="1"/>
              <w:right w:val="single" w:color="CCCCCC" w:sz="1"/>
            </w:tcBorders>
          </w:tcPr>
          <w:p>
            <w:pPr>
              <w:jc w:val="right"/>
            </w:pPr>
            <w:r>
              <w:t xml:space="preserve">20%</w:t>
            </w:r>
          </w:p>
        </w:tc>
        <w:tc>
          <w:tcPr>
            <w:tcW w:type="dxa" w:w="1170"/>
            <w:tcBorders>
              <w:top w:val="single" w:color="CCCCCC" w:sz="1"/>
              <w:left w:val="single" w:color="CCCCCC" w:sz="1"/>
              <w:bottom w:val="single" w:color="CCCCCC" w:sz="1"/>
              <w:right w:val="single" w:color="CCCCCC" w:sz="1"/>
            </w:tcBorders>
          </w:tcPr>
          <w:p>
            <w:pPr>
              <w:jc w:val="right"/>
            </w:pPr>
            <w:r>
              <w:t xml:space="preserve">22%</w:t>
            </w:r>
          </w:p>
        </w:tc>
        <w:tc>
          <w:tcPr>
            <w:tcW w:type="dxa" w:w="1170"/>
            <w:tcBorders>
              <w:top w:val="single" w:color="CCCCCC" w:sz="1"/>
              <w:left w:val="single" w:color="CCCCCC" w:sz="1"/>
              <w:bottom w:val="single" w:color="CCCCCC" w:sz="1"/>
              <w:right w:val="single" w:color="CCCCCC" w:sz="1"/>
            </w:tcBorders>
          </w:tcPr>
          <w:p>
            <w:pPr>
              <w:jc w:val="right"/>
            </w:pPr>
            <w:r>
              <w:t xml:space="preserve">23%</w:t>
            </w:r>
          </w:p>
        </w:tc>
        <w:tc>
          <w:tcPr>
            <w:tcW w:type="dxa" w:w="702"/>
            <w:tcBorders>
              <w:top w:val="single" w:color="CCCCCC" w:sz="1"/>
              <w:left w:val="single" w:color="CCCCCC" w:sz="1"/>
              <w:bottom w:val="single" w:color="CCCCCC" w:sz="1"/>
              <w:right w:val="single" w:color="CCCCCC" w:sz="1"/>
            </w:tcBorders>
          </w:tcPr>
          <w:p>
            <w:pPr>
              <w:jc w:val="right"/>
            </w:pPr>
            <w:r>
              <w:t xml:space="preserve">—</w:t>
            </w:r>
          </w:p>
        </w:tc>
      </w:tr>
      <w:tr>
        <w:tc>
          <w:tcPr>
            <w:tcW w:type="dxa" w:w="2808"/>
            <w:tcBorders>
              <w:top w:val="single" w:color="CCCCCC" w:sz="1"/>
              <w:left w:val="single" w:color="CCCCCC" w:sz="1"/>
              <w:bottom w:val="single" w:color="CCCCCC" w:sz="1"/>
              <w:right w:val="single" w:color="CCCCCC" w:sz="1"/>
            </w:tcBorders>
            <w:shd w:fill="E2EFDA" w:val="clear"/>
          </w:tcPr>
          <w:p>
            <w:r>
              <w:rPr>
                <w:b/>
                <w:bCs/>
              </w:rPr>
              <w:t xml:space="preserve">Net Income</w:t>
            </w:r>
          </w:p>
        </w:tc>
        <w:tc>
          <w:tcPr>
            <w:tcW w:type="dxa" w:w="1170"/>
            <w:tcBorders>
              <w:top w:val="single" w:color="CCCCCC" w:sz="1"/>
              <w:left w:val="single" w:color="CCCCCC" w:sz="1"/>
              <w:bottom w:val="single" w:color="CCCCCC" w:sz="1"/>
              <w:right w:val="single" w:color="CCCCCC" w:sz="1"/>
            </w:tcBorders>
            <w:shd w:fill="E2EFDA" w:val="clear"/>
          </w:tcPr>
          <w:p>
            <w:pPr>
              <w:jc w:val="right"/>
            </w:pPr>
            <w:r>
              <w:rPr>
                <w:b/>
                <w:bCs/>
              </w:rPr>
              <w:t xml:space="preserve">$1,000</w:t>
            </w:r>
          </w:p>
        </w:tc>
        <w:tc>
          <w:tcPr>
            <w:tcW w:type="dxa" w:w="1170"/>
            <w:tcBorders>
              <w:top w:val="single" w:color="CCCCCC" w:sz="1"/>
              <w:left w:val="single" w:color="CCCCCC" w:sz="1"/>
              <w:bottom w:val="single" w:color="CCCCCC" w:sz="1"/>
              <w:right w:val="single" w:color="CCCCCC" w:sz="1"/>
            </w:tcBorders>
            <w:shd w:fill="E2EFDA" w:val="clear"/>
          </w:tcPr>
          <w:p>
            <w:pPr>
              <w:jc w:val="right"/>
            </w:pPr>
            <w:r>
              <w:rPr>
                <w:b/>
                <w:bCs/>
              </w:rPr>
              <w:t xml:space="preserve">$2,800</w:t>
            </w:r>
          </w:p>
        </w:tc>
        <w:tc>
          <w:tcPr>
            <w:tcW w:type="dxa" w:w="1170"/>
            <w:tcBorders>
              <w:top w:val="single" w:color="CCCCCC" w:sz="1"/>
              <w:left w:val="single" w:color="CCCCCC" w:sz="1"/>
              <w:bottom w:val="single" w:color="CCCCCC" w:sz="1"/>
              <w:right w:val="single" w:color="CCCCCC" w:sz="1"/>
            </w:tcBorders>
            <w:shd w:fill="E2EFDA" w:val="clear"/>
          </w:tcPr>
          <w:p>
            <w:pPr>
              <w:jc w:val="right"/>
            </w:pPr>
            <w:r>
              <w:rPr>
                <w:b/>
                <w:bCs/>
              </w:rPr>
              <w:t xml:space="preserve">$5,000</w:t>
            </w:r>
          </w:p>
        </w:tc>
        <w:tc>
          <w:tcPr>
            <w:tcW w:type="dxa" w:w="1170"/>
            <w:tcBorders>
              <w:top w:val="single" w:color="CCCCCC" w:sz="1"/>
              <w:left w:val="single" w:color="CCCCCC" w:sz="1"/>
              <w:bottom w:val="single" w:color="CCCCCC" w:sz="1"/>
              <w:right w:val="single" w:color="CCCCCC" w:sz="1"/>
            </w:tcBorders>
            <w:shd w:fill="E2EFDA" w:val="clear"/>
          </w:tcPr>
          <w:p>
            <w:pPr>
              <w:jc w:val="right"/>
            </w:pPr>
            <w:r>
              <w:rPr>
                <w:b/>
                <w:bCs/>
              </w:rPr>
              <w:t xml:space="preserve">$7,100</w:t>
            </w:r>
          </w:p>
        </w:tc>
        <w:tc>
          <w:tcPr>
            <w:tcW w:type="dxa" w:w="1170"/>
            <w:tcBorders>
              <w:top w:val="single" w:color="CCCCCC" w:sz="1"/>
              <w:left w:val="single" w:color="CCCCCC" w:sz="1"/>
              <w:bottom w:val="single" w:color="CCCCCC" w:sz="1"/>
              <w:right w:val="single" w:color="CCCCCC" w:sz="1"/>
            </w:tcBorders>
            <w:shd w:fill="E2EFDA" w:val="clear"/>
          </w:tcPr>
          <w:p>
            <w:pPr>
              <w:jc w:val="right"/>
            </w:pPr>
            <w:r>
              <w:rPr>
                <w:b/>
                <w:bCs/>
              </w:rPr>
              <w:t xml:space="preserve">$8,600</w:t>
            </w:r>
          </w:p>
        </w:tc>
        <w:tc>
          <w:tcPr>
            <w:tcW w:type="dxa" w:w="702"/>
            <w:tcBorders>
              <w:top w:val="single" w:color="CCCCCC" w:sz="1"/>
              <w:left w:val="single" w:color="CCCCCC" w:sz="1"/>
              <w:bottom w:val="single" w:color="CCCCCC" w:sz="1"/>
              <w:right w:val="single" w:color="CCCCCC" w:sz="1"/>
            </w:tcBorders>
            <w:shd w:fill="E2EFDA" w:val="clear"/>
          </w:tcPr>
          <w:p>
            <w:pPr>
              <w:jc w:val="right"/>
            </w:pPr>
            <w:r>
              <w:t xml:space="preserve">54%</w:t>
            </w:r>
          </w:p>
        </w:tc>
      </w:tr>
      <w:tr>
        <w:tc>
          <w:tcPr>
            <w:tcW w:type="dxa" w:w="2808"/>
            <w:tcBorders>
              <w:top w:val="single" w:color="CCCCCC" w:sz="1"/>
              <w:left w:val="single" w:color="CCCCCC" w:sz="1"/>
              <w:bottom w:val="single" w:color="CCCCCC" w:sz="1"/>
              <w:right w:val="single" w:color="CCCCCC" w:sz="1"/>
            </w:tcBorders>
            <w:shd w:fill="D9E2F3" w:val="clear"/>
          </w:tcPr>
          <w:p>
            <w:r>
              <w:rPr>
                <w:b/>
                <w:bCs/>
              </w:rPr>
              <w:t xml:space="preserve">ROE (%)</w:t>
            </w:r>
          </w:p>
        </w:tc>
        <w:tc>
          <w:tcPr>
            <w:tcW w:type="dxa" w:w="1170"/>
            <w:tcBorders>
              <w:top w:val="single" w:color="CCCCCC" w:sz="1"/>
              <w:left w:val="single" w:color="CCCCCC" w:sz="1"/>
              <w:bottom w:val="single" w:color="CCCCCC" w:sz="1"/>
              <w:right w:val="single" w:color="CCCCCC" w:sz="1"/>
            </w:tcBorders>
            <w:shd w:fill="D9E2F3" w:val="clear"/>
          </w:tcPr>
          <w:p>
            <w:pPr>
              <w:jc w:val="right"/>
            </w:pPr>
            <w:r>
              <w:rPr>
                <w:b/>
                <w:bCs/>
              </w:rPr>
              <w:t xml:space="preserve">10%</w:t>
            </w:r>
          </w:p>
        </w:tc>
        <w:tc>
          <w:tcPr>
            <w:tcW w:type="dxa" w:w="1170"/>
            <w:tcBorders>
              <w:top w:val="single" w:color="CCCCCC" w:sz="1"/>
              <w:left w:val="single" w:color="CCCCCC" w:sz="1"/>
              <w:bottom w:val="single" w:color="CCCCCC" w:sz="1"/>
              <w:right w:val="single" w:color="CCCCCC" w:sz="1"/>
            </w:tcBorders>
            <w:shd w:fill="D9E2F3" w:val="clear"/>
          </w:tcPr>
          <w:p>
            <w:pPr>
              <w:jc w:val="right"/>
            </w:pPr>
            <w:r>
              <w:rPr>
                <w:b/>
                <w:bCs/>
              </w:rPr>
              <w:t xml:space="preserve">18%</w:t>
            </w:r>
          </w:p>
        </w:tc>
        <w:tc>
          <w:tcPr>
            <w:tcW w:type="dxa" w:w="1170"/>
            <w:tcBorders>
              <w:top w:val="single" w:color="CCCCCC" w:sz="1"/>
              <w:left w:val="single" w:color="CCCCCC" w:sz="1"/>
              <w:bottom w:val="single" w:color="CCCCCC" w:sz="1"/>
              <w:right w:val="single" w:color="CCCCCC" w:sz="1"/>
            </w:tcBorders>
            <w:shd w:fill="D9E2F3" w:val="clear"/>
          </w:tcPr>
          <w:p>
            <w:pPr>
              <w:jc w:val="right"/>
            </w:pPr>
            <w:r>
              <w:rPr>
                <w:b/>
                <w:bCs/>
              </w:rPr>
              <w:t xml:space="preserve">22%</w:t>
            </w:r>
          </w:p>
        </w:tc>
        <w:tc>
          <w:tcPr>
            <w:tcW w:type="dxa" w:w="1170"/>
            <w:tcBorders>
              <w:top w:val="single" w:color="CCCCCC" w:sz="1"/>
              <w:left w:val="single" w:color="CCCCCC" w:sz="1"/>
              <w:bottom w:val="single" w:color="CCCCCC" w:sz="1"/>
              <w:right w:val="single" w:color="CCCCCC" w:sz="1"/>
            </w:tcBorders>
            <w:shd w:fill="D9E2F3" w:val="clear"/>
          </w:tcPr>
          <w:p>
            <w:pPr>
              <w:jc w:val="right"/>
            </w:pPr>
            <w:r>
              <w:rPr>
                <w:b/>
                <w:bCs/>
              </w:rPr>
              <w:t xml:space="preserve">24%</w:t>
            </w:r>
          </w:p>
        </w:tc>
        <w:tc>
          <w:tcPr>
            <w:tcW w:type="dxa" w:w="1170"/>
            <w:tcBorders>
              <w:top w:val="single" w:color="CCCCCC" w:sz="1"/>
              <w:left w:val="single" w:color="CCCCCC" w:sz="1"/>
              <w:bottom w:val="single" w:color="CCCCCC" w:sz="1"/>
              <w:right w:val="single" w:color="CCCCCC" w:sz="1"/>
            </w:tcBorders>
            <w:shd w:fill="D9E2F3" w:val="clear"/>
          </w:tcPr>
          <w:p>
            <w:pPr>
              <w:jc w:val="right"/>
            </w:pPr>
            <w:r>
              <w:rPr>
                <w:b/>
                <w:bCs/>
              </w:rPr>
              <w:t xml:space="preserve">25%</w:t>
            </w:r>
          </w:p>
        </w:tc>
        <w:tc>
          <w:tcPr>
            <w:tcW w:type="dxa" w:w="702"/>
            <w:tcBorders>
              <w:top w:val="single" w:color="CCCCCC" w:sz="1"/>
              <w:left w:val="single" w:color="CCCCCC" w:sz="1"/>
              <w:bottom w:val="single" w:color="CCCCCC" w:sz="1"/>
              <w:right w:val="single" w:color="CCCCCC" w:sz="1"/>
            </w:tcBorders>
            <w:shd w:fill="D9E2F3" w:val="clear"/>
          </w:tcPr>
          <w:p>
            <w:pPr>
              <w:jc w:val="right"/>
            </w:pPr>
            <w:r>
              <w:t xml:space="preserve">—</w:t>
            </w:r>
          </w:p>
        </w:tc>
      </w:tr>
    </w:tbl>
    <w:p>
      <w:pPr>
        <w:spacing w:after="240"/>
      </w:pPr>
    </w:p>
    <w:p>
      <w:pPr>
        <w:pStyle w:val="Heading2"/>
      </w:pPr>
      <w:r>
        <w:t xml:space="preserve">Return Analysis</w:t>
      </w:r>
    </w:p>
    <w:p>
      <w:pPr>
        <w:spacing w:after="180"/>
        <w:jc w:val="both"/>
      </w:pPr>
      <w:r>
        <w:t xml:space="preserve">Based on the financial projections above and conservative exit valuation assumptions, the Syndicate targets 18-24% IRR (Net to LPs) with 2.0-2.5x MOIC over a 7-year hold period.</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100"/>
          <w:left w:type="dxa" w:w="180"/>
          <w:bottom w:type="dxa" w:w="100"/>
          <w:right w:type="dxa" w:w="180"/>
        </w:tblCellMar>
      </w:tblPr>
      <w:tblGrid>
        <w:gridCol w:w="4680"/>
        <w:gridCol w:w="4680"/>
      </w:tblGrid>
      <w:tr>
        <w:trPr>
          <w:tblHeader/>
        </w:trPr>
        <w:tc>
          <w:tcPr>
            <w:tcW w:type="dxa" w:w="4680"/>
            <w:tcBorders>
              <w:top w:val="single" w:color="CCCCCC" w:sz="1"/>
              <w:left w:val="single" w:color="CCCCCC" w:sz="1"/>
              <w:bottom w:val="single" w:color="CCCCCC" w:sz="1"/>
              <w:right w:val="single" w:color="CCCCCC" w:sz="1"/>
            </w:tcBorders>
            <w:shd w:fill="D9E2F3" w:val="clear"/>
          </w:tcPr>
          <w:p>
            <w:pPr>
              <w:jc w:val="center"/>
            </w:pPr>
            <w:r>
              <w:rPr>
                <w:b/>
                <w:bCs/>
              </w:rPr>
              <w:t xml:space="preserve">Return Metric</w:t>
            </w:r>
          </w:p>
        </w:tc>
        <w:tc>
          <w:tcPr>
            <w:tcW w:type="dxa" w:w="4680"/>
            <w:tcBorders>
              <w:top w:val="single" w:color="CCCCCC" w:sz="1"/>
              <w:left w:val="single" w:color="CCCCCC" w:sz="1"/>
              <w:bottom w:val="single" w:color="CCCCCC" w:sz="1"/>
              <w:right w:val="single" w:color="CCCCCC" w:sz="1"/>
            </w:tcBorders>
            <w:shd w:fill="D9E2F3" w:val="clear"/>
          </w:tcPr>
          <w:p>
            <w:pPr>
              <w:jc w:val="center"/>
            </w:pPr>
            <w:r>
              <w:rPr>
                <w:b/>
                <w:bCs/>
              </w:rPr>
              <w:t xml:space="preserve">Target</w:t>
            </w:r>
          </w:p>
        </w:tc>
      </w:tr>
      <w:tr>
        <w:tc>
          <w:tcPr>
            <w:tcW w:type="dxa" w:w="4680"/>
            <w:tcBorders>
              <w:top w:val="single" w:color="CCCCCC" w:sz="1"/>
              <w:left w:val="single" w:color="CCCCCC" w:sz="1"/>
              <w:bottom w:val="single" w:color="CCCCCC" w:sz="1"/>
              <w:right w:val="single" w:color="CCCCCC" w:sz="1"/>
            </w:tcBorders>
          </w:tcPr>
          <w:p>
            <w:r>
              <w:rPr>
                <w:b/>
                <w:bCs/>
              </w:rPr>
              <w:t xml:space="preserve">Target IRR (Net to LPs)</w:t>
            </w:r>
          </w:p>
        </w:tc>
        <w:tc>
          <w:tcPr>
            <w:tcW w:type="dxa" w:w="4680"/>
            <w:tcBorders>
              <w:top w:val="single" w:color="CCCCCC" w:sz="1"/>
              <w:left w:val="single" w:color="CCCCCC" w:sz="1"/>
              <w:bottom w:val="single" w:color="CCCCCC" w:sz="1"/>
              <w:right w:val="single" w:color="CCCCCC" w:sz="1"/>
            </w:tcBorders>
            <w:shd w:fill="E2EFDA" w:val="clear"/>
          </w:tcPr>
          <w:p>
            <w:pPr>
              <w:jc w:val="center"/>
            </w:pPr>
            <w:r>
              <w:rPr>
                <w:b/>
                <w:bCs/>
              </w:rPr>
              <w:t xml:space="preserve">18-24%</w:t>
            </w:r>
          </w:p>
        </w:tc>
      </w:tr>
      <w:tr>
        <w:tc>
          <w:tcPr>
            <w:tcW w:type="dxa" w:w="4680"/>
            <w:tcBorders>
              <w:top w:val="single" w:color="CCCCCC" w:sz="1"/>
              <w:left w:val="single" w:color="CCCCCC" w:sz="1"/>
              <w:bottom w:val="single" w:color="CCCCCC" w:sz="1"/>
              <w:right w:val="single" w:color="CCCCCC" w:sz="1"/>
            </w:tcBorders>
          </w:tcPr>
          <w:p>
            <w:r>
              <w:t xml:space="preserve">Target MOIC</w:t>
            </w:r>
          </w:p>
        </w:tc>
        <w:tc>
          <w:tcPr>
            <w:tcW w:type="dxa" w:w="4680"/>
            <w:tcBorders>
              <w:top w:val="single" w:color="CCCCCC" w:sz="1"/>
              <w:left w:val="single" w:color="CCCCCC" w:sz="1"/>
              <w:bottom w:val="single" w:color="CCCCCC" w:sz="1"/>
              <w:right w:val="single" w:color="CCCCCC" w:sz="1"/>
            </w:tcBorders>
          </w:tcPr>
          <w:p>
            <w:pPr>
              <w:jc w:val="center"/>
            </w:pPr>
            <w:r>
              <w:t xml:space="preserve">2.0-2.5x</w:t>
            </w:r>
          </w:p>
        </w:tc>
      </w:tr>
      <w:tr>
        <w:tc>
          <w:tcPr>
            <w:tcW w:type="dxa" w:w="4680"/>
            <w:tcBorders>
              <w:top w:val="single" w:color="CCCCCC" w:sz="1"/>
              <w:left w:val="single" w:color="CCCCCC" w:sz="1"/>
              <w:bottom w:val="single" w:color="CCCCCC" w:sz="1"/>
              <w:right w:val="single" w:color="CCCCCC" w:sz="1"/>
            </w:tcBorders>
          </w:tcPr>
          <w:p>
            <w:r>
              <w:t xml:space="preserve">Hold Period</w:t>
            </w:r>
          </w:p>
        </w:tc>
        <w:tc>
          <w:tcPr>
            <w:tcW w:type="dxa" w:w="4680"/>
            <w:tcBorders>
              <w:top w:val="single" w:color="CCCCCC" w:sz="1"/>
              <w:left w:val="single" w:color="CCCCCC" w:sz="1"/>
              <w:bottom w:val="single" w:color="CCCCCC" w:sz="1"/>
              <w:right w:val="single" w:color="CCCCCC" w:sz="1"/>
            </w:tcBorders>
          </w:tcPr>
          <w:p>
            <w:pPr>
              <w:jc w:val="center"/>
            </w:pPr>
            <w:r>
              <w:t xml:space="preserve">7 years</w:t>
            </w:r>
          </w:p>
        </w:tc>
      </w:tr>
      <w:tr>
        <w:tc>
          <w:tcPr>
            <w:tcW w:type="dxa" w:w="4680"/>
            <w:tcBorders>
              <w:top w:val="single" w:color="CCCCCC" w:sz="1"/>
              <w:left w:val="single" w:color="CCCCCC" w:sz="1"/>
              <w:bottom w:val="single" w:color="CCCCCC" w:sz="1"/>
              <w:right w:val="single" w:color="CCCCCC" w:sz="1"/>
            </w:tcBorders>
          </w:tcPr>
          <w:p>
            <w:r>
              <w:t xml:space="preserve">Exit Multiple (EBITDA)</w:t>
            </w:r>
          </w:p>
        </w:tc>
        <w:tc>
          <w:tcPr>
            <w:tcW w:type="dxa" w:w="4680"/>
            <w:tcBorders>
              <w:top w:val="single" w:color="CCCCCC" w:sz="1"/>
              <w:left w:val="single" w:color="CCCCCC" w:sz="1"/>
              <w:bottom w:val="single" w:color="CCCCCC" w:sz="1"/>
              <w:right w:val="single" w:color="CCCCCC" w:sz="1"/>
            </w:tcBorders>
          </w:tcPr>
          <w:p>
            <w:pPr>
              <w:jc w:val="center"/>
            </w:pPr>
            <w:r>
              <w:t xml:space="preserve">6.0-8.0x</w:t>
            </w:r>
          </w:p>
        </w:tc>
      </w:tr>
      <w:tr>
        <w:tc>
          <w:tcPr>
            <w:tcW w:type="dxa" w:w="4680"/>
            <w:tcBorders>
              <w:top w:val="single" w:color="CCCCCC" w:sz="1"/>
              <w:left w:val="single" w:color="CCCCCC" w:sz="1"/>
              <w:bottom w:val="single" w:color="CCCCCC" w:sz="1"/>
              <w:right w:val="single" w:color="CCCCCC" w:sz="1"/>
            </w:tcBorders>
          </w:tcPr>
          <w:p>
            <w:r>
              <w:t xml:space="preserve">Preferred Return</w:t>
            </w:r>
          </w:p>
        </w:tc>
        <w:tc>
          <w:tcPr>
            <w:tcW w:type="dxa" w:w="4680"/>
            <w:tcBorders>
              <w:top w:val="single" w:color="CCCCCC" w:sz="1"/>
              <w:left w:val="single" w:color="CCCCCC" w:sz="1"/>
              <w:bottom w:val="single" w:color="CCCCCC" w:sz="1"/>
              <w:right w:val="single" w:color="CCCCCC" w:sz="1"/>
            </w:tcBorders>
          </w:tcPr>
          <w:p>
            <w:pPr>
              <w:jc w:val="center"/>
            </w:pPr>
            <w:r>
              <w:t xml:space="preserve">8% annual</w:t>
            </w:r>
          </w:p>
        </w:tc>
      </w:tr>
    </w:tbl>
    <w:p>
      <w:r>
        <w:br w:type="page"/>
      </w:r>
    </w:p>
    <w:p>
      <w:pPr>
        <w:pStyle w:val="Heading1"/>
      </w:pPr>
      <w:r>
        <w:t xml:space="preserve">V. Management Team &amp; Governance</w:t>
      </w:r>
    </w:p>
    <w:p>
      <w:pPr>
        <w:pStyle w:val="Heading2"/>
      </w:pPr>
      <w:r>
        <w:t xml:space="preserve">Managing Partner</w:t>
      </w:r>
    </w:p>
    <w:p>
      <w:pPr>
        <w:spacing w:after="120"/>
      </w:pPr>
      <w:r>
        <w:rPr>
          <w:b/>
          <w:bCs/>
        </w:rPr>
        <w:t xml:space="preserve">Julio [Last Name] - Managing Partner &amp; General Partner</w:t>
      </w:r>
    </w:p>
    <w:p>
      <w:pPr>
        <w:spacing w:after="180"/>
        <w:jc w:val="both"/>
      </w:pPr>
      <w:r>
        <w:t xml:space="preserve">Julio brings 14+ years of deep automotive finance and operations experience to the Syndicate. His career progression from dealership floor operations through strategic finance leadership at multiple California automotive companies provides unique insights into dealer pain points and operational requirements.</w:t>
      </w:r>
    </w:p>
    <w:p>
      <w:pPr>
        <w:spacing w:after="120"/>
      </w:pPr>
      <w:r>
        <w:rPr>
          <w:b/>
          <w:bCs/>
        </w:rPr>
        <w:t xml:space="preserve">Relevant Experience:</w:t>
      </w:r>
    </w:p>
    <w:p>
      <w:pPr>
        <w:pStyle w:val="ListParagraph"/>
        <w:numPr>
          <w:ilvl w:val="0"/>
          <w:numId w:val="3"/>
        </w:numPr>
      </w:pPr>
      <w:r>
        <w:rPr>
          <w:b/>
          <w:bCs/>
        </w:rPr>
        <w:t xml:space="preserve">Area Sales Manager, Sacramento region: </w:t>
      </w:r>
      <w:r>
        <w:t xml:space="preserve">Managing $50M+ annual financing volume across multiple dealership relationships</w:t>
      </w:r>
    </w:p>
    <w:p>
      <w:pPr>
        <w:pStyle w:val="ListParagraph"/>
        <w:numPr>
          <w:ilvl w:val="0"/>
          <w:numId w:val="3"/>
        </w:numPr>
      </w:pPr>
      <w:r>
        <w:rPr>
          <w:b/>
          <w:bCs/>
        </w:rPr>
        <w:t xml:space="preserve">Operations Leadership: </w:t>
      </w:r>
      <w:r>
        <w:t xml:space="preserve">Direct experience with dealership logistics, vehicle movement, and operational pain points</w:t>
      </w:r>
    </w:p>
    <w:p>
      <w:pPr>
        <w:pStyle w:val="ListParagraph"/>
        <w:numPr>
          <w:ilvl w:val="0"/>
          <w:numId w:val="3"/>
        </w:numPr>
      </w:pPr>
      <w:r>
        <w:rPr>
          <w:b/>
          <w:bCs/>
        </w:rPr>
        <w:t xml:space="preserve">Used Car Dealership Owner: </w:t>
      </w:r>
      <w:r>
        <w:t xml:space="preserve">Operates dealership with proprietary inventory management software and auction purchasing systems</w:t>
      </w:r>
    </w:p>
    <w:p>
      <w:pPr>
        <w:pStyle w:val="ListParagraph"/>
        <w:numPr>
          <w:ilvl w:val="0"/>
          <w:numId w:val="3"/>
        </w:numPr>
      </w:pPr>
      <w:r>
        <w:rPr>
          <w:b/>
          <w:bCs/>
        </w:rPr>
        <w:t xml:space="preserve">Technology Development: </w:t>
      </w:r>
      <w:r>
        <w:t xml:space="preserve">Built proprietary software for inventory management and customer matching, demonstrating technology capability</w:t>
      </w:r>
    </w:p>
    <w:p>
      <w:pPr>
        <w:pStyle w:val="ListParagraph"/>
        <w:numPr>
          <w:ilvl w:val="0"/>
          <w:numId w:val="3"/>
        </w:numPr>
        <w:spacing w:after="240"/>
      </w:pPr>
      <w:r>
        <w:rPr>
          <w:b/>
          <w:bCs/>
        </w:rPr>
        <w:t xml:space="preserve">Industry Network: </w:t>
      </w:r>
      <w:r>
        <w:t xml:space="preserve">Established relationships across California dealer community and deep understanding of CNCDA member needs</w:t>
      </w:r>
    </w:p>
    <w:p>
      <w:pPr>
        <w:pStyle w:val="Heading2"/>
      </w:pPr>
      <w:r>
        <w:t xml:space="preserve">Advisory Board</w:t>
      </w:r>
    </w:p>
    <w:p>
      <w:pPr>
        <w:spacing w:after="180"/>
        <w:jc w:val="both"/>
      </w:pPr>
      <w:r>
        <w:t xml:space="preserve">The Syndicate will establish a professional Advisory Board comprised of automotive industry veterans, logistics experts, and institutional investment professionals. Key advisory roles include:</w:t>
      </w:r>
    </w:p>
    <w:p>
      <w:pPr>
        <w:pStyle w:val="ListParagraph"/>
        <w:numPr>
          <w:ilvl w:val="0"/>
          <w:numId w:val="3"/>
        </w:numPr>
      </w:pPr>
      <w:r>
        <w:rPr>
          <w:b/>
          <w:bCs/>
        </w:rPr>
        <w:t xml:space="preserve">Automotive Logistics Advisor: </w:t>
      </w:r>
      <w:r>
        <w:t xml:space="preserve">Former executive from Carvana or CarMax logistics operations with proven track record in vertical integration</w:t>
      </w:r>
    </w:p>
    <w:p>
      <w:pPr>
        <w:pStyle w:val="ListParagraph"/>
        <w:numPr>
          <w:ilvl w:val="0"/>
          <w:numId w:val="3"/>
        </w:numPr>
      </w:pPr>
      <w:r>
        <w:rPr>
          <w:b/>
          <w:bCs/>
        </w:rPr>
        <w:t xml:space="preserve">California Regulatory Advisor: </w:t>
      </w:r>
      <w:r>
        <w:t xml:space="preserve">CARB compliance specialist with expertise in Clean Truck Check and Advanced Clean Fleets regulations</w:t>
      </w:r>
    </w:p>
    <w:p>
      <w:pPr>
        <w:pStyle w:val="ListParagraph"/>
        <w:numPr>
          <w:ilvl w:val="0"/>
          <w:numId w:val="3"/>
        </w:numPr>
      </w:pPr>
      <w:r>
        <w:rPr>
          <w:b/>
          <w:bCs/>
        </w:rPr>
        <w:t xml:space="preserve">Dealer Association Representative: </w:t>
      </w:r>
      <w:r>
        <w:t xml:space="preserve">CNCDA leadership or former leadership with member relationships and industry credibility</w:t>
      </w:r>
    </w:p>
    <w:p>
      <w:pPr>
        <w:pStyle w:val="ListParagraph"/>
        <w:numPr>
          <w:ilvl w:val="0"/>
          <w:numId w:val="3"/>
        </w:numPr>
        <w:spacing w:after="240"/>
      </w:pPr>
      <w:r>
        <w:rPr>
          <w:b/>
          <w:bCs/>
        </w:rPr>
        <w:t xml:space="preserve">Institutional Investment Advisor: </w:t>
      </w:r>
      <w:r>
        <w:t xml:space="preserve">Private equity or infrastructure fund professional with emerging manager investment experience</w:t>
      </w:r>
    </w:p>
    <w:p>
      <w:pPr>
        <w:pStyle w:val="Heading2"/>
      </w:pPr>
      <w:r>
        <w:t xml:space="preserve">Governance Structure</w:t>
      </w:r>
    </w:p>
    <w:p>
      <w:pPr>
        <w:spacing w:after="180"/>
        <w:jc w:val="both"/>
      </w:pPr>
      <w:r>
        <w:t xml:space="preserve">The Syndicate operates as a Delaware Limited Partnership with institutional-grade governance provisions designed to protect limited partner interests while enabling effective operational decision-making.</w:t>
      </w:r>
    </w:p>
    <w:p>
      <w:pPr>
        <w:pStyle w:val="Heading3"/>
      </w:pPr>
      <w:r>
        <w:t xml:space="preserve">Limited Partner Advisory Committee (LPAC)</w:t>
      </w:r>
    </w:p>
    <w:p>
      <w:pPr>
        <w:spacing w:after="120"/>
        <w:jc w:val="both"/>
      </w:pPr>
      <w:r>
        <w:t xml:space="preserve">Comprised of representatives from founding limited partners, the LPAC provides oversight and approval for:</w:t>
      </w:r>
    </w:p>
    <w:p>
      <w:pPr>
        <w:pStyle w:val="ListParagraph"/>
        <w:numPr>
          <w:ilvl w:val="0"/>
          <w:numId w:val="3"/>
        </w:numPr>
      </w:pPr>
      <w:r>
        <w:t xml:space="preserve">Major capital expenditures exceeding $500,000</w:t>
      </w:r>
    </w:p>
    <w:p>
      <w:pPr>
        <w:pStyle w:val="ListParagraph"/>
        <w:numPr>
          <w:ilvl w:val="0"/>
          <w:numId w:val="3"/>
        </w:numPr>
      </w:pPr>
      <w:r>
        <w:t xml:space="preserve">Changes to investment strategy or geographic focus</w:t>
      </w:r>
    </w:p>
    <w:p>
      <w:pPr>
        <w:pStyle w:val="ListParagraph"/>
        <w:numPr>
          <w:ilvl w:val="0"/>
          <w:numId w:val="3"/>
        </w:numPr>
      </w:pPr>
      <w:r>
        <w:t xml:space="preserve">Related party transactions and potential conflicts of interest</w:t>
      </w:r>
    </w:p>
    <w:p>
      <w:pPr>
        <w:pStyle w:val="ListParagraph"/>
        <w:numPr>
          <w:ilvl w:val="0"/>
          <w:numId w:val="3"/>
        </w:numPr>
        <w:spacing w:after="240"/>
      </w:pPr>
      <w:r>
        <w:t xml:space="preserve">Key hirings including COO, CFO, and other C-level positions</w:t>
      </w:r>
    </w:p>
    <w:p>
      <w:r>
        <w:br w:type="page"/>
      </w:r>
    </w:p>
    <w:p>
      <w:pPr>
        <w:pStyle w:val="Heading1"/>
      </w:pPr>
      <w:r>
        <w:t xml:space="preserve">VI. Risk Factors &amp; Mitigation</w:t>
      </w:r>
    </w:p>
    <w:p>
      <w:pPr>
        <w:pStyle w:val="Heading2"/>
      </w:pPr>
      <w:r>
        <w:t xml:space="preserve">Market &amp; Execution Risks</w:t>
      </w:r>
    </w:p>
    <w:p>
      <w:pPr>
        <w:pStyle w:val="Heading3"/>
      </w:pPr>
      <w:r>
        <w:t xml:space="preserve">Volume Risk</w:t>
      </w:r>
    </w:p>
    <w:p>
      <w:pPr>
        <w:spacing w:after="120"/>
        <w:jc w:val="both"/>
      </w:pPr>
      <w:r>
        <w:rPr>
          <w:b/>
          <w:bCs/>
        </w:rPr>
        <w:t xml:space="preserve">Risk: </w:t>
      </w:r>
      <w:r>
        <w:t xml:space="preserve">Lower than projected dealer adoption could result in insufficient volume to achieve economies of scale.</w:t>
      </w:r>
    </w:p>
    <w:p>
      <w:pPr>
        <w:spacing w:after="240"/>
        <w:jc w:val="both"/>
      </w:pPr>
      <w:r>
        <w:rPr>
          <w:b/>
          <w:bCs/>
        </w:rPr>
        <w:t xml:space="preserve">Mitigation: </w:t>
      </w:r>
      <w:r>
        <w:t xml:space="preserve">Pre-launch commitments from founding dealer partners ensure minimum volume thresholds before full deployment. Phased rollout approach allows adjustment of capacity to actual demand. CNCDA endorsement and member communication provides credible marketing channel.</w:t>
      </w:r>
    </w:p>
    <w:p>
      <w:pPr>
        <w:pStyle w:val="Heading3"/>
      </w:pPr>
      <w:r>
        <w:t xml:space="preserve">Competitive Response Risk</w:t>
      </w:r>
    </w:p>
    <w:p>
      <w:pPr>
        <w:spacing w:after="120"/>
        <w:jc w:val="both"/>
      </w:pPr>
      <w:r>
        <w:rPr>
          <w:b/>
          <w:bCs/>
        </w:rPr>
        <w:t xml:space="preserve">Risk: </w:t>
      </w:r>
      <w:r>
        <w:t xml:space="preserve">Existing brokers may reduce prices aggressively to defend market share, compressing Syndicate margins.</w:t>
      </w:r>
    </w:p>
    <w:p>
      <w:pPr>
        <w:spacing w:after="240"/>
        <w:jc w:val="both"/>
      </w:pPr>
      <w:r>
        <w:rPr>
          <w:b/>
          <w:bCs/>
        </w:rPr>
        <w:t xml:space="preserve">Mitigation: </w:t>
      </w:r>
      <w:r>
        <w:t xml:space="preserve">Sustainable cost structure based on asset ownership (not temporary price cuts) protects long-term economics. Member ownership model creates loyalty that pure pricing cannot overcome. Regulatory compliance infrastructure and guaranteed capacity provide differentiation beyond price.</w:t>
      </w:r>
    </w:p>
    <w:p>
      <w:pPr>
        <w:pStyle w:val="Heading3"/>
      </w:pPr>
      <w:r>
        <w:t xml:space="preserve">Operational Execution Risk</w:t>
      </w:r>
    </w:p>
    <w:p>
      <w:pPr>
        <w:spacing w:after="120"/>
        <w:jc w:val="both"/>
      </w:pPr>
      <w:r>
        <w:rPr>
          <w:b/>
          <w:bCs/>
        </w:rPr>
        <w:t xml:space="preserve">Risk: </w:t>
      </w:r>
      <w:r>
        <w:t xml:space="preserve">Building logistics infrastructure and achieving operational excellence requires significant expertise and flawless execution.</w:t>
      </w:r>
    </w:p>
    <w:p>
      <w:pPr>
        <w:spacing w:after="240"/>
        <w:jc w:val="both"/>
      </w:pPr>
      <w:r>
        <w:rPr>
          <w:b/>
          <w:bCs/>
        </w:rPr>
        <w:t xml:space="preserve">Mitigation: </w:t>
      </w:r>
      <w:r>
        <w:t xml:space="preserve">Advisory Board includes proven logistics executives from comparable operations. Technology platform accelerates route optimization and reduces manual coordination. Phased deployment allows learning and refinement before full-scale operations. Hybrid model with partner carriers provides flexibility and reduces initial capital risk.</w:t>
      </w:r>
    </w:p>
    <w:p>
      <w:pPr>
        <w:pStyle w:val="Heading2"/>
      </w:pPr>
      <w:r>
        <w:t xml:space="preserve">Regulatory &amp; Environmental Risks</w:t>
      </w:r>
    </w:p>
    <w:p>
      <w:pPr>
        <w:pStyle w:val="Heading3"/>
      </w:pPr>
      <w:r>
        <w:t xml:space="preserve">CARB Compliance Risk</w:t>
      </w:r>
    </w:p>
    <w:p>
      <w:pPr>
        <w:spacing w:after="120"/>
        <w:jc w:val="both"/>
      </w:pPr>
      <w:r>
        <w:rPr>
          <w:b/>
          <w:bCs/>
        </w:rPr>
        <w:t xml:space="preserve">Risk: </w:t>
      </w:r>
      <w:r>
        <w:t xml:space="preserve">California's Advanced Clean Fleets regulation requires zero-emission vehicle transition, potentially increasing capital costs.</w:t>
      </w:r>
    </w:p>
    <w:p>
      <w:pPr>
        <w:spacing w:after="240"/>
        <w:jc w:val="both"/>
      </w:pPr>
      <w:r>
        <w:rPr>
          <w:b/>
          <w:bCs/>
        </w:rPr>
        <w:t xml:space="preserve">Mitigation: </w:t>
      </w:r>
      <w:r>
        <w:t xml:space="preserve">Initial fleet sizing accounts for transition requirements. Phased deployment timeline aligns with ZEV availability and infrastructure development. Professional compliance team monitors regulatory changes and adapts strategy proactively. Potential for grant funding and incentives to offset transition costs.</w:t>
      </w:r>
    </w:p>
    <w:p>
      <w:pPr>
        <w:pStyle w:val="Heading2"/>
      </w:pPr>
      <w:r>
        <w:t xml:space="preserve">Financial Risks</w:t>
      </w:r>
    </w:p>
    <w:p>
      <w:pPr>
        <w:pStyle w:val="Heading3"/>
      </w:pPr>
      <w:r>
        <w:t xml:space="preserve">Capital Requirements Risk</w:t>
      </w:r>
    </w:p>
    <w:p>
      <w:pPr>
        <w:spacing w:after="120"/>
        <w:jc w:val="both"/>
      </w:pPr>
      <w:r>
        <w:rPr>
          <w:b/>
          <w:bCs/>
        </w:rPr>
        <w:t xml:space="preserve">Risk: </w:t>
      </w:r>
      <w:r>
        <w:t xml:space="preserve">Infrastructure buildout may require more capital than initially projected, diluting returns or requiring additional fundraising.</w:t>
      </w:r>
    </w:p>
    <w:p>
      <w:pPr>
        <w:spacing w:after="240"/>
        <w:jc w:val="both"/>
      </w:pPr>
      <w:r>
        <w:rPr>
          <w:b/>
          <w:bCs/>
        </w:rPr>
        <w:t xml:space="preserve">Mitigation: </w:t>
      </w:r>
      <w:r>
        <w:t xml:space="preserve">Conservative capital budgeting with 20% contingency reserves. Phased capital deployment tied to volume milestones prevents over-investment. Asset-light hybrid model reduces upfront capital requirements while maintaining operational control. Credit facilities and equipment financing provide additional capital sources if needed.</w:t>
      </w:r>
    </w:p>
    <w:p>
      <w:r>
        <w:br w:type="page"/>
      </w:r>
    </w:p>
    <w:p>
      <w:pPr>
        <w:pStyle w:val="Heading1"/>
      </w:pPr>
      <w:r>
        <w:t xml:space="preserve">VII. California Economic &amp; Environmental Impact</w:t>
      </w:r>
    </w:p>
    <w:p>
      <w:pPr>
        <w:pStyle w:val="Heading2"/>
      </w:pPr>
      <w:r>
        <w:t xml:space="preserve">Economic Benefits</w:t>
      </w:r>
    </w:p>
    <w:p>
      <w:pPr>
        <w:spacing w:after="180"/>
        <w:jc w:val="both"/>
      </w:pPr>
      <w:r>
        <w:t xml:space="preserve">The Syndicate represents significant economic development for California through direct job creation, infrastructure investment, and cost savings that enhance California dealer competitiveness.</w:t>
      </w:r>
    </w:p>
    <w:p>
      <w:pPr>
        <w:pStyle w:val="Heading3"/>
      </w:pPr>
      <w:r>
        <w:t xml:space="preserve">Direct Job Creation</w:t>
      </w:r>
    </w:p>
    <w:p>
      <w:pPr>
        <w:pStyle w:val="ListParagraph"/>
        <w:numPr>
          <w:ilvl w:val="0"/>
          <w:numId w:val="3"/>
        </w:numPr>
      </w:pPr>
      <w:r>
        <w:t xml:space="preserve">150-200 California-based jobs by Year 5 across:</w:t>
      </w:r>
    </w:p>
    <w:p>
      <w:pPr>
        <w:pStyle w:val="ListParagraph"/>
        <w:numPr>
          <w:ilvl w:val="0"/>
          <w:numId w:val="3"/>
        </w:numPr>
      </w:pPr>
      <w:r>
        <w:t xml:space="preserve">Professional truck drivers (CDL-required positions with competitive wages)</w:t>
      </w:r>
    </w:p>
    <w:p>
      <w:pPr>
        <w:pStyle w:val="ListParagraph"/>
        <w:numPr>
          <w:ilvl w:val="0"/>
          <w:numId w:val="3"/>
        </w:numPr>
      </w:pPr>
      <w:r>
        <w:t xml:space="preserve">Logistics coordinators and dispatchers</w:t>
      </w:r>
    </w:p>
    <w:p>
      <w:pPr>
        <w:pStyle w:val="ListParagraph"/>
        <w:numPr>
          <w:ilvl w:val="0"/>
          <w:numId w:val="3"/>
        </w:numPr>
      </w:pPr>
      <w:r>
        <w:t xml:space="preserve">CARB compliance and regulatory specialists</w:t>
      </w:r>
    </w:p>
    <w:p>
      <w:pPr>
        <w:pStyle w:val="ListParagraph"/>
        <w:numPr>
          <w:ilvl w:val="0"/>
          <w:numId w:val="3"/>
        </w:numPr>
      </w:pPr>
      <w:r>
        <w:t xml:space="preserve">Fleet maintenance and repair technicians</w:t>
      </w:r>
    </w:p>
    <w:p>
      <w:pPr>
        <w:pStyle w:val="ListParagraph"/>
        <w:numPr>
          <w:ilvl w:val="0"/>
          <w:numId w:val="3"/>
        </w:numPr>
        <w:spacing w:after="180"/>
      </w:pPr>
      <w:r>
        <w:t xml:space="preserve">Operations and administrative support staff</w:t>
      </w:r>
    </w:p>
    <w:p>
      <w:pPr>
        <w:pStyle w:val="Heading3"/>
      </w:pPr>
      <w:r>
        <w:t xml:space="preserve">Dealer Cost Savings</w:t>
      </w:r>
    </w:p>
    <w:p>
      <w:pPr>
        <w:spacing w:after="120"/>
        <w:jc w:val="both"/>
      </w:pPr>
      <w:r>
        <w:t xml:space="preserve">$120-240M in annual cost savings redirected to California dealers enhances:</w:t>
      </w:r>
    </w:p>
    <w:p>
      <w:pPr>
        <w:pStyle w:val="ListParagraph"/>
        <w:numPr>
          <w:ilvl w:val="0"/>
          <w:numId w:val="3"/>
        </w:numPr>
      </w:pPr>
      <w:r>
        <w:t xml:space="preserve">Dealer profitability and financial stability</w:t>
      </w:r>
    </w:p>
    <w:p>
      <w:pPr>
        <w:pStyle w:val="ListParagraph"/>
        <w:numPr>
          <w:ilvl w:val="0"/>
          <w:numId w:val="3"/>
        </w:numPr>
      </w:pPr>
      <w:r>
        <w:t xml:space="preserve">Competitive positioning versus out-of-state dealers</w:t>
      </w:r>
    </w:p>
    <w:p>
      <w:pPr>
        <w:pStyle w:val="ListParagraph"/>
        <w:numPr>
          <w:ilvl w:val="0"/>
          <w:numId w:val="3"/>
        </w:numPr>
      </w:pPr>
      <w:r>
        <w:t xml:space="preserve">Reinvestment capacity in facilities, technology, and inventory</w:t>
      </w:r>
    </w:p>
    <w:p>
      <w:pPr>
        <w:pStyle w:val="ListParagraph"/>
        <w:numPr>
          <w:ilvl w:val="0"/>
          <w:numId w:val="3"/>
        </w:numPr>
        <w:spacing w:after="240"/>
      </w:pPr>
      <w:r>
        <w:t xml:space="preserve">Working capital availability for expansion and growth</w:t>
      </w:r>
    </w:p>
    <w:p>
      <w:pPr>
        <w:pStyle w:val="Heading2"/>
      </w:pPr>
      <w:r>
        <w:t xml:space="preserve">Environmental Leadership</w:t>
      </w:r>
    </w:p>
    <w:p>
      <w:pPr>
        <w:spacing w:after="180"/>
        <w:jc w:val="both"/>
      </w:pPr>
      <w:r>
        <w:t xml:space="preserve">The Syndicate's zero-emission vehicle transition readiness positions California dealers as environmental leaders while supporting state climate goals.</w:t>
      </w:r>
    </w:p>
    <w:p>
      <w:pPr>
        <w:pStyle w:val="Heading3"/>
      </w:pPr>
      <w:r>
        <w:t xml:space="preserve">Advanced Clean Fleets Compliance</w:t>
      </w:r>
    </w:p>
    <w:p>
      <w:pPr>
        <w:spacing w:after="120"/>
        <w:jc w:val="both"/>
      </w:pPr>
      <w:r>
        <w:t xml:space="preserve">California's Advanced Clean Fleets regulation requires high-priority fleet operators to transition to zero-emission vehicles. The Syndicate's professional compliance infrastructure ensures:</w:t>
      </w:r>
    </w:p>
    <w:p>
      <w:pPr>
        <w:pStyle w:val="ListParagraph"/>
        <w:numPr>
          <w:ilvl w:val="0"/>
          <w:numId w:val="3"/>
        </w:numPr>
      </w:pPr>
      <w:r>
        <w:t xml:space="preserve">Proactive transition planning aligned with regulatory timeline</w:t>
      </w:r>
    </w:p>
    <w:p>
      <w:pPr>
        <w:pStyle w:val="ListParagraph"/>
        <w:numPr>
          <w:ilvl w:val="0"/>
          <w:numId w:val="3"/>
        </w:numPr>
      </w:pPr>
      <w:r>
        <w:t xml:space="preserve">Access to grant funding and incentive programs</w:t>
      </w:r>
    </w:p>
    <w:p>
      <w:pPr>
        <w:pStyle w:val="ListParagraph"/>
        <w:numPr>
          <w:ilvl w:val="0"/>
          <w:numId w:val="3"/>
        </w:numPr>
      </w:pPr>
      <w:r>
        <w:t xml:space="preserve">Charging infrastructure development and deployment</w:t>
      </w:r>
    </w:p>
    <w:p>
      <w:pPr>
        <w:pStyle w:val="ListParagraph"/>
        <w:numPr>
          <w:ilvl w:val="0"/>
          <w:numId w:val="3"/>
        </w:numPr>
        <w:spacing w:after="240"/>
      </w:pPr>
      <w:r>
        <w:t xml:space="preserve">Cost-effective ZEV acquisition and operations</w:t>
      </w:r>
    </w:p>
    <w:p>
      <w:r>
        <w:br w:type="page"/>
      </w:r>
    </w:p>
    <w:p>
      <w:pPr>
        <w:pStyle w:val="Heading1"/>
      </w:pPr>
      <w:r>
        <w:t xml:space="preserve">VIII. Investment Process &amp; Next Steps</w:t>
      </w:r>
    </w:p>
    <w:p>
      <w:pPr>
        <w:pStyle w:val="Heading2"/>
      </w:pPr>
      <w:r>
        <w:t xml:space="preserve">Due Diligence Materials Available</w:t>
      </w:r>
    </w:p>
    <w:p>
      <w:pPr>
        <w:spacing w:after="120"/>
      </w:pPr>
      <w:r>
        <w:t xml:space="preserve">The following materials are available for institutional investor review:</w:t>
      </w:r>
    </w:p>
    <w:p>
      <w:pPr>
        <w:pStyle w:val="ListParagraph"/>
        <w:numPr>
          <w:ilvl w:val="0"/>
          <w:numId w:val="4"/>
        </w:numPr>
      </w:pPr>
      <w:r>
        <w:rPr>
          <w:b/>
          <w:bCs/>
        </w:rPr>
        <w:t xml:space="preserve">Detailed Financial Model: </w:t>
      </w:r>
      <w:r>
        <w:t xml:space="preserve">Excel-based model with sensitivity analysis, scenario planning, and monthly cash flow projections</w:t>
      </w:r>
    </w:p>
    <w:p>
      <w:pPr>
        <w:pStyle w:val="ListParagraph"/>
        <w:numPr>
          <w:ilvl w:val="0"/>
          <w:numId w:val="4"/>
        </w:numPr>
      </w:pPr>
      <w:r>
        <w:rPr>
          <w:b/>
          <w:bCs/>
        </w:rPr>
        <w:t xml:space="preserve">Case Study Analysis: </w:t>
      </w:r>
      <w:r>
        <w:t xml:space="preserve">Comprehensive review of Carvana and CarMax vertical integration strategies with lessons learned</w:t>
      </w:r>
    </w:p>
    <w:p>
      <w:pPr>
        <w:pStyle w:val="ListParagraph"/>
        <w:numPr>
          <w:ilvl w:val="0"/>
          <w:numId w:val="4"/>
        </w:numPr>
      </w:pPr>
      <w:r>
        <w:rPr>
          <w:b/>
          <w:bCs/>
        </w:rPr>
        <w:t xml:space="preserve">Regulatory Compliance Framework: </w:t>
      </w:r>
      <w:r>
        <w:t xml:space="preserve">Detailed CARB compliance strategy, Clean Truck Check procedures, and Advanced Clean Fleets transition plan</w:t>
      </w:r>
    </w:p>
    <w:p>
      <w:pPr>
        <w:pStyle w:val="ListParagraph"/>
        <w:numPr>
          <w:ilvl w:val="0"/>
          <w:numId w:val="4"/>
        </w:numPr>
      </w:pPr>
      <w:r>
        <w:rPr>
          <w:b/>
          <w:bCs/>
        </w:rPr>
        <w:t xml:space="preserve">Market Analysis: </w:t>
      </w:r>
      <w:r>
        <w:t xml:space="preserve">California dealer logistics market sizing, competitive landscape assessment, and growth projections</w:t>
      </w:r>
    </w:p>
    <w:p>
      <w:pPr>
        <w:pStyle w:val="ListParagraph"/>
        <w:numPr>
          <w:ilvl w:val="0"/>
          <w:numId w:val="4"/>
        </w:numPr>
      </w:pPr>
      <w:r>
        <w:rPr>
          <w:b/>
          <w:bCs/>
        </w:rPr>
        <w:t xml:space="preserve">Technology Platform Overview: </w:t>
      </w:r>
      <w:r>
        <w:t xml:space="preserve">Transportation Management System specifications and integration requirements</w:t>
      </w:r>
    </w:p>
    <w:p>
      <w:pPr>
        <w:pStyle w:val="ListParagraph"/>
        <w:numPr>
          <w:ilvl w:val="0"/>
          <w:numId w:val="4"/>
        </w:numPr>
        <w:spacing w:after="240"/>
      </w:pPr>
      <w:r>
        <w:rPr>
          <w:b/>
          <w:bCs/>
        </w:rPr>
        <w:t xml:space="preserve">Legal Documentation: </w:t>
      </w:r>
      <w:r>
        <w:t xml:space="preserve">Draft Limited Partnership Agreement, subscription documents, and governance provisions</w:t>
      </w:r>
    </w:p>
    <w:p>
      <w:pPr>
        <w:pStyle w:val="Heading2"/>
      </w:pPr>
      <w:r>
        <w:t xml:space="preserve">Investment Timeline</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100"/>
          <w:left w:type="dxa" w:w="180"/>
          <w:bottom w:type="dxa" w:w="100"/>
          <w:right w:type="dxa" w:w="180"/>
        </w:tblCellMar>
      </w:tblPr>
      <w:tblGrid>
        <w:gridCol w:w="3120"/>
        <w:gridCol w:w="6240"/>
      </w:tblGrid>
      <w:tr>
        <w:trPr>
          <w:tblHeader/>
        </w:trPr>
        <w:tc>
          <w:tcPr>
            <w:tcW w:type="dxa" w:w="3120"/>
            <w:tcBorders>
              <w:top w:val="single" w:color="CCCCCC" w:sz="1"/>
              <w:left w:val="single" w:color="CCCCCC" w:sz="1"/>
              <w:bottom w:val="single" w:color="CCCCCC" w:sz="1"/>
              <w:right w:val="single" w:color="CCCCCC" w:sz="1"/>
            </w:tcBorders>
            <w:shd w:fill="D9E2F3" w:val="clear"/>
          </w:tcPr>
          <w:p>
            <w:pPr>
              <w:jc w:val="center"/>
            </w:pPr>
            <w:r>
              <w:rPr>
                <w:b/>
                <w:bCs/>
              </w:rPr>
              <w:t xml:space="preserve">Phase</w:t>
            </w:r>
          </w:p>
        </w:tc>
        <w:tc>
          <w:tcPr>
            <w:tcW w:type="dxa" w:w="6240"/>
            <w:tcBorders>
              <w:top w:val="single" w:color="CCCCCC" w:sz="1"/>
              <w:left w:val="single" w:color="CCCCCC" w:sz="1"/>
              <w:bottom w:val="single" w:color="CCCCCC" w:sz="1"/>
              <w:right w:val="single" w:color="CCCCCC" w:sz="1"/>
            </w:tcBorders>
            <w:shd w:fill="D9E2F3" w:val="clear"/>
          </w:tcPr>
          <w:p>
            <w:pPr>
              <w:jc w:val="center"/>
            </w:pPr>
            <w:r>
              <w:rPr>
                <w:b/>
                <w:bCs/>
              </w:rPr>
              <w:t xml:space="preserve">Timeline &amp; Activities</w:t>
            </w:r>
          </w:p>
        </w:tc>
      </w:tr>
      <w:tr>
        <w:tc>
          <w:tcPr>
            <w:tcW w:type="dxa" w:w="3120"/>
            <w:tcBorders>
              <w:top w:val="single" w:color="CCCCCC" w:sz="1"/>
              <w:left w:val="single" w:color="CCCCCC" w:sz="1"/>
              <w:bottom w:val="single" w:color="CCCCCC" w:sz="1"/>
              <w:right w:val="single" w:color="CCCCCC" w:sz="1"/>
            </w:tcBorders>
          </w:tcPr>
          <w:p>
            <w:r>
              <w:rPr>
                <w:b/>
                <w:bCs/>
              </w:rPr>
              <w:t xml:space="preserve">Initial Discussions</w:t>
            </w:r>
          </w:p>
        </w:tc>
        <w:tc>
          <w:tcPr>
            <w:tcW w:type="dxa" w:w="6240"/>
            <w:tcBorders>
              <w:top w:val="single" w:color="CCCCCC" w:sz="1"/>
              <w:left w:val="single" w:color="CCCCCC" w:sz="1"/>
              <w:bottom w:val="single" w:color="CCCCCC" w:sz="1"/>
              <w:right w:val="single" w:color="CCCCCC" w:sz="1"/>
            </w:tcBorders>
          </w:tcPr>
          <w:p>
            <w:r>
              <w:t xml:space="preserve">Q1 2025 - Management presentations, Q&amp;A sessions, preliminary due diligence review</w:t>
            </w:r>
          </w:p>
        </w:tc>
      </w:tr>
      <w:tr>
        <w:tc>
          <w:tcPr>
            <w:tcW w:type="dxa" w:w="3120"/>
            <w:tcBorders>
              <w:top w:val="single" w:color="CCCCCC" w:sz="1"/>
              <w:left w:val="single" w:color="CCCCCC" w:sz="1"/>
              <w:bottom w:val="single" w:color="CCCCCC" w:sz="1"/>
              <w:right w:val="single" w:color="CCCCCC" w:sz="1"/>
            </w:tcBorders>
          </w:tcPr>
          <w:p>
            <w:r>
              <w:rPr>
                <w:b/>
                <w:bCs/>
              </w:rPr>
              <w:t xml:space="preserve">Due Diligence</w:t>
            </w:r>
          </w:p>
        </w:tc>
        <w:tc>
          <w:tcPr>
            <w:tcW w:type="dxa" w:w="6240"/>
            <w:tcBorders>
              <w:top w:val="single" w:color="CCCCCC" w:sz="1"/>
              <w:left w:val="single" w:color="CCCCCC" w:sz="1"/>
              <w:bottom w:val="single" w:color="CCCCCC" w:sz="1"/>
              <w:right w:val="single" w:color="CCCCCC" w:sz="1"/>
            </w:tcBorders>
          </w:tcPr>
          <w:p>
            <w:r>
              <w:t xml:space="preserve">Q1-Q2 2025 - Full data room access, site visits, reference checks, legal review</w:t>
            </w:r>
          </w:p>
        </w:tc>
      </w:tr>
      <w:tr>
        <w:tc>
          <w:tcPr>
            <w:tcW w:type="dxa" w:w="3120"/>
            <w:tcBorders>
              <w:top w:val="single" w:color="CCCCCC" w:sz="1"/>
              <w:left w:val="single" w:color="CCCCCC" w:sz="1"/>
              <w:bottom w:val="single" w:color="CCCCCC" w:sz="1"/>
              <w:right w:val="single" w:color="CCCCCC" w:sz="1"/>
            </w:tcBorders>
          </w:tcPr>
          <w:p>
            <w:r>
              <w:rPr>
                <w:b/>
                <w:bCs/>
              </w:rPr>
              <w:t xml:space="preserve">Investment Committee</w:t>
            </w:r>
          </w:p>
        </w:tc>
        <w:tc>
          <w:tcPr>
            <w:tcW w:type="dxa" w:w="6240"/>
            <w:tcBorders>
              <w:top w:val="single" w:color="CCCCCC" w:sz="1"/>
              <w:left w:val="single" w:color="CCCCCC" w:sz="1"/>
              <w:bottom w:val="single" w:color="CCCCCC" w:sz="1"/>
              <w:right w:val="single" w:color="CCCCCC" w:sz="1"/>
            </w:tcBorders>
          </w:tcPr>
          <w:p>
            <w:r>
              <w:t xml:space="preserve">Q2 2025 - Presentation to CalPERS Investment Committee for approval</w:t>
            </w:r>
          </w:p>
        </w:tc>
      </w:tr>
      <w:tr>
        <w:tc>
          <w:tcPr>
            <w:tcW w:type="dxa" w:w="3120"/>
            <w:tcBorders>
              <w:top w:val="single" w:color="CCCCCC" w:sz="1"/>
              <w:left w:val="single" w:color="CCCCCC" w:sz="1"/>
              <w:bottom w:val="single" w:color="CCCCCC" w:sz="1"/>
              <w:right w:val="single" w:color="CCCCCC" w:sz="1"/>
            </w:tcBorders>
          </w:tcPr>
          <w:p>
            <w:r>
              <w:rPr>
                <w:b/>
                <w:bCs/>
              </w:rPr>
              <w:t xml:space="preserve">First Close</w:t>
            </w:r>
          </w:p>
        </w:tc>
        <w:tc>
          <w:tcPr>
            <w:tcW w:type="dxa" w:w="6240"/>
            <w:tcBorders>
              <w:top w:val="single" w:color="CCCCCC" w:sz="1"/>
              <w:left w:val="single" w:color="CCCCCC" w:sz="1"/>
              <w:bottom w:val="single" w:color="CCCCCC" w:sz="1"/>
              <w:right w:val="single" w:color="CCCCCC" w:sz="1"/>
            </w:tcBorders>
          </w:tcPr>
          <w:p>
            <w:r>
              <w:t xml:space="preserve">Q2 2025 - Capital commitment and initial funding</w:t>
            </w:r>
          </w:p>
        </w:tc>
      </w:tr>
      <w:tr>
        <w:tc>
          <w:tcPr>
            <w:tcW w:type="dxa" w:w="3120"/>
            <w:tcBorders>
              <w:top w:val="single" w:color="CCCCCC" w:sz="1"/>
              <w:left w:val="single" w:color="CCCCCC" w:sz="1"/>
              <w:bottom w:val="single" w:color="CCCCCC" w:sz="1"/>
              <w:right w:val="single" w:color="CCCCCC" w:sz="1"/>
            </w:tcBorders>
          </w:tcPr>
          <w:p>
            <w:r>
              <w:rPr>
                <w:b/>
                <w:bCs/>
              </w:rPr>
              <w:t xml:space="preserve">Infrastructure Buildout</w:t>
            </w:r>
          </w:p>
        </w:tc>
        <w:tc>
          <w:tcPr>
            <w:tcW w:type="dxa" w:w="6240"/>
            <w:tcBorders>
              <w:top w:val="single" w:color="CCCCCC" w:sz="1"/>
              <w:left w:val="single" w:color="CCCCCC" w:sz="1"/>
              <w:bottom w:val="single" w:color="CCCCCC" w:sz="1"/>
              <w:right w:val="single" w:color="CCCCCC" w:sz="1"/>
            </w:tcBorders>
          </w:tcPr>
          <w:p>
            <w:r>
              <w:t xml:space="preserve">Q3 2025 - Q4 2026 - Facility acquisition, fleet deployment, technology implementation</w:t>
            </w:r>
          </w:p>
        </w:tc>
      </w:tr>
      <w:tr>
        <w:tc>
          <w:tcPr>
            <w:tcW w:type="dxa" w:w="3120"/>
            <w:tcBorders>
              <w:top w:val="single" w:color="CCCCCC" w:sz="1"/>
              <w:left w:val="single" w:color="CCCCCC" w:sz="1"/>
              <w:bottom w:val="single" w:color="CCCCCC" w:sz="1"/>
              <w:right w:val="single" w:color="CCCCCC" w:sz="1"/>
            </w:tcBorders>
          </w:tcPr>
          <w:p>
            <w:r>
              <w:rPr>
                <w:b/>
                <w:bCs/>
              </w:rPr>
              <w:t xml:space="preserve">Operations Launch</w:t>
            </w:r>
          </w:p>
        </w:tc>
        <w:tc>
          <w:tcPr>
            <w:tcW w:type="dxa" w:w="6240"/>
            <w:tcBorders>
              <w:top w:val="single" w:color="CCCCCC" w:sz="1"/>
              <w:left w:val="single" w:color="CCCCCC" w:sz="1"/>
              <w:bottom w:val="single" w:color="CCCCCC" w:sz="1"/>
              <w:right w:val="single" w:color="CCCCCC" w:sz="1"/>
            </w:tcBorders>
          </w:tcPr>
          <w:p>
            <w:r>
              <w:t xml:space="preserve">Q1 2026 - Begin serving founding dealer partners</w:t>
            </w:r>
          </w:p>
        </w:tc>
      </w:tr>
    </w:tbl>
    <w:p>
      <w:pPr>
        <w:spacing w:after="360"/>
      </w:pPr>
    </w:p>
    <w:p>
      <w:pPr>
        <w:pStyle w:val="Heading2"/>
      </w:pPr>
      <w:r>
        <w:t xml:space="preserve">Contact Information</w:t>
      </w:r>
    </w:p>
    <w:p>
      <w:pPr>
        <w:spacing w:after="60"/>
      </w:pPr>
      <w:r>
        <w:rPr>
          <w:b/>
          <w:bCs/>
          <w:sz w:val="24"/>
          <w:szCs w:val="24"/>
        </w:rPr>
        <w:t xml:space="preserve">Julio [Last Name]</w:t>
      </w:r>
    </w:p>
    <w:p>
      <w:pPr>
        <w:spacing w:after="60"/>
      </w:pPr>
      <w:r>
        <w:t xml:space="preserve">Managing Partner</w:t>
      </w:r>
    </w:p>
    <w:p>
      <w:pPr>
        <w:spacing w:after="60"/>
      </w:pPr>
      <w:r>
        <w:t xml:space="preserve">California Dealer Logistics Syndicate, LP</w:t>
      </w:r>
    </w:p>
    <w:p>
      <w:pPr>
        <w:spacing w:after="240"/>
      </w:pPr>
      <w:r>
        <w:t xml:space="preserve">Sacramento, California</w:t>
      </w:r>
    </w:p>
    <w:p>
      <w:pPr>
        <w:spacing w:after="60"/>
      </w:pPr>
      <w:r>
        <w:rPr>
          <w:b/>
          <w:bCs/>
        </w:rPr>
        <w:t xml:space="preserve">Email: </w:t>
      </w:r>
      <w:r>
        <w:t xml:space="preserve">[Email Address]</w:t>
      </w:r>
    </w:p>
    <w:p>
      <w:pPr>
        <w:spacing w:after="60"/>
      </w:pPr>
      <w:r>
        <w:rPr>
          <w:b/>
          <w:bCs/>
        </w:rPr>
        <w:t xml:space="preserve">Phone: </w:t>
      </w:r>
      <w:r>
        <w:t xml:space="preserve">[Phone Number]</w:t>
      </w:r>
    </w:p>
    <w:p>
      <w:pPr>
        <w:spacing w:after="360"/>
      </w:pPr>
      <w:r>
        <w:rPr>
          <w:b/>
          <w:bCs/>
        </w:rPr>
        <w:t xml:space="preserve">Website: </w:t>
      </w:r>
      <w:r>
        <w:t xml:space="preserve">[Website URL]</w:t>
      </w:r>
    </w:p>
    <w:p>
      <w:pPr>
        <w:spacing w:before="360" w:after="180"/>
        <w:jc w:val="center"/>
      </w:pPr>
      <w:r>
        <w:rPr>
          <w:b/>
          <w:bCs/>
          <w:sz w:val="24"/>
          <w:szCs w:val="24"/>
        </w:rPr>
        <w:t xml:space="preserve">For CalPERS Emerging Manager Program Submission</w:t>
      </w:r>
    </w:p>
    <w:p>
      <w:pPr>
        <w:jc w:val="center"/>
      </w:pPr>
      <w:r>
        <w:rPr>
          <w:sz w:val="22"/>
          <w:szCs w:val="22"/>
        </w:rPr>
        <w:t xml:space="preserve">GCM Elevate: emerging@gcmgrosvenor.com</w:t>
      </w:r>
    </w:p>
    <w:p>
      <w:pPr>
        <w:jc w:val="center"/>
      </w:pPr>
      <w:r>
        <w:rPr>
          <w:sz w:val="22"/>
          <w:szCs w:val="22"/>
        </w:rPr>
        <w:t xml:space="preserve">TPG Next: emergingmanagers@tpg.com</w:t>
      </w:r>
    </w:p>
    <w:p>
      <w:pPr>
        <w:jc w:val="center"/>
      </w:pPr>
      <w:r>
        <w:rPr>
          <w:sz w:val="22"/>
          <w:szCs w:val="22"/>
        </w:rPr>
        <w:t xml:space="preserve">CalPERS Direct Portal: https://ips.calpers.ca.gov/</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 w:numId="4">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Title">
    <w:name w:val="Title"/>
    <w:basedOn w:val="Normal"/>
    <w:pPr>
      <w:spacing w:before="0" w:after="240"/>
      <w:jc w:val="center"/>
    </w:pPr>
    <w:rPr>
      <w:rFonts w:ascii="Arial" w:cs="Arial" w:eastAsia="Arial" w:hAnsi="Arial"/>
      <w:b/>
      <w:bCs/>
      <w:color w:val="1F4E78"/>
      <w:sz w:val="56"/>
      <w:szCs w:val="56"/>
    </w:rPr>
  </w:style>
  <w:style w:type="paragraph" w:styleId="Heading1">
    <w:name w:val="Heading 1"/>
    <w:basedOn w:val="Normal"/>
    <w:next w:val="Normal"/>
    <w:qFormat/>
    <w:pPr>
      <w:spacing w:before="360" w:after="180"/>
      <w:outlineLvl w:val="0"/>
    </w:pPr>
    <w:rPr>
      <w:rFonts w:ascii="Arial" w:cs="Arial" w:eastAsia="Arial" w:hAnsi="Arial"/>
      <w:b/>
      <w:bCs/>
      <w:color w:val="1F4E78"/>
      <w:sz w:val="32"/>
      <w:szCs w:val="32"/>
    </w:rPr>
  </w:style>
  <w:style w:type="paragraph" w:styleId="Heading2">
    <w:name w:val="Heading 2"/>
    <w:basedOn w:val="Normal"/>
    <w:next w:val="Normal"/>
    <w:qFormat/>
    <w:pPr>
      <w:spacing w:before="240" w:after="120"/>
      <w:outlineLvl w:val="1"/>
    </w:pPr>
    <w:rPr>
      <w:rFonts w:ascii="Arial" w:cs="Arial" w:eastAsia="Arial" w:hAnsi="Arial"/>
      <w:b/>
      <w:bCs/>
      <w:color w:val="2E5C8A"/>
      <w:sz w:val="28"/>
      <w:szCs w:val="28"/>
    </w:rPr>
  </w:style>
  <w:style w:type="paragraph" w:styleId="Heading3">
    <w:name w:val="Heading 3"/>
    <w:basedOn w:val="Normal"/>
    <w:next w:val="Normal"/>
    <w:qFormat/>
    <w:pPr>
      <w:spacing w:before="180" w:after="100"/>
      <w:outlineLvl w:val="2"/>
    </w:pPr>
    <w:rPr>
      <w:rFonts w:ascii="Arial" w:cs="Arial" w:eastAsia="Arial" w:hAnsi="Arial"/>
      <w:b/>
      <w:bCs/>
      <w:color w:val="404040"/>
      <w:sz w:val="24"/>
      <w:szCs w:val="24"/>
    </w:rPr>
  </w:style>
  <w:style w:type="paragraph" w:styleId="subtitle">
    <w:name w:val="Subtitle"/>
    <w:basedOn w:val="Normal"/>
    <w:pPr>
      <w:spacing w:after="360"/>
      <w:jc w:val="center"/>
    </w:pPr>
    <w:rPr>
      <w:rFonts w:ascii="Arial" w:cs="Arial" w:eastAsia="Arial" w:hAnsi="Arial"/>
      <w:i/>
      <w:iCs/>
      <w:color w:val="595959"/>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2025-12-03T19:55:31.113Z</dcterms:created>
  <dcterms:modified xsi:type="dcterms:W3CDTF">2025-12-03T19:55:31.114Z</dcterms:modified>
</cp:coreProperties>
</file>

<file path=docProps/custom.xml><?xml version="1.0" encoding="utf-8"?>
<Properties xmlns="http://schemas.openxmlformats.org/officeDocument/2006/custom-properties" xmlns:vt="http://schemas.openxmlformats.org/officeDocument/2006/docPropsVTypes"/>
</file>