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595959"/>
          <w:sz w:val="20"/>
          <w:szCs w:val="20"/>
        </w:rPr>
        <w:t xml:space="preserve">STATE OF CALIFORNIA</w:t>
      </w:r>
    </w:p>
    <w:p>
      <w:pPr>
        <w:spacing w:after="80" w:before="0"/>
        <w:jc w:val="center"/>
      </w:pPr>
      <w:r>
        <w:rPr>
          <w:rFonts w:ascii="Arial" w:cs="Arial" w:eastAsia="Arial" w:hAnsi="Arial"/>
          <w:b/>
          <w:bCs/>
          <w:color w:val="595959"/>
          <w:sz w:val="20"/>
          <w:szCs w:val="20"/>
        </w:rPr>
        <w:t xml:space="preserve">CIVIL RIGHTS DEPARTMENT (CRD)</w:t>
      </w:r>
    </w:p>
    <w:p>
      <w:pPr>
        <w:spacing w:after="80" w:before="0"/>
        <w:jc w:val="center"/>
      </w:pPr>
      <w:r>
        <w:rPr>
          <w:rFonts w:ascii="Arial" w:cs="Arial" w:eastAsia="Arial" w:hAnsi="Arial"/>
          <w:b/>
          <w:bCs/>
          <w:color w:val="1F4E79"/>
          <w:sz w:val="28"/>
          <w:szCs w:val="28"/>
        </w:rPr>
        <w:t xml:space="preserve">COMPLAINT OF DISCRIMINATION, RETALIATION, AND WRONGFUL TERMINATION</w:t>
      </w:r>
    </w:p>
    <w:p>
      <w:pPr>
        <w:spacing w:after="40" w:before="0"/>
        <w:jc w:val="center"/>
      </w:pPr>
      <w:r>
        <w:rPr>
          <w:rFonts w:ascii="Arial" w:cs="Arial" w:eastAsia="Arial" w:hAnsi="Arial"/>
          <w:i/>
          <w:iCs/>
          <w:color w:val="595959"/>
          <w:sz w:val="20"/>
          <w:szCs w:val="20"/>
        </w:rPr>
        <w:t xml:space="preserve">Government Code § 12960 | FEHA | CFRA | FMLA | Title VII | ADA</w:t>
      </w:r>
    </w:p>
    <w:p>
      <w:pPr>
        <w:spacing w:after="40" w:before="0"/>
        <w:jc w:val="center"/>
      </w:pPr>
      <w:r>
        <w:rPr>
          <w:rFonts w:ascii="Arial" w:cs="Arial" w:eastAsia="Arial" w:hAnsi="Arial"/>
          <w:b/>
          <w:bCs/>
          <w:color w:val="C00000"/>
          <w:sz w:val="18"/>
          <w:szCs w:val="18"/>
        </w:rPr>
        <w:t xml:space="preserve">CONFIDENTIAL — ATTORNEY-CLIENT PRIVILEGED WORK PRODUCT</w:t>
      </w:r>
    </w:p>
    <w:p>
      <w:pPr>
        <w:pBdr>
          <w:bottom w:val="single" w:color="CCCCCC" w:sz="4" w:space="1"/>
        </w:pBdr>
        <w:spacing w:after="160" w:before="16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I. PARTIES</w:t>
      </w:r>
    </w:p>
    <w:p>
      <w:pPr>
        <w:pStyle w:val="Heading2"/>
        <w:spacing w:after="80" w:before="240"/>
      </w:pPr>
      <w:r>
        <w:rPr>
          <w:rFonts w:ascii="Arial" w:cs="Arial" w:eastAsia="Arial" w:hAnsi="Arial"/>
          <w:b/>
          <w:bCs/>
          <w:color w:val="1F4E79"/>
          <w:sz w:val="24"/>
          <w:szCs w:val="24"/>
        </w:rPr>
        <w:t xml:space="preserve">A. Complainant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Full Name:</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Julio Umanzor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Address:</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Sacramento, California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Employee ID:</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00823168</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Job Title:</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Portfolio Manager III — NextGear Capital (NGC)</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Department:</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CAI Portfolio Management — West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Employment:</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April 8, 2024 – September 25, 2025 (Involuntary Termination)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Annual Salary:</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$110,000 (hire) → $113,300 (merit raise, approx. late March/early April 2025)</w:t>
            </w:r>
          </w:p>
        </w:tc>
      </w:tr>
    </w:tbl>
    <w:p>
      <w:pPr>
        <w:spacing w:after="0" w:before="80"/>
      </w:pPr>
      <w:r>
        <w:t xml:space="preserve"/>
      </w:r>
    </w:p>
    <w:p>
      <w:pPr>
        <w:pStyle w:val="Heading2"/>
        <w:spacing w:after="80" w:before="240"/>
      </w:pPr>
      <w:r>
        <w:rPr>
          <w:rFonts w:ascii="Arial" w:cs="Arial" w:eastAsia="Arial" w:hAnsi="Arial"/>
          <w:b/>
          <w:bCs/>
          <w:color w:val="1F4E79"/>
          <w:sz w:val="24"/>
          <w:szCs w:val="24"/>
        </w:rPr>
        <w:t xml:space="preserve">B. Respondent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Employer:</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Cox Automotive, Inc. / Cox Enterprises / NextGear Capital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Address:</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6205-A Peachtree Dunwoody Rd., Atlanta, GA 30328</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CA Agent:</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CT Corporation System, 330 N Brand Blvd Ste 700, Glendale, CA 91203</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Phone:</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+1 (855) 449-0010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Employees:</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500+ (covered under Title VII, ADA, FMLA, FEHA, CFRA)</w:t>
            </w:r>
          </w:p>
        </w:tc>
      </w:tr>
    </w:tbl>
    <w:p>
      <w:pPr>
        <w:spacing w:after="0" w:before="40"/>
      </w:pPr>
      <w:r>
        <w:t xml:space="preserve"/>
      </w:r>
    </w:p>
    <w:p>
      <w:pPr>
        <w:pStyle w:val="Heading2"/>
        <w:spacing w:after="80" w:before="240"/>
      </w:pPr>
      <w:r>
        <w:rPr>
          <w:rFonts w:ascii="Arial" w:cs="Arial" w:eastAsia="Arial" w:hAnsi="Arial"/>
          <w:b/>
          <w:bCs/>
          <w:color w:val="1F4E79"/>
          <w:sz w:val="24"/>
          <w:szCs w:val="24"/>
        </w:rPr>
        <w:t xml:space="preserve">C. Key Respondent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Kari Sloan:</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Director of Portfolio Management (DPM) — Complainant’s direct supervisor. Primary decision-maker for all adverse actions.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Scott Cary:</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Senior District Portfolio Manager (SDPM) — Sloan’s supervisor.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Felix Lopez:</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Signed the September 25, 2025 separation document.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Joe Adamson:</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Lead Risk Specialist 2 (LRS 2) — authored the January 31, 2025 risk review email on the Lugo account.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Gianina McManus:</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Cox Automotive HR Manager — personally contacted Complainant regarding the June 2024 firearms assault at a Cox corporate event.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0"/>
                <w:szCs w:val="20"/>
              </w:rPr>
              <w:t xml:space="preserve">Kevon Knudsen:</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20"/>
                <w:szCs w:val="20"/>
              </w:rPr>
              <w:t xml:space="preserve">Regional Audit Manager — formerly covered Sacramento East territory; championed the Flex program before promotion.</w:t>
            </w:r>
          </w:p>
        </w:tc>
      </w:tr>
    </w:tbl>
    <w:p>
      <w:pPr>
        <w:pBdr>
          <w:bottom w:val="single" w:color="CCCCCC" w:sz="4" w:space="1"/>
        </w:pBdr>
        <w:spacing w:after="160" w:before="16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II. JURISDICTION AND TIMELINESS</w:t>
      </w:r>
    </w:p>
    <w:p>
      <w:pPr>
        <w:spacing w:after="100" w:before="60"/>
        <w:jc w:val="both"/>
      </w:pPr>
      <w:r>
        <w:rPr>
          <w:rFonts w:ascii="Arial" w:cs="Arial" w:eastAsia="Arial" w:hAnsi="Arial"/>
          <w:color w:val="1A1A1A"/>
          <w:sz w:val="20"/>
          <w:szCs w:val="20"/>
        </w:rPr>
        <w:t xml:space="preserve">This complaint is timely filed within three years of the last adverse employment action pursuant to California Government Code § 12960(d). The last adverse act—Complainant’s involuntary termination—occurred on September 25, 2025. This complaint is simultaneously cross-filed with the U.S. Equal Employment Opportunity Commission (EEOC) pursuant to the work-sharing agreement between the CRD and EEOC, preserving all federal claims under Title VII of the Civil Rights Act (42 U.S.C. § 2000e), the Americans with Disabilities Act (42 U.S.C. § 12101), and the Family and Medical Leave Act (29 U.S.C. § 2601).</w:t>
      </w:r>
    </w:p>
    <w:p>
      <w:pPr>
        <w:spacing w:after="100" w:before="60"/>
        <w:jc w:val="both"/>
      </w:pPr>
      <w:r>
        <w:rPr>
          <w:rFonts w:ascii="Arial" w:cs="Arial" w:eastAsia="Arial" w:hAnsi="Arial"/>
          <w:color w:val="1A1A1A"/>
          <w:sz w:val="20"/>
          <w:szCs w:val="20"/>
        </w:rPr>
        <w:t xml:space="preserve">Respondent Cox Automotive, Inc. employs more than 500 persons and is a covered employer under all applicable federal and state statutes. Complainant was employed for more than 12 months and worked more than 1,250 hours in the 12 months preceding his leave, satisfying all FMLA eligibility requirements. Complainant’s leave eligibility was formally confirmed by Respondent’s third-party leave administrator, MetLife, on or about May 2025.</w:t>
      </w:r>
    </w:p>
    <w:p>
      <w:pPr>
        <w:pBdr>
          <w:bottom w:val="single" w:color="CCCCCC" w:sz="4" w:space="1"/>
        </w:pBdr>
        <w:spacing w:after="160" w:before="16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III. STATEMENT OF FACTS</w:t>
      </w:r>
    </w:p>
    <w:p>
      <w:pPr>
        <w:pStyle w:val="Heading2"/>
        <w:spacing w:after="80" w:before="240"/>
      </w:pPr>
      <w:r>
        <w:rPr>
          <w:rFonts w:ascii="Arial" w:cs="Arial" w:eastAsia="Arial" w:hAnsi="Arial"/>
          <w:b/>
          <w:bCs/>
          <w:color w:val="1F4E79"/>
          <w:sz w:val="24"/>
          <w:szCs w:val="24"/>
        </w:rPr>
        <w:t xml:space="preserve">A. Background and Exceptional Performance Record</w:t>
      </w:r>
    </w:p>
    <w:p>
      <w:pPr>
        <w:spacing w:after="100" w:before="60"/>
        <w:jc w:val="both"/>
      </w:pPr>
      <w:r>
        <w:rPr>
          <w:rFonts w:ascii="Arial" w:cs="Arial" w:eastAsia="Arial" w:hAnsi="Arial"/>
          <w:color w:val="1A1A1A"/>
          <w:sz w:val="20"/>
          <w:szCs w:val="20"/>
        </w:rPr>
        <w:t xml:space="preserve">Complainant Julio Umanzor was hired by NextGear Capital / Cox Automotive on April 8, 2024 as a Portfolio Manager III assigned to the Sacramento East territory in California at an annual salary of $110,000. His direct supervisor was Kari Sloan (Director of Portfolio Management), whose supervisor was Scott Cary (Senior District Portfolio Manager).</w:t>
      </w:r>
    </w:p>
    <w:p>
      <w:pPr>
        <w:spacing w:after="100" w:before="60"/>
        <w:jc w:val="both"/>
      </w:pPr>
      <w:r>
        <w:rPr>
          <w:rFonts w:ascii="Arial" w:cs="Arial" w:eastAsia="Arial" w:hAnsi="Arial"/>
          <w:color w:val="1A1A1A"/>
          <w:sz w:val="20"/>
          <w:szCs w:val="20"/>
        </w:rPr>
        <w:t xml:space="preserve">Complainant’s performance was demonstrably exceptional throughout his employment. By May 16, 2025—three days before he sent formal written leave notice to Respondent—an internal NextGear Capital performance spreadsheet documented Complainant’s standing as Region Rank #1 among all Portfolio Managers in Northern California, with a profitability goal attainment of 101.15%. On May 2, 2025, Complainant was publicly named the top Flex program performer on a recorded, company-wide Microsoft Teams call attended by multiple regional employees. Complainant was ranked in the top three Flex portfolio managers across all of NextGear Capital nationally.</w:t>
      </w:r>
    </w:p>
    <w:p>
      <w:pPr>
        <w:spacing w:after="100" w:before="60"/>
        <w:jc w:val="both"/>
      </w:pPr>
      <w:r>
        <w:rPr>
          <w:rFonts w:ascii="Arial" w:cs="Arial" w:eastAsia="Arial" w:hAnsi="Arial"/>
          <w:color w:val="1A1A1A"/>
          <w:sz w:val="20"/>
          <w:szCs w:val="20"/>
        </w:rPr>
        <w:t xml:space="preserve">Complainant’s year-to-date bonus at the time of his termination was $10,981.74, which had been fully earned and paid by no later than March 2, 2025—the same period Respondent later characterized as containing “egregious violations.” In late March or early April 2025, Respondent approved and implemented a merit salary increase for Complainant from $110,000 to $113,300 annually—an approximately 3% merit raise—within the same timeframe that Complainant’s supervisor Kari Sloan was entering a Final Written Warning into Respondent’s HR system on April 14, 2025. These compensation decisions and the disciplinary narrative are mutually irreconcilable.</w:t>
      </w:r>
    </w:p>
    <w:p>
      <w:pPr>
        <w:spacing w:after="100" w:before="60"/>
        <w:jc w:val="both"/>
      </w:pPr>
      <w:r>
        <w:rPr>
          <w:rFonts w:ascii="Arial" w:cs="Arial" w:eastAsia="Arial" w:hAnsi="Arial"/>
          <w:color w:val="1A1A1A"/>
          <w:sz w:val="20"/>
          <w:szCs w:val="20"/>
        </w:rPr>
        <w:t xml:space="preserve">On March 11, 2025—eight weeks before his protected leave began—Complainant’s home loan funded and he purchased a home in Sacramento, California. Complainant and his family relocated from 1527 Hood Road, Sacramento, CA 95825 to 2541 23rd Avenue, Sacramento, CA 95820, with the physical move occurring from the beginning of April 2025 through April 14, 2025—the final day of the move. This address change is independently corroborated in Respondent’s own payroll records: Complainant’s March 2–15, 2025 pay stub lists the Hood Road address, while his April 27 onward pay stubs list the 23rd Avenue address. The Sacramento County deed recording and loan funding date of March 11, 2025 are public records that independently establish this timeline.</w:t>
      </w:r>
    </w:p>
    <w:p>
      <w:pPr>
        <w:spacing w:after="100" w:before="60"/>
        <w:jc w:val="both"/>
      </w:pPr>
      <w:r>
        <w:rPr>
          <w:rFonts w:ascii="Arial" w:cs="Arial" w:eastAsia="Arial" w:hAnsi="Arial"/>
          <w:color w:val="1A1A1A"/>
          <w:sz w:val="20"/>
          <w:szCs w:val="20"/>
        </w:rPr>
        <w:t xml:space="preserve">April 14, 2025 is a date that appears on three separate adverse documents simultaneously: (1) the Q2 Performance Evaluation documents Complainant’s absence that day as a conduct and policy failure; (2) Kari Sloan entered the Final Written Warning into the HR system on that same date; and (3) it was the final day Complainant was completing his family’s home move. Neither the Q2 evaluation nor the Final Written Warning acknowledges this context. A supervisor who documents the last day of an employee’s family home move as a conduct failure—while simultaneously entering the most severe disciplinary action short of termination into the HR system on that same date—is not conducting good-faith performance management. Furthermore, no person who closes a mortgage on March 11, moves their family through April, and holds a Region Rank #1 performance standing on May 16 voluntarily abandons their employment the following week. The home purchase, loan funding date, and move timeline are objective third-party records that permanently refute any characterization of Complainant’s departure as voluntary.</w:t>
      </w:r>
    </w:p>
    <w:p>
      <w:pPr>
        <w:spacing w:after="0" w:before="80"/>
      </w:pPr>
      <w:r>
        <w:t xml:space="preserve"/>
      </w:r>
    </w:p>
    <w:p>
      <w:pPr>
        <w:pStyle w:val="Heading2"/>
        <w:spacing w:after="80" w:before="240"/>
      </w:pPr>
      <w:r>
        <w:rPr>
          <w:rFonts w:ascii="Arial" w:cs="Arial" w:eastAsia="Arial" w:hAnsi="Arial"/>
          <w:b/>
          <w:bCs/>
          <w:color w:val="1F4E79"/>
          <w:sz w:val="24"/>
          <w:szCs w:val="24"/>
        </w:rPr>
        <w:t xml:space="preserve">B. The June 2024 Firearms Assault at a Cox Corporate Event — Origin of Disability</w:t>
      </w:r>
    </w:p>
    <w:p>
      <w:pPr>
        <w:spacing w:after="100" w:before="60"/>
        <w:jc w:val="both"/>
      </w:pPr>
      <w:r>
        <w:rPr>
          <w:rFonts w:ascii="Arial" w:cs="Arial" w:eastAsia="Arial" w:hAnsi="Arial"/>
          <w:color w:val="1A1A1A"/>
          <w:sz w:val="20"/>
          <w:szCs w:val="20"/>
        </w:rPr>
        <w:t xml:space="preserve">On June 10–12, 2024, approximately 63 days into his employment, Complainant attended a Cox Automotive / NextGear Capital corporate event in Salt Lake City, Utah. During this event, Complainant was threatened with a firearm by an individual named Brock Courtland West. A criminal case was subsequently filed in the State of Utah: State of Utah v. Brock Courtland West, Case No. 241907802 (charges including aggravated assault, possession of a firearm by a restricted person, and interference with an arresting officer). A Cox Automotive regional manager was terminated as a direct result of this incident.</w:t>
      </w:r>
    </w:p>
    <w:p>
      <w:pPr>
        <w:spacing w:after="100" w:before="60"/>
        <w:jc w:val="both"/>
      </w:pPr>
      <w:r>
        <w:rPr>
          <w:rFonts w:ascii="Arial" w:cs="Arial" w:eastAsia="Arial" w:hAnsi="Arial"/>
          <w:color w:val="1A1A1A"/>
          <w:sz w:val="20"/>
          <w:szCs w:val="20"/>
        </w:rPr>
        <w:t xml:space="preserve">Following this incident, Gianina McManus, a Cox Automotive HR Manager, personally contacted Complainant by email regarding the event—confirming Respondent’s direct, institutional knowledge of Complainant’s traumatic experience at a company-organized event from the earliest weeks of his employment. Complainant identifies this June 2024 corporate event as the origin of the post-traumatic stress disorder and anxiety that later required formal medical treatment, including Intensive Outpatient Program (IOP) treatment completed on September 12, 2025.</w:t>
      </w:r>
    </w:p>
    <w:p>
      <w:pPr>
        <w:spacing w:after="0" w:before="80"/>
      </w:pPr>
      <w:r>
        <w:t xml:space="preserve"/>
      </w:r>
    </w:p>
    <w:p>
      <w:pPr>
        <w:pStyle w:val="Heading2"/>
        <w:spacing w:after="80" w:before="240"/>
      </w:pPr>
      <w:r>
        <w:rPr>
          <w:rFonts w:ascii="Arial" w:cs="Arial" w:eastAsia="Arial" w:hAnsi="Arial"/>
          <w:b/>
          <w:bCs/>
          <w:color w:val="1F4E79"/>
          <w:sz w:val="24"/>
          <w:szCs w:val="24"/>
        </w:rPr>
        <w:t xml:space="preserve">C. The Pretextual Final Written Warning — The Lugo Account</w:t>
      </w:r>
    </w:p>
    <w:p>
      <w:pPr>
        <w:spacing w:after="100" w:before="60"/>
        <w:jc w:val="both"/>
      </w:pPr>
      <w:r>
        <w:rPr>
          <w:rFonts w:ascii="Arial" w:cs="Arial" w:eastAsia="Arial" w:hAnsi="Arial"/>
          <w:color w:val="1A1A1A"/>
          <w:sz w:val="20"/>
          <w:szCs w:val="20"/>
        </w:rPr>
        <w:t xml:space="preserve">On approximately April 14, 2025, Kari Sloan entered a Final Written Warning into Respondent’s HR system citing alleged policy violations related to the Lugo Auto Sales dealer account during the period January 30 – February 17, 2025. The write-up alleged that Complainant failed to perform work properly and follow instructions, resulting in a client default with losses approaching $500,000.</w:t>
      </w:r>
    </w:p>
    <w:p>
      <w:pPr>
        <w:spacing w:after="100" w:before="60"/>
        <w:jc w:val="both"/>
      </w:pPr>
      <w:r>
        <w:rPr>
          <w:rFonts w:ascii="Arial" w:cs="Arial" w:eastAsia="Arial" w:hAnsi="Arial"/>
          <w:color w:val="1A1A1A"/>
          <w:sz w:val="20"/>
          <w:szCs w:val="20"/>
        </w:rPr>
        <w:t xml:space="preserve">This write-up is pretextual for the following documented reasons:</w:t>
      </w:r>
    </w:p>
    <w:p>
      <w:pPr>
        <w:pStyle w:val="ListParagraph"/>
        <w:numPr>
          <w:ilvl w:val="0"/>
          <w:numId w:val="2"/>
        </w:numPr>
        <w:spacing w:after="40" w:before="40"/>
      </w:pPr>
      <w:r>
        <w:rPr>
          <w:rFonts w:ascii="Arial" w:cs="Arial" w:eastAsia="Arial" w:hAnsi="Arial"/>
          <w:b/>
          <w:bCs/>
          <w:color w:val="1A1A1A"/>
          <w:sz w:val="20"/>
          <w:szCs w:val="20"/>
        </w:rPr>
        <w:t xml:space="preserve">New Account — 30 Days of Management: </w:t>
      </w:r>
      <w:r>
        <w:rPr>
          <w:rFonts w:ascii="Arial" w:cs="Arial" w:eastAsia="Arial" w:hAnsi="Arial"/>
          <w:color w:val="1A1A1A"/>
          <w:sz w:val="20"/>
          <w:szCs w:val="20"/>
        </w:rPr>
        <w:t xml:space="preserve">Lugo Auto Sales was onboarded as a new NextGear Capital dealer client at the end of December 2024. The alleged violations began January 31, 2025—approximately 30 days after onboarding. A Portfolio Manager cannot reasonably be held responsible for a client’s pre-existing risk patterns after 30 days of account management. The LRS’s own January 31 email acknowledged that Lugo had “issues with high offsite and Pending Funding Customers (PFCs) in the past”—confirming that the risk trajectory predated Complainant’s management of the account.</w:t>
      </w:r>
    </w:p>
    <w:p>
      <w:pPr>
        <w:pStyle w:val="ListParagraph"/>
        <w:numPr>
          <w:ilvl w:val="0"/>
          <w:numId w:val="2"/>
        </w:numPr>
        <w:spacing w:after="40" w:before="40"/>
      </w:pPr>
      <w:r>
        <w:rPr>
          <w:rFonts w:ascii="Arial" w:cs="Arial" w:eastAsia="Arial" w:hAnsi="Arial"/>
          <w:b/>
          <w:bCs/>
          <w:color w:val="1A1A1A"/>
          <w:sz w:val="20"/>
          <w:szCs w:val="20"/>
        </w:rPr>
        <w:t xml:space="preserve">Reverse Chronology in Documentation: </w:t>
      </w:r>
      <w:r>
        <w:rPr>
          <w:rFonts w:ascii="Arial" w:cs="Arial" w:eastAsia="Arial" w:hAnsi="Arial"/>
          <w:color w:val="1A1A1A"/>
          <w:sz w:val="20"/>
          <w:szCs w:val="20"/>
        </w:rPr>
        <w:t xml:space="preserve">Complainant acknowledged the Final Written Warning in Respondent’s HR system on March 19, 2025. Yet Kari Sloan did not enter the write-up into the system until April 14, 2025—twenty-six days after the employee acknowledged a document the manager had not yet formally created. This procedural impossibility indicates document backdating or retroactive creation. The HR system’s document creation and modification audit logs are a primary subpoena target.</w:t>
      </w:r>
    </w:p>
    <w:p>
      <w:pPr>
        <w:pStyle w:val="ListParagraph"/>
        <w:numPr>
          <w:ilvl w:val="0"/>
          <w:numId w:val="2"/>
        </w:numPr>
        <w:spacing w:after="40" w:before="40"/>
      </w:pPr>
      <w:r>
        <w:rPr>
          <w:rFonts w:ascii="Arial" w:cs="Arial" w:eastAsia="Arial" w:hAnsi="Arial"/>
          <w:b/>
          <w:bCs/>
          <w:color w:val="1A1A1A"/>
          <w:sz w:val="20"/>
          <w:szCs w:val="20"/>
        </w:rPr>
        <w:t xml:space="preserve">Concurrent Merit Raise: </w:t>
      </w:r>
      <w:r>
        <w:rPr>
          <w:rFonts w:ascii="Arial" w:cs="Arial" w:eastAsia="Arial" w:hAnsi="Arial"/>
          <w:color w:val="1A1A1A"/>
          <w:sz w:val="20"/>
          <w:szCs w:val="20"/>
        </w:rPr>
        <w:t xml:space="preserve">Respondent approved and implemented a merit salary increase for Complainant from $110,000 to $113,300 in the same approximate timeframe (late March to early April 2025) that the Final Written Warning was being entered. A merit raise requires independent compensation review and HR sign-off. Respondent’s own compensation system evaluated Complainant’s performance as satisfactory or above during the period the disciplinary system characterized as involving egregious violations.</w:t>
      </w:r>
    </w:p>
    <w:p>
      <w:pPr>
        <w:pStyle w:val="ListParagraph"/>
        <w:numPr>
          <w:ilvl w:val="0"/>
          <w:numId w:val="2"/>
        </w:numPr>
        <w:spacing w:after="40" w:before="40"/>
      </w:pPr>
      <w:r>
        <w:rPr>
          <w:rFonts w:ascii="Arial" w:cs="Arial" w:eastAsia="Arial" w:hAnsi="Arial"/>
          <w:b/>
          <w:bCs/>
          <w:color w:val="1A1A1A"/>
          <w:sz w:val="20"/>
          <w:szCs w:val="20"/>
        </w:rPr>
        <w:t xml:space="preserve">Full Bonus Paid During ‘Violation’ Period: </w:t>
      </w:r>
      <w:r>
        <w:rPr>
          <w:rFonts w:ascii="Arial" w:cs="Arial" w:eastAsia="Arial" w:hAnsi="Arial"/>
          <w:color w:val="1A1A1A"/>
          <w:sz w:val="20"/>
          <w:szCs w:val="20"/>
        </w:rPr>
        <w:t xml:space="preserve">Complainant’s full year-to-date bonus of $10,981.74 was paid and reflected in payroll records by March 2, 2025—covering the same performance period the write-up characterizes as a policy violation warranting the most severe disciplinary action short of termination.</w:t>
      </w:r>
    </w:p>
    <w:p>
      <w:pPr>
        <w:pStyle w:val="ListParagraph"/>
        <w:numPr>
          <w:ilvl w:val="0"/>
          <w:numId w:val="2"/>
        </w:numPr>
        <w:spacing w:after="40" w:before="40"/>
      </w:pPr>
      <w:r>
        <w:rPr>
          <w:rFonts w:ascii="Arial" w:cs="Arial" w:eastAsia="Arial" w:hAnsi="Arial"/>
          <w:b/>
          <w:bCs/>
          <w:color w:val="1A1A1A"/>
          <w:sz w:val="20"/>
          <w:szCs w:val="20"/>
        </w:rPr>
        <w:t xml:space="preserve">Region Rank #1 Three Days Before Leave: </w:t>
      </w:r>
      <w:r>
        <w:rPr>
          <w:rFonts w:ascii="Arial" w:cs="Arial" w:eastAsia="Arial" w:hAnsi="Arial"/>
          <w:color w:val="1A1A1A"/>
          <w:sz w:val="20"/>
          <w:szCs w:val="20"/>
        </w:rPr>
        <w:t xml:space="preserve">On May 16, 2025—three days after the first protected leave date Kari Sloan herself documented—Complainant was ranked the #1 Portfolio Manager in Northern California at 101.15% goal attainment. A supervisor cannot credibly claim an employee failed to perform work properly while that employee holds the top regional ranking in their organization.</w:t>
      </w:r>
    </w:p>
    <w:p>
      <w:pPr>
        <w:pStyle w:val="ListParagraph"/>
        <w:numPr>
          <w:ilvl w:val="0"/>
          <w:numId w:val="2"/>
        </w:numPr>
        <w:spacing w:after="40" w:before="40"/>
      </w:pPr>
      <w:r>
        <w:rPr>
          <w:rFonts w:ascii="Arial" w:cs="Arial" w:eastAsia="Arial" w:hAnsi="Arial"/>
          <w:b/>
          <w:bCs/>
          <w:color w:val="1A1A1A"/>
          <w:sz w:val="20"/>
          <w:szCs w:val="20"/>
        </w:rPr>
        <w:t xml:space="preserve">April 14 — Final Day of Home Move / Three Simultaneous Documents: </w:t>
      </w:r>
      <w:r>
        <w:rPr>
          <w:rFonts w:ascii="Arial" w:cs="Arial" w:eastAsia="Arial" w:hAnsi="Arial"/>
          <w:color w:val="1A1A1A"/>
          <w:sz w:val="20"/>
          <w:szCs w:val="20"/>
        </w:rPr>
        <w:t xml:space="preserve">April 14, 2025 was the final day of Complainant’s family home move following his March 11, 2025 home purchase. On that same date, Kari Sloan: (a) entered the Final Written Warning into Respondent’s HR system; and (b) documented Complainant’s absence that day in the Q2 evaluation as a conduct and policy failure—without disclosing that the absence coincided with the completion of a home relocation. Characterizing the last day of an employee’s family move as a character failing, while simultaneously entering a Final Written Warning on that same date, further evidences bad faith disciplinary conduct rather than genuine performance management.</w:t>
      </w:r>
    </w:p>
    <w:p>
      <w:pPr>
        <w:spacing w:after="0" w:before="80"/>
      </w:pPr>
      <w:r>
        <w:t xml:space="preserve"/>
      </w:r>
    </w:p>
    <w:p>
      <w:pPr>
        <w:pStyle w:val="Heading2"/>
        <w:spacing w:after="80" w:before="240"/>
      </w:pPr>
      <w:r>
        <w:rPr>
          <w:rFonts w:ascii="Arial" w:cs="Arial" w:eastAsia="Arial" w:hAnsi="Arial"/>
          <w:b/>
          <w:bCs/>
          <w:color w:val="1F4E79"/>
          <w:sz w:val="24"/>
          <w:szCs w:val="24"/>
        </w:rPr>
        <w:t xml:space="preserve">D. Protected Activity Timeline — May 2025</w:t>
      </w:r>
    </w:p>
    <w:p>
      <w:pPr>
        <w:spacing w:after="100" w:before="60"/>
        <w:jc w:val="both"/>
      </w:pPr>
      <w:r>
        <w:rPr>
          <w:rFonts w:ascii="Arial" w:cs="Arial" w:eastAsia="Arial" w:hAnsi="Arial"/>
          <w:color w:val="1A1A1A"/>
          <w:sz w:val="20"/>
          <w:szCs w:val="20"/>
        </w:rPr>
        <w:t xml:space="preserve">The following events constitute Complainant’s protected activities under CFRA, FMLA, FEHA, and the ADA. Each was known to Respondent through Kari Sloan, HR, or Respondent’s third-party leave administrator, MetLife.</w:t>
      </w:r>
    </w:p>
    <w:p>
      <w:pPr>
        <w:spacing w:after="40" w:before="80"/>
      </w:pPr>
      <w:r>
        <w:rPr>
          <w:rFonts w:ascii="Arial" w:cs="Arial" w:eastAsia="Arial" w:hAnsi="Arial"/>
          <w:b/>
          <w:bCs/>
          <w:color w:val="1F4E79"/>
          <w:sz w:val="20"/>
          <w:szCs w:val="20"/>
        </w:rPr>
        <w:t xml:space="preserve">Documented Protected Activity Sequence:</w:t>
      </w:r>
    </w:p>
    <w:p>
      <w:pPr>
        <w:pStyle w:val="ListParagraph"/>
        <w:numPr>
          <w:ilvl w:val="0"/>
          <w:numId w:val="2"/>
        </w:numPr>
        <w:spacing w:after="40" w:before="40"/>
      </w:pPr>
      <w:r>
        <w:rPr>
          <w:rFonts w:ascii="Arial" w:cs="Arial" w:eastAsia="Arial" w:hAnsi="Arial"/>
          <w:b/>
          <w:bCs/>
          <w:color w:val="1A1A1A"/>
          <w:sz w:val="20"/>
          <w:szCs w:val="20"/>
        </w:rPr>
        <w:t xml:space="preserve">May 6, 2025 — FMLA/CFRA Eligibility Confirmed by MetLife: </w:t>
      </w:r>
      <w:r>
        <w:rPr>
          <w:rFonts w:ascii="Arial" w:cs="Arial" w:eastAsia="Arial" w:hAnsi="Arial"/>
          <w:color w:val="1A1A1A"/>
          <w:sz w:val="20"/>
          <w:szCs w:val="20"/>
        </w:rPr>
        <w:t xml:space="preserve">Respondent’s third-party leave administrator, MetLife, issued an official eligibility determination confirming Complainant’s protection under three simultaneous leave statutes: (1) California Family Rights Act (CFRA), (2) Federal FMLA, and (3) Cox Enterprises Company FML — all with an eligibility start date of May 6, 2025 and an absence end date of August 6, 2025. This document was processed through the Cox MetLife portal on Cox’s behalf, constituting formal institutional knowledge of Complainant’s protected leave status. A copy of this MetLife eligibility determination is attached as Exhibit A.</w:t>
      </w:r>
    </w:p>
    <w:p>
      <w:pPr>
        <w:pStyle w:val="ListParagraph"/>
        <w:numPr>
          <w:ilvl w:val="0"/>
          <w:numId w:val="2"/>
        </w:numPr>
        <w:spacing w:after="40" w:before="40"/>
      </w:pPr>
      <w:r>
        <w:rPr>
          <w:rFonts w:ascii="Arial" w:cs="Arial" w:eastAsia="Arial" w:hAnsi="Arial"/>
          <w:b/>
          <w:bCs/>
          <w:color w:val="1A1A1A"/>
          <w:sz w:val="20"/>
          <w:szCs w:val="20"/>
        </w:rPr>
        <w:t xml:space="preserve">May 12, 2025 — Last Day Present / Spousal Surgery / Afternoon Meeting Cancelled: </w:t>
      </w:r>
      <w:r>
        <w:rPr>
          <w:rFonts w:ascii="Arial" w:cs="Arial" w:eastAsia="Arial" w:hAnsi="Arial"/>
          <w:color w:val="1A1A1A"/>
          <w:sz w:val="20"/>
          <w:szCs w:val="20"/>
        </w:rPr>
        <w:t xml:space="preserve">May 12, 2025 was Complainant’s last day of work presence, as documented in Kari Sloan’s own Q2 Performance Evaluation (“Julio was present April 1 thru May 12 before going out on leave in Q2”). Kari Sloan had scheduled an afternoon meeting with Complainant on May 12 and cancelled it.</w:t>
      </w:r>
    </w:p>
    <w:p>
      <w:pPr>
        <w:pStyle w:val="ListParagraph"/>
        <w:numPr>
          <w:ilvl w:val="0"/>
          <w:numId w:val="2"/>
        </w:numPr>
        <w:spacing w:after="40" w:before="40"/>
      </w:pPr>
      <w:r>
        <w:rPr>
          <w:rFonts w:ascii="Arial" w:cs="Arial" w:eastAsia="Arial" w:hAnsi="Arial"/>
          <w:b/>
          <w:bCs/>
          <w:color w:val="1A1A1A"/>
          <w:sz w:val="20"/>
          <w:szCs w:val="20"/>
        </w:rPr>
        <w:t xml:space="preserve">May 13, 2025 — Direct Verbal CFRA Notice / Blocked Termination Call: </w:t>
      </w:r>
      <w:r>
        <w:rPr>
          <w:rFonts w:ascii="Arial" w:cs="Arial" w:eastAsia="Arial" w:hAnsi="Arial"/>
          <w:color w:val="1A1A1A"/>
          <w:sz w:val="20"/>
          <w:szCs w:val="20"/>
        </w:rPr>
        <w:t xml:space="preserve">Kari Sloan requested that Complainant join a one-on-one call at 8:00 AM on May 13, 2025—before the 9:00 AM team meeting, with no stated agenda. Complainant provided direct verbal notice to Kari Sloan that he would be at the hospital at that time waiting for his wife to complete surgery. This verbal statement to his direct supervisor constitutes CFRA spousal caregiving leave notice under California Government Code § 12945.2 and 29 C.F.R. § 825.303 (no magic words required; notice of a qualifying reason is sufficient). The 8:00 AM call did not occur. Complainant joined the 9:00 AM team call late, directly from his wife’s post-operative recovery, and contributed substantive professional advice on the Flex program during that call.</w:t>
      </w:r>
    </w:p>
    <w:p>
      <w:pPr>
        <w:pStyle w:val="ListParagraph"/>
        <w:numPr>
          <w:ilvl w:val="0"/>
          <w:numId w:val="2"/>
        </w:numPr>
        <w:spacing w:after="40" w:before="40"/>
      </w:pPr>
      <w:r>
        <w:rPr>
          <w:rFonts w:ascii="Arial" w:cs="Arial" w:eastAsia="Arial" w:hAnsi="Arial"/>
          <w:b/>
          <w:bCs/>
          <w:color w:val="1A1A1A"/>
          <w:sz w:val="20"/>
          <w:szCs w:val="20"/>
        </w:rPr>
        <w:t xml:space="preserve">May 13, 2025 — Kari Sloan’s Admission of Pre-Existing Termination Intent: </w:t>
      </w:r>
      <w:r>
        <w:rPr>
          <w:rFonts w:ascii="Arial" w:cs="Arial" w:eastAsia="Arial" w:hAnsi="Arial"/>
          <w:color w:val="1A1A1A"/>
          <w:sz w:val="20"/>
          <w:szCs w:val="20"/>
        </w:rPr>
        <w:t xml:space="preserve">Kari Sloan subsequently told a coworker during a ride-along that Complainant “beat her to the punch” by filing for disability before she could act. This statement is a direct admission that: (a) Kari Sloan had a pre-existing plan to terminate Complainant; (b) Complainant’s protected leave activity interfered with that plan; and (c) she resented the protected activity for blocking her intended adverse action. Additionally, on the September 25, 2025 Teams call, Kari Sloan admitted she had planned to terminate Complainant since May 12, 2025—the documented start of his protected leave. Two independent witnesses heard these admissions in two different settings.</w:t>
      </w:r>
    </w:p>
    <w:p>
      <w:pPr>
        <w:pStyle w:val="ListParagraph"/>
        <w:numPr>
          <w:ilvl w:val="0"/>
          <w:numId w:val="2"/>
        </w:numPr>
        <w:spacing w:after="40" w:before="40"/>
      </w:pPr>
      <w:r>
        <w:rPr>
          <w:rFonts w:ascii="Arial" w:cs="Arial" w:eastAsia="Arial" w:hAnsi="Arial"/>
          <w:b/>
          <w:bCs/>
          <w:color w:val="1A1A1A"/>
          <w:sz w:val="20"/>
          <w:szCs w:val="20"/>
        </w:rPr>
        <w:t xml:space="preserve">May 13, 2025 — Loss of Career Advancement Opportunity: </w:t>
      </w:r>
      <w:r>
        <w:rPr>
          <w:rFonts w:ascii="Arial" w:cs="Arial" w:eastAsia="Arial" w:hAnsi="Arial"/>
          <w:color w:val="1A1A1A"/>
          <w:sz w:val="20"/>
          <w:szCs w:val="20"/>
        </w:rPr>
        <w:t xml:space="preserve">Kari Sloan had previously asked Complainant to lead the Flex program training for other Portfolio Managers in the region—specifically because Complainant was a top-3 Flex PM nationally. Complainant declined because he would not be available due to his wife’s surgery. This role was given to Kevon Knudsen (then Regional Audit Manager), who was publicly praised for the Flex program on the May 13, 9:00 AM team call while Complainant arrived late from his wife’s post-surgical recovery. Kevon Knudsen had previously championed the Flex program as a PM and been promoted to Regional Audit Manager—the same career trajectory that was denied to Complainant through the loss of this opportunity due to his protected leave.</w:t>
      </w:r>
    </w:p>
    <w:p>
      <w:pPr>
        <w:pStyle w:val="ListParagraph"/>
        <w:numPr>
          <w:ilvl w:val="0"/>
          <w:numId w:val="2"/>
        </w:numPr>
        <w:spacing w:after="40" w:before="40"/>
      </w:pPr>
      <w:r>
        <w:rPr>
          <w:rFonts w:ascii="Arial" w:cs="Arial" w:eastAsia="Arial" w:hAnsi="Arial"/>
          <w:b/>
          <w:bCs/>
          <w:color w:val="1A1A1A"/>
          <w:sz w:val="20"/>
          <w:szCs w:val="20"/>
        </w:rPr>
        <w:t xml:space="preserve">May 19, 2025 — Formal Written Leave Continuation Notice: </w:t>
      </w:r>
      <w:r>
        <w:rPr>
          <w:rFonts w:ascii="Arial" w:cs="Arial" w:eastAsia="Arial" w:hAnsi="Arial"/>
          <w:color w:val="1A1A1A"/>
          <w:sz w:val="20"/>
          <w:szCs w:val="20"/>
        </w:rPr>
        <w:t xml:space="preserve">Complainant submitted formal written notice to Cox through the MetLife leave portal on or about May 19, 2025, stating he would continue his leave due to “family medical reasons.” This language constitutes legally sufficient FMLA/CFRA notice under 29 C.F.R. § 825.303(b). Respondent was required to provide a Notice of Eligibility and Rights and a formal leave designation within five business days (by approximately May 26, 2025).</w:t>
      </w:r>
    </w:p>
    <w:p>
      <w:pPr>
        <w:pStyle w:val="ListParagraph"/>
        <w:numPr>
          <w:ilvl w:val="0"/>
          <w:numId w:val="2"/>
        </w:numPr>
        <w:spacing w:after="40" w:before="40"/>
      </w:pPr>
      <w:r>
        <w:rPr>
          <w:rFonts w:ascii="Arial" w:cs="Arial" w:eastAsia="Arial" w:hAnsi="Arial"/>
          <w:b/>
          <w:bCs/>
          <w:color w:val="1A1A1A"/>
          <w:sz w:val="20"/>
          <w:szCs w:val="20"/>
        </w:rPr>
        <w:t xml:space="preserve">May 20, 2025 — Disability Begins: </w:t>
      </w:r>
      <w:r>
        <w:rPr>
          <w:rFonts w:ascii="Arial" w:cs="Arial" w:eastAsia="Arial" w:hAnsi="Arial"/>
          <w:color w:val="1A1A1A"/>
          <w:sz w:val="20"/>
          <w:szCs w:val="20"/>
        </w:rPr>
        <w:t xml:space="preserve">Short-term disability commenced on May 20, 2025, triggering independent protections under FEHA (Cal. Gov. Code § 12940(a)), the ADA (42 U.S.C. § 12112), and California Government Code § 12945.2. Complainant’s disability—PTSD and anxiety—originated from the June 2024 firearms assault at Respondent’s corporate event, of which Respondent had institutional knowledge through HR Manager Gianina McManus.</w:t>
      </w:r>
    </w:p>
    <w:p>
      <w:pPr>
        <w:pStyle w:val="ListParagraph"/>
        <w:numPr>
          <w:ilvl w:val="0"/>
          <w:numId w:val="2"/>
        </w:numPr>
        <w:spacing w:after="40" w:before="40"/>
      </w:pPr>
      <w:r>
        <w:rPr>
          <w:rFonts w:ascii="Arial" w:cs="Arial" w:eastAsia="Arial" w:hAnsi="Arial"/>
          <w:b/>
          <w:bCs/>
          <w:color w:val="1A1A1A"/>
          <w:sz w:val="20"/>
          <w:szCs w:val="20"/>
        </w:rPr>
        <w:t xml:space="preserve">May 12 – August 6, 2025 — Formally Recognized Protected Leave Window: </w:t>
      </w:r>
      <w:r>
        <w:rPr>
          <w:rFonts w:ascii="Arial" w:cs="Arial" w:eastAsia="Arial" w:hAnsi="Arial"/>
          <w:color w:val="1A1A1A"/>
          <w:sz w:val="20"/>
          <w:szCs w:val="20"/>
        </w:rPr>
        <w:t xml:space="preserve">The MetLife FMLA/CFRA eligibility determination covers May 6 – August 6, 2025. Any adverse employment action taken during or in temporal proximity to this period is presumptively retaliatory under 29 C.F.R. § 825.220(c).</w:t>
      </w:r>
    </w:p>
    <w:p>
      <w:pPr>
        <w:spacing w:after="0" w:before="80"/>
      </w:pPr>
      <w:r>
        <w:t xml:space="preserve"/>
      </w:r>
    </w:p>
    <w:p>
      <w:pPr>
        <w:pStyle w:val="Heading2"/>
        <w:spacing w:after="80" w:before="240"/>
      </w:pPr>
      <w:r>
        <w:rPr>
          <w:rFonts w:ascii="Arial" w:cs="Arial" w:eastAsia="Arial" w:hAnsi="Arial"/>
          <w:b/>
          <w:bCs/>
          <w:color w:val="1F4E79"/>
          <w:sz w:val="24"/>
          <w:szCs w:val="24"/>
        </w:rPr>
        <w:t xml:space="preserve">E. Interference with Protected Leave — The Out-of-Office Incident</w:t>
      </w:r>
    </w:p>
    <w:p>
      <w:pPr>
        <w:spacing w:after="100" w:before="60"/>
        <w:jc w:val="both"/>
      </w:pPr>
      <w:r>
        <w:rPr>
          <w:rFonts w:ascii="Arial" w:cs="Arial" w:eastAsia="Arial" w:hAnsi="Arial"/>
          <w:color w:val="1A1A1A"/>
          <w:sz w:val="20"/>
          <w:szCs w:val="20"/>
        </w:rPr>
        <w:t xml:space="preserve">During Complainant’s protected leave, Kari Sloan contacted Complainant to complain that his email out-of-office auto-reply was active. Complainant, in a good-faith effort to address his supervisor’s concern, disabled the out-of-office feature in Microsoft—which automatically cancelled the existing calendar invite designating Erin (a coworker) as his coverage contact for the week. Complainant immediately resent the calendar invite to both Kari Sloan and Erin, restoring the coverage notification.</w:t>
      </w:r>
    </w:p>
    <w:p>
      <w:pPr>
        <w:spacing w:after="100" w:before="60"/>
        <w:jc w:val="both"/>
      </w:pPr>
      <w:r>
        <w:rPr>
          <w:rFonts w:ascii="Arial" w:cs="Arial" w:eastAsia="Arial" w:hAnsi="Arial"/>
          <w:color w:val="1A1A1A"/>
          <w:sz w:val="20"/>
          <w:szCs w:val="20"/>
        </w:rPr>
        <w:t xml:space="preserve">Kari Sloan then berated Complainant for failing to notify her that he would be out—a gap that Kari Sloan’s own call had created through a known Microsoft system behavior. Both Complainant’s Workday leave entry and a previously approved coverage arrangement confirmed that Complainant had followed all required procedures before Sloan’s call intervened.</w:t>
      </w:r>
    </w:p>
    <w:p>
      <w:pPr>
        <w:spacing w:after="100" w:before="60"/>
        <w:jc w:val="both"/>
      </w:pPr>
      <w:r>
        <w:rPr>
          <w:rFonts w:ascii="Arial" w:cs="Arial" w:eastAsia="Arial" w:hAnsi="Arial"/>
          <w:color w:val="1A1A1A"/>
          <w:sz w:val="20"/>
          <w:szCs w:val="20"/>
        </w:rPr>
        <w:t xml:space="preserve">This conduct constitutes CFRA interference under 29 C.F.R. § 825.220(a): contacting an employee during protected leave to complain about a notification feature, and then penalizing that employee for the gap that contact created, interferes with the exercise of protected leave rights. This incident was subsequently included in the Q2 Performance Evaluation as evidence of Complainant’s alleged failure to follow instructions—a deliberately false characterization of an event Respondent itself caused.</w:t>
      </w:r>
    </w:p>
    <w:p>
      <w:pPr>
        <w:spacing w:after="0" w:before="80"/>
      </w:pPr>
      <w:r>
        <w:t xml:space="preserve"/>
      </w:r>
    </w:p>
    <w:p>
      <w:pPr>
        <w:pStyle w:val="Heading2"/>
        <w:spacing w:after="80" w:before="240"/>
      </w:pPr>
      <w:r>
        <w:rPr>
          <w:rFonts w:ascii="Arial" w:cs="Arial" w:eastAsia="Arial" w:hAnsi="Arial"/>
          <w:b/>
          <w:bCs/>
          <w:color w:val="1F4E79"/>
          <w:sz w:val="24"/>
          <w:szCs w:val="24"/>
        </w:rPr>
        <w:t xml:space="preserve">F. The Q2 Performance Evaluation — A Retaliatory Document Compiled During Protected Leave</w:t>
      </w:r>
    </w:p>
    <w:p>
      <w:pPr>
        <w:spacing w:after="100" w:before="60"/>
        <w:jc w:val="both"/>
      </w:pPr>
      <w:r>
        <w:rPr>
          <w:rFonts w:ascii="Arial" w:cs="Arial" w:eastAsia="Arial" w:hAnsi="Arial"/>
          <w:color w:val="1A1A1A"/>
          <w:sz w:val="20"/>
          <w:szCs w:val="20"/>
        </w:rPr>
        <w:t xml:space="preserve">On or before the end of the Q2 evaluation period (June 30, 2025), Kari Sloan submitted a formal Q2 Progress Check performance evaluation for the period April 1 – June 30, 2025. This evaluation was compiled and submitted while Complainant was on MetLife-confirmed FMLA/CFRA protected leave (May 6 – August 6, 2025). Complainant had no opportunity to provide input, response, or rebuttal. The evaluation contained the following legally significant defects:</w:t>
      </w:r>
    </w:p>
    <w:p>
      <w:pPr>
        <w:pStyle w:val="ListParagraph"/>
        <w:numPr>
          <w:ilvl w:val="0"/>
          <w:numId w:val="2"/>
        </w:numPr>
        <w:spacing w:after="40" w:before="40"/>
      </w:pPr>
      <w:r>
        <w:rPr>
          <w:rFonts w:ascii="Arial" w:cs="Arial" w:eastAsia="Arial" w:hAnsi="Arial"/>
          <w:b/>
          <w:bCs/>
          <w:color w:val="1A1A1A"/>
          <w:sz w:val="20"/>
          <w:szCs w:val="20"/>
        </w:rPr>
        <w:t xml:space="preserve">Compiled During Protected Leave: </w:t>
      </w:r>
      <w:r>
        <w:rPr>
          <w:rFonts w:ascii="Arial" w:cs="Arial" w:eastAsia="Arial" w:hAnsi="Arial"/>
          <w:color w:val="1A1A1A"/>
          <w:sz w:val="20"/>
          <w:szCs w:val="20"/>
        </w:rPr>
        <w:t xml:space="preserve">The Q2 evaluation overlaps with the entirety of Complainant’s MetLife-confirmed FMLA/CFRA leave window. Submitting an adverse performance evaluation against an employee on formally recognized protected leave—with no employee participation—constitutes FMLA interference under 29 C.F.R. § 825.220(c).</w:t>
      </w:r>
    </w:p>
    <w:p>
      <w:pPr>
        <w:pStyle w:val="ListParagraph"/>
        <w:numPr>
          <w:ilvl w:val="0"/>
          <w:numId w:val="2"/>
        </w:numPr>
        <w:spacing w:after="40" w:before="40"/>
      </w:pPr>
      <w:r>
        <w:rPr>
          <w:rFonts w:ascii="Arial" w:cs="Arial" w:eastAsia="Arial" w:hAnsi="Arial"/>
          <w:b/>
          <w:bCs/>
          <w:color w:val="1A1A1A"/>
          <w:sz w:val="20"/>
          <w:szCs w:val="20"/>
        </w:rPr>
        <w:t xml:space="preserve">Zero Accomplishments for a #1 Ranked Employee: </w:t>
      </w:r>
      <w:r>
        <w:rPr>
          <w:rFonts w:ascii="Arial" w:cs="Arial" w:eastAsia="Arial" w:hAnsi="Arial"/>
          <w:color w:val="1A1A1A"/>
          <w:sz w:val="20"/>
          <w:szCs w:val="20"/>
        </w:rPr>
        <w:t xml:space="preserve">The evaluation’s sole response to the accomplishments question was: “Julio was present April 1 thru May 12 before going out on leave in Q2.” No accomplishments were listed. This was written about an employee who held Region Rank #1 in Northern California as of May 16, 2025—four days after the protected leave date Sloan herself documented—and who was nationally ranked in the top three Flex portfolio managers.</w:t>
      </w:r>
    </w:p>
    <w:p>
      <w:pPr>
        <w:pStyle w:val="ListParagraph"/>
        <w:numPr>
          <w:ilvl w:val="0"/>
          <w:numId w:val="2"/>
        </w:numPr>
        <w:spacing w:after="40" w:before="40"/>
      </w:pPr>
      <w:r>
        <w:rPr>
          <w:rFonts w:ascii="Arial" w:cs="Arial" w:eastAsia="Arial" w:hAnsi="Arial"/>
          <w:b/>
          <w:bCs/>
          <w:color w:val="1A1A1A"/>
          <w:sz w:val="20"/>
          <w:szCs w:val="20"/>
        </w:rPr>
        <w:t xml:space="preserve">Q1 Incidents Included in a Q2 Evaluation: </w:t>
      </w:r>
      <w:r>
        <w:rPr>
          <w:rFonts w:ascii="Arial" w:cs="Arial" w:eastAsia="Arial" w:hAnsi="Arial"/>
          <w:color w:val="1A1A1A"/>
          <w:sz w:val="20"/>
          <w:szCs w:val="20"/>
        </w:rPr>
        <w:t xml:space="preserve">Three of the eight complaints listed in the Q2 evaluation occurred in March 2025 (3/7, 3/18, 3/25)—outside the April 1 – June 30, 2025 Q2 period. Including pre-period incidents in a post-leave evaluation evidences retroactive paper trail construction rather than genuine performance documentation.</w:t>
      </w:r>
    </w:p>
    <w:p>
      <w:pPr>
        <w:pStyle w:val="ListParagraph"/>
        <w:numPr>
          <w:ilvl w:val="0"/>
          <w:numId w:val="2"/>
        </w:numPr>
        <w:spacing w:after="40" w:before="40"/>
      </w:pPr>
      <w:r>
        <w:rPr>
          <w:rFonts w:ascii="Arial" w:cs="Arial" w:eastAsia="Arial" w:hAnsi="Arial"/>
          <w:b/>
          <w:bCs/>
          <w:color w:val="1A1A1A"/>
          <w:sz w:val="20"/>
          <w:szCs w:val="20"/>
        </w:rPr>
        <w:t xml:space="preserve">Kari’s Own Admission Proves Knowledge: </w:t>
      </w:r>
      <w:r>
        <w:rPr>
          <w:rFonts w:ascii="Arial" w:cs="Arial" w:eastAsia="Arial" w:hAnsi="Arial"/>
          <w:color w:val="1A1A1A"/>
          <w:sz w:val="20"/>
          <w:szCs w:val="20"/>
        </w:rPr>
        <w:t xml:space="preserve">The first line of the Q2 evaluation—“Julio was present April 1 thru May 12 before going out on leave in Q2”—is a written admission by the direct supervisor that she knew Complainant’s leave began May 12, 2025. Combined with her admission that she planned to fire Complainant since May 12, this document establishes that the Q2 evaluation was assembled as a post-hoc justification for a termination decision made on the first day of protected leave.</w:t>
      </w:r>
    </w:p>
    <w:p>
      <w:pPr>
        <w:pStyle w:val="ListParagraph"/>
        <w:numPr>
          <w:ilvl w:val="0"/>
          <w:numId w:val="2"/>
        </w:numPr>
        <w:spacing w:after="40" w:before="40"/>
      </w:pPr>
      <w:r>
        <w:rPr>
          <w:rFonts w:ascii="Arial" w:cs="Arial" w:eastAsia="Arial" w:hAnsi="Arial"/>
          <w:b/>
          <w:bCs/>
          <w:color w:val="1A1A1A"/>
          <w:sz w:val="20"/>
          <w:szCs w:val="20"/>
        </w:rPr>
        <w:t xml:space="preserve">None of These Principles Were Demonstrated: </w:t>
      </w:r>
      <w:r>
        <w:rPr>
          <w:rFonts w:ascii="Arial" w:cs="Arial" w:eastAsia="Arial" w:hAnsi="Arial"/>
          <w:color w:val="1A1A1A"/>
          <w:sz w:val="20"/>
          <w:szCs w:val="20"/>
        </w:rPr>
        <w:t xml:space="preserve">The evaluation states that “none” of the Empowered People Principles were demonstrated—written about an employee who joined a professional team call from his wife’s post-surgical recovery on May 13 and contributed substantive expertise. This characterization is demonstrably false and evidences bad faith evaluation.</w:t>
      </w:r>
    </w:p>
    <w:p>
      <w:pPr>
        <w:spacing w:after="0" w:before="80"/>
      </w:pPr>
      <w:r>
        <w:t xml:space="preserve"/>
      </w:r>
    </w:p>
    <w:p>
      <w:pPr>
        <w:pStyle w:val="Heading2"/>
        <w:spacing w:after="80" w:before="240"/>
      </w:pPr>
      <w:r>
        <w:rPr>
          <w:rFonts w:ascii="Arial" w:cs="Arial" w:eastAsia="Arial" w:hAnsi="Arial"/>
          <w:b/>
          <w:bCs/>
          <w:color w:val="1F4E79"/>
          <w:sz w:val="24"/>
          <w:szCs w:val="24"/>
        </w:rPr>
        <w:t xml:space="preserve">G. Post-Leave Termination</w:t>
      </w:r>
    </w:p>
    <w:p>
      <w:pPr>
        <w:spacing w:after="100" w:before="60"/>
        <w:jc w:val="both"/>
      </w:pPr>
      <w:r>
        <w:rPr>
          <w:rFonts w:ascii="Arial" w:cs="Arial" w:eastAsia="Arial" w:hAnsi="Arial"/>
          <w:color w:val="1A1A1A"/>
          <w:sz w:val="20"/>
          <w:szCs w:val="20"/>
        </w:rPr>
        <w:t xml:space="preserve">Complainant’s MetLife-confirmed FMLA/CFRA leave period ran from May 6 through August 6, 2025. Complainant completed his Intensive Outpatient Program on September 12, 2025—thirteen days before his termination on September 25, 2025. Respondent terminated Complainant’s employment on September 25, 2025, citing “Involuntary — Code of Conduct/Policy Violation.”</w:t>
      </w:r>
    </w:p>
    <w:p>
      <w:pPr>
        <w:spacing w:after="100" w:before="60"/>
        <w:jc w:val="both"/>
      </w:pPr>
      <w:r>
        <w:rPr>
          <w:rFonts w:ascii="Arial" w:cs="Arial" w:eastAsia="Arial" w:hAnsi="Arial"/>
          <w:color w:val="1A1A1A"/>
          <w:sz w:val="20"/>
          <w:szCs w:val="20"/>
        </w:rPr>
        <w:t xml:space="preserve">The termination occurred: (a) thirteen days after IOP completion, (b) fifty days after the formal FMLA/CFRA leave period ended, (c) by a supervisor who had admitted to planning the termination since May 12, 2025, (d) following a Q2 evaluation compiled during protected leave with no employee input, and (e) against an employee who had received a merit raise, earned a full bonus, and been ranked #1 in his region during the same period cited in the disciplinary records.</w:t>
      </w:r>
    </w:p>
    <w:p>
      <w:pPr>
        <w:spacing w:after="100" w:before="60"/>
        <w:jc w:val="both"/>
      </w:pPr>
      <w:r>
        <w:rPr>
          <w:rFonts w:ascii="Arial" w:cs="Arial" w:eastAsia="Arial" w:hAnsi="Arial"/>
          <w:color w:val="1A1A1A"/>
          <w:sz w:val="20"/>
          <w:szCs w:val="20"/>
        </w:rPr>
        <w:t xml:space="preserve">Respondent’s HR records contain conflicting separation designations: the formal separation document produced to Complainant designates the termination as “Involuntary” while Respondent’s internal HR system reportedly contained a “Chose to Leave” entry. These conflicting records may reflect false statements made to the California Employment Development Department (EDD) regarding the reason for Complainant’s separation, which would constitute a separate violation of California Labor Code § 1089.</w:t>
      </w:r>
    </w:p>
    <w:p>
      <w:pPr>
        <w:pBdr>
          <w:bottom w:val="single" w:color="CCCCCC" w:sz="4" w:space="1"/>
        </w:pBdr>
        <w:spacing w:after="160" w:before="16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IV. CLAIMS FOR RELIEF</w:t>
      </w:r>
    </w:p>
    <w:p>
      <w:pPr>
        <w:pStyle w:val="Heading2"/>
        <w:spacing w:after="80" w:before="240"/>
      </w:pPr>
      <w:r>
        <w:rPr>
          <w:rFonts w:ascii="Arial" w:cs="Arial" w:eastAsia="Arial" w:hAnsi="Arial"/>
          <w:b/>
          <w:bCs/>
          <w:color w:val="1F4E79"/>
          <w:sz w:val="24"/>
          <w:szCs w:val="24"/>
        </w:rPr>
        <w:t xml:space="preserve">Claim 1 — CFRA Interference (Cal. Gov. Code § 12945.2(t))</w:t>
      </w:r>
    </w:p>
    <w:p>
      <w:pPr>
        <w:spacing w:after="100" w:before="60"/>
        <w:jc w:val="both"/>
      </w:pPr>
      <w:r>
        <w:rPr>
          <w:rFonts w:ascii="Arial" w:cs="Arial" w:eastAsia="Arial" w:hAnsi="Arial"/>
          <w:color w:val="1A1A1A"/>
          <w:sz w:val="20"/>
          <w:szCs w:val="20"/>
        </w:rPr>
        <w:t xml:space="preserve">Respondent interfered with Complainant’s exercise of CFRA-protected leave rights by: (a) attempting to conduct a termination call on May 13, 2025, seven days into the MetLife-confirmed protected leave window; (b) contacting Complainant during protected leave to complain about his out-of-office notification, thereby causing the cancellation of his coverage calendar invite and then berating him for the gap that contact created; and (c) submitting an adverse Q2 performance evaluation during the protected leave window with no employee input, for use in justifying the later termination.</w:t>
      </w:r>
    </w:p>
    <w:p>
      <w:pPr>
        <w:pStyle w:val="Heading2"/>
        <w:spacing w:after="80" w:before="240"/>
      </w:pPr>
      <w:r>
        <w:rPr>
          <w:rFonts w:ascii="Arial" w:cs="Arial" w:eastAsia="Arial" w:hAnsi="Arial"/>
          <w:b/>
          <w:bCs/>
          <w:color w:val="1F4E79"/>
          <w:sz w:val="24"/>
          <w:szCs w:val="24"/>
        </w:rPr>
        <w:t xml:space="preserve">Claim 2 — CFRA/FMLA Retaliation (Cal. Gov. Code § 12945.2(l); 29 U.S.C. § 2615(a)(2))</w:t>
      </w:r>
    </w:p>
    <w:p>
      <w:pPr>
        <w:spacing w:after="100" w:before="60"/>
        <w:jc w:val="both"/>
      </w:pPr>
      <w:r>
        <w:rPr>
          <w:rFonts w:ascii="Arial" w:cs="Arial" w:eastAsia="Arial" w:hAnsi="Arial"/>
          <w:color w:val="1A1A1A"/>
          <w:sz w:val="20"/>
          <w:szCs w:val="20"/>
        </w:rPr>
        <w:t xml:space="preserve">Respondent retaliated against Complainant for exercising CFRA/FMLA protected leave rights. Kari Sloan has admitted, in two independent statements to two different coworkers, that she: (a) planned to terminate Complainant since May 12, 2025 — the documented start of his protected leave; and (b) was frustrated that Complainant’s disability filing “beat her to the punch” before she could execute her termination plan. The September 25, 2025 termination was the execution of a retaliatory plan formed on the first day of Complainant’s formally confirmed protected leave.</w:t>
      </w:r>
    </w:p>
    <w:p>
      <w:pPr>
        <w:pStyle w:val="Heading2"/>
        <w:spacing w:after="80" w:before="240"/>
      </w:pPr>
      <w:r>
        <w:rPr>
          <w:rFonts w:ascii="Arial" w:cs="Arial" w:eastAsia="Arial" w:hAnsi="Arial"/>
          <w:b/>
          <w:bCs/>
          <w:color w:val="1F4E79"/>
          <w:sz w:val="24"/>
          <w:szCs w:val="24"/>
        </w:rPr>
        <w:t xml:space="preserve">Claim 3 — FEHA Disability Discrimination (Cal. Gov. Code § 12940(a))</w:t>
      </w:r>
    </w:p>
    <w:p>
      <w:pPr>
        <w:spacing w:after="100" w:before="60"/>
        <w:jc w:val="both"/>
      </w:pPr>
      <w:r>
        <w:rPr>
          <w:rFonts w:ascii="Arial" w:cs="Arial" w:eastAsia="Arial" w:hAnsi="Arial"/>
          <w:color w:val="1A1A1A"/>
          <w:sz w:val="20"/>
          <w:szCs w:val="20"/>
        </w:rPr>
        <w:t xml:space="preserve">Complainant suffers from PTSD and anxiety—disabilities under FEHA’s broad definition—originating from a firearms assault at Respondent’s own corporate event in June 2024. Respondent had institutional knowledge of both the assault and Complainant’s resulting disability through HR Manager Gianina McManus. Respondent discriminated against Complainant on the basis of his disability by terminating his employment following IOP treatment for the very condition Respondent’s corporate event caused.</w:t>
      </w:r>
    </w:p>
    <w:p>
      <w:pPr>
        <w:pStyle w:val="Heading2"/>
        <w:spacing w:after="80" w:before="240"/>
      </w:pPr>
      <w:r>
        <w:rPr>
          <w:rFonts w:ascii="Arial" w:cs="Arial" w:eastAsia="Arial" w:hAnsi="Arial"/>
          <w:b/>
          <w:bCs/>
          <w:color w:val="1F4E79"/>
          <w:sz w:val="24"/>
          <w:szCs w:val="24"/>
        </w:rPr>
        <w:t xml:space="preserve">Claim 4 — FEHA Failure to Accommodate (Cal. Gov. Code § 12940(m))</w:t>
      </w:r>
    </w:p>
    <w:p>
      <w:pPr>
        <w:spacing w:after="100" w:before="60"/>
        <w:jc w:val="both"/>
      </w:pPr>
      <w:r>
        <w:rPr>
          <w:rFonts w:ascii="Arial" w:cs="Arial" w:eastAsia="Arial" w:hAnsi="Arial"/>
          <w:color w:val="1A1A1A"/>
          <w:sz w:val="20"/>
          <w:szCs w:val="20"/>
        </w:rPr>
        <w:t xml:space="preserve">Respondent failed to provide reasonable accommodation for Complainant’s disability. Complainant’s IOP enrollment and hospitalization constituted constructive requests for accommodation. Respondent never provided or offered any accommodation and instead terminated Complainant thirteen days after IOP completion.</w:t>
      </w:r>
    </w:p>
    <w:p>
      <w:pPr>
        <w:pStyle w:val="Heading2"/>
        <w:spacing w:after="80" w:before="240"/>
      </w:pPr>
      <w:r>
        <w:rPr>
          <w:rFonts w:ascii="Arial" w:cs="Arial" w:eastAsia="Arial" w:hAnsi="Arial"/>
          <w:b/>
          <w:bCs/>
          <w:color w:val="1F4E79"/>
          <w:sz w:val="24"/>
          <w:szCs w:val="24"/>
        </w:rPr>
        <w:t xml:space="preserve">Claim 5 — FEHA Failure to Engage in Interactive Process (Cal. Gov. Code § 12940(n))</w:t>
      </w:r>
    </w:p>
    <w:p>
      <w:pPr>
        <w:spacing w:after="100" w:before="60"/>
        <w:jc w:val="both"/>
      </w:pPr>
      <w:r>
        <w:rPr>
          <w:rFonts w:ascii="Arial" w:cs="Arial" w:eastAsia="Arial" w:hAnsi="Arial"/>
          <w:color w:val="1A1A1A"/>
          <w:sz w:val="20"/>
          <w:szCs w:val="20"/>
        </w:rPr>
        <w:t xml:space="preserve">Respondent failed to engage in a timely, good-faith interactive process after receiving notice of Complainant’s disability. Following the MetLife eligibility determination and Complainant’s May 19, 2025 written notice of family medical reasons, Respondent was obligated to initiate the interactive process. No such process was initiated.</w:t>
      </w:r>
    </w:p>
    <w:p>
      <w:pPr>
        <w:pStyle w:val="Heading2"/>
        <w:spacing w:after="80" w:before="240"/>
      </w:pPr>
      <w:r>
        <w:rPr>
          <w:rFonts w:ascii="Arial" w:cs="Arial" w:eastAsia="Arial" w:hAnsi="Arial"/>
          <w:b/>
          <w:bCs/>
          <w:color w:val="1F4E79"/>
          <w:sz w:val="24"/>
          <w:szCs w:val="24"/>
        </w:rPr>
        <w:t xml:space="preserve">Claim 6 — FEHA Retaliation (Cal. Gov. Code § 12940(h))</w:t>
      </w:r>
    </w:p>
    <w:p>
      <w:pPr>
        <w:spacing w:after="100" w:before="60"/>
        <w:jc w:val="both"/>
      </w:pPr>
      <w:r>
        <w:rPr>
          <w:rFonts w:ascii="Arial" w:cs="Arial" w:eastAsia="Arial" w:hAnsi="Arial"/>
          <w:color w:val="1A1A1A"/>
          <w:sz w:val="20"/>
          <w:szCs w:val="20"/>
        </w:rPr>
        <w:t xml:space="preserve">Respondent retaliated against Complainant for: requesting and taking CFRA/FMLA leave; filing for short-term disability; and exercising his rights under FEHA. The adverse actions—Final Written Warning, Q2 evaluation during leave, loss of Flex program leadership opportunity, and termination—all occurred in temporal proximity to and causally connected with Complainant’s protected activities.</w:t>
      </w:r>
    </w:p>
    <w:p>
      <w:pPr>
        <w:pStyle w:val="Heading2"/>
        <w:spacing w:after="80" w:before="240"/>
      </w:pPr>
      <w:r>
        <w:rPr>
          <w:rFonts w:ascii="Arial" w:cs="Arial" w:eastAsia="Arial" w:hAnsi="Arial"/>
          <w:b/>
          <w:bCs/>
          <w:color w:val="1F4E79"/>
          <w:sz w:val="24"/>
          <w:szCs w:val="24"/>
        </w:rPr>
        <w:t xml:space="preserve">Claim 7 — Wrongful Termination in Violation of Public Policy (Tameny Claim)</w:t>
      </w:r>
    </w:p>
    <w:p>
      <w:pPr>
        <w:spacing w:after="100" w:before="60"/>
        <w:jc w:val="both"/>
      </w:pPr>
      <w:r>
        <w:rPr>
          <w:rFonts w:ascii="Arial" w:cs="Arial" w:eastAsia="Arial" w:hAnsi="Arial"/>
          <w:color w:val="1A1A1A"/>
          <w:sz w:val="20"/>
          <w:szCs w:val="20"/>
        </w:rPr>
        <w:t xml:space="preserve">Complainant’s termination violates the fundamental public policies expressed in CFRA, FEHA, and California Labor Code § 1102.5. Under Tameny v. Atlantic Richfield Co. (1980) 27 Cal.3d 167, an at-will employee cannot be terminated for reasons that violate a fundamental public policy. Terminating an employee for exercising CFRA leave rights, for suffering a disability, and for opposing discriminatory management practices each independently violates public policy. This claim supports recovery of emotional distress and punitive damages beyond statutory caps.</w:t>
      </w:r>
    </w:p>
    <w:p>
      <w:pPr>
        <w:pStyle w:val="Heading2"/>
        <w:spacing w:after="80" w:before="240"/>
      </w:pPr>
      <w:r>
        <w:rPr>
          <w:rFonts w:ascii="Arial" w:cs="Arial" w:eastAsia="Arial" w:hAnsi="Arial"/>
          <w:b/>
          <w:bCs/>
          <w:color w:val="1F4E79"/>
          <w:sz w:val="24"/>
          <w:szCs w:val="24"/>
        </w:rPr>
        <w:t xml:space="preserve">Claim 8 — Constructive Discharge</w:t>
      </w:r>
    </w:p>
    <w:p>
      <w:pPr>
        <w:spacing w:after="100" w:before="60"/>
        <w:jc w:val="both"/>
      </w:pPr>
      <w:r>
        <w:rPr>
          <w:rFonts w:ascii="Arial" w:cs="Arial" w:eastAsia="Arial" w:hAnsi="Arial"/>
          <w:color w:val="1A1A1A"/>
          <w:sz w:val="20"/>
          <w:szCs w:val="20"/>
        </w:rPr>
        <w:t xml:space="preserve">To the extent Respondent characterizes the separation as voluntary, Complainant alleges constructive discharge. Under Turner v. Anheuser-Busch, Inc. (1994) 7 Cal.4th 1238, constructive discharge requires deliberate creation of intolerable conditions with intent to cause resignation. Kari Sloan’s documented admission that she planned to fire Complainant since May 12, the hostile out-of-office berating during protected leave, the one-sided Q2 evaluation during leave with no employee input, and the systematic stripping of career advancement opportunities collectively created working conditions no reasonable person could be expected to endure upon return from protected leave.</w:t>
      </w:r>
    </w:p>
    <w:p>
      <w:pPr>
        <w:spacing w:after="100" w:before="60"/>
        <w:jc w:val="both"/>
      </w:pPr>
      <w:r>
        <w:rPr>
          <w:rFonts w:ascii="Arial" w:cs="Arial" w:eastAsia="Arial" w:hAnsi="Arial"/>
          <w:color w:val="1A1A1A"/>
          <w:sz w:val="20"/>
          <w:szCs w:val="20"/>
        </w:rPr>
        <w:t xml:space="preserve">Any voluntary separation narrative is further refuted by objective third-party records: Complainant’s home loan funded on March 11, 2025—eight weeks before protected leave began—and his family completed a home move on April 14, 2025. A person who closes a mortgage, relocates their family, holds a Region Rank #1 performance standing on May 16, earns a full $10,981.74 bonus, and receives a merit raise does not voluntarily abandon their employment. The deed recording, loan funding date, and payroll address change records permanently refute any claim that Complainant’s departure was a free and voluntary choice.</w:t>
      </w:r>
    </w:p>
    <w:p>
      <w:pPr>
        <w:pStyle w:val="Heading2"/>
        <w:spacing w:after="80" w:before="240"/>
      </w:pPr>
      <w:r>
        <w:rPr>
          <w:rFonts w:ascii="Arial" w:cs="Arial" w:eastAsia="Arial" w:hAnsi="Arial"/>
          <w:b/>
          <w:bCs/>
          <w:color w:val="1F4E79"/>
          <w:sz w:val="24"/>
          <w:szCs w:val="24"/>
        </w:rPr>
        <w:t xml:space="preserve">Claim 9 — National Origin / Race Discrimination (FEHA § 12940(a); Title VII)</w:t>
      </w:r>
    </w:p>
    <w:p>
      <w:pPr>
        <w:spacing w:after="100" w:before="60"/>
        <w:jc w:val="both"/>
      </w:pPr>
      <w:r>
        <w:rPr>
          <w:rFonts w:ascii="Arial" w:cs="Arial" w:eastAsia="Arial" w:hAnsi="Arial"/>
          <w:color w:val="1A1A1A"/>
          <w:sz w:val="20"/>
          <w:szCs w:val="20"/>
        </w:rPr>
        <w:t xml:space="preserve">Kari Sloan told a senior coworker with over 10 years of Cox employment that he would “never make DPM” because “he looks like a cholo with an impala in his garage.” This statement constitutes direct evidence of discriminatory animus based on national origin/race (Latino/Mexican-American identity). This discriminatory conduct by the same supervisor responsible for Complainant’s termination is relevant as: (a) evidence of the supervisor’s discriminatory character; (b) evidence of a pattern of discriminatory management; and (c) an independently actionable claim for the affected coworker.</w:t>
      </w:r>
    </w:p>
    <w:p>
      <w:pPr>
        <w:pStyle w:val="Heading2"/>
        <w:spacing w:after="80" w:before="240"/>
      </w:pPr>
      <w:r>
        <w:rPr>
          <w:rFonts w:ascii="Arial" w:cs="Arial" w:eastAsia="Arial" w:hAnsi="Arial"/>
          <w:b/>
          <w:bCs/>
          <w:color w:val="1F4E79"/>
          <w:sz w:val="24"/>
          <w:szCs w:val="24"/>
        </w:rPr>
        <w:t xml:space="preserve">Claim 10 — California Labor Code Wage Claims (§§ 201, 203, 226)</w:t>
      </w:r>
    </w:p>
    <w:p>
      <w:pPr>
        <w:spacing w:after="100" w:before="60"/>
        <w:jc w:val="both"/>
      </w:pPr>
      <w:r>
        <w:rPr>
          <w:rFonts w:ascii="Arial" w:cs="Arial" w:eastAsia="Arial" w:hAnsi="Arial"/>
          <w:color w:val="1A1A1A"/>
          <w:sz w:val="20"/>
          <w:szCs w:val="20"/>
        </w:rPr>
        <w:t xml:space="preserve">Respondent failed to pay Complainant’s accrued bonus of $10,981.74 immediately upon involuntary termination as required by California Labor Code § 201. Respondent is therefore subject to waiting time penalties of up to 30 days of wages under Labor Code § 203 (approximately $13,073 at $113,300/year). Respondent also retroactively converted $4,357.70 of regular salary to sick pay without the advance written notice required by 29 C.F.R. § 825.207, constituting an unauthorized clawback of earned wages.</w:t>
      </w:r>
    </w:p>
    <w:p>
      <w:pPr>
        <w:pBdr>
          <w:bottom w:val="single" w:color="CCCCCC" w:sz="4" w:space="1"/>
        </w:pBdr>
        <w:spacing w:after="160" w:before="16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V. DOCUMENTARY EVIDENCE IN COMPLAINANT’S POSSESSION</w:t>
      </w:r>
    </w:p>
    <w:p>
      <w:pPr>
        <w:spacing w:after="100" w:before="60"/>
        <w:jc w:val="both"/>
      </w:pPr>
      <w:r>
        <w:rPr>
          <w:rFonts w:ascii="Arial" w:cs="Arial" w:eastAsia="Arial" w:hAnsi="Arial"/>
          <w:color w:val="1A1A1A"/>
          <w:sz w:val="20"/>
          <w:szCs w:val="20"/>
        </w:rPr>
        <w:t xml:space="preserve">The following documents are currently held by Complainant and available for submission:</w:t>
      </w:r>
    </w:p>
    <w:p>
      <w:pPr>
        <w:pStyle w:val="ListParagraph"/>
        <w:numPr>
          <w:ilvl w:val="0"/>
          <w:numId w:val="2"/>
        </w:numPr>
        <w:spacing w:after="40" w:before="40"/>
      </w:pPr>
      <w:r>
        <w:rPr>
          <w:rFonts w:ascii="Arial" w:cs="Arial" w:eastAsia="Arial" w:hAnsi="Arial"/>
          <w:color w:val="1A1A1A"/>
          <w:sz w:val="20"/>
          <w:szCs w:val="20"/>
        </w:rPr>
        <w:t xml:space="preserve">Exhibit A — MetLife FMLA/CFRA Eligibility Notice confirming protection under CA Family Rights Act, Federal FMLA, and Cox Enterprises Company FML, eligibility start date May 6, 2025</w:t>
      </w:r>
    </w:p>
    <w:p>
      <w:pPr>
        <w:pStyle w:val="ListParagraph"/>
        <w:numPr>
          <w:ilvl w:val="0"/>
          <w:numId w:val="2"/>
        </w:numPr>
        <w:spacing w:after="40" w:before="40"/>
      </w:pPr>
      <w:r>
        <w:rPr>
          <w:rFonts w:ascii="Arial" w:cs="Arial" w:eastAsia="Arial" w:hAnsi="Arial"/>
          <w:color w:val="1A1A1A"/>
          <w:sz w:val="20"/>
          <w:szCs w:val="20"/>
        </w:rPr>
        <w:t xml:space="preserve">Exhibit B — Final Written Warning (Period: January 30 – February 17, 2025; Manager entry date: April 14, 2025; Employee acknowledgment date: March 19, 2025)</w:t>
      </w:r>
    </w:p>
    <w:p>
      <w:pPr>
        <w:pStyle w:val="ListParagraph"/>
        <w:numPr>
          <w:ilvl w:val="0"/>
          <w:numId w:val="2"/>
        </w:numPr>
        <w:spacing w:after="40" w:before="40"/>
      </w:pPr>
      <w:r>
        <w:rPr>
          <w:rFonts w:ascii="Arial" w:cs="Arial" w:eastAsia="Arial" w:hAnsi="Arial"/>
          <w:color w:val="1A1A1A"/>
          <w:sz w:val="20"/>
          <w:szCs w:val="20"/>
        </w:rPr>
        <w:t xml:space="preserve">Exhibit C — Q2 Progress Check Performance Evaluation (April 1 – June 30, 2025; evaluated by Kari Sloan; no employee input)</w:t>
      </w:r>
    </w:p>
    <w:p>
      <w:pPr>
        <w:pStyle w:val="ListParagraph"/>
        <w:numPr>
          <w:ilvl w:val="0"/>
          <w:numId w:val="2"/>
        </w:numPr>
        <w:spacing w:after="40" w:before="40"/>
      </w:pPr>
      <w:r>
        <w:rPr>
          <w:rFonts w:ascii="Arial" w:cs="Arial" w:eastAsia="Arial" w:hAnsi="Arial"/>
          <w:color w:val="1A1A1A"/>
          <w:sz w:val="20"/>
          <w:szCs w:val="20"/>
        </w:rPr>
        <w:t xml:space="preserve">Exhibit D — Separation Document signed by Felix Lopez, dated September 25, 2025 (“Involuntary — Code of Conduct/Policy Violation”)</w:t>
      </w:r>
    </w:p>
    <w:p>
      <w:pPr>
        <w:pStyle w:val="ListParagraph"/>
        <w:numPr>
          <w:ilvl w:val="0"/>
          <w:numId w:val="2"/>
        </w:numPr>
        <w:spacing w:after="40" w:before="40"/>
      </w:pPr>
      <w:r>
        <w:rPr>
          <w:rFonts w:ascii="Arial" w:cs="Arial" w:eastAsia="Arial" w:hAnsi="Arial"/>
          <w:color w:val="1A1A1A"/>
          <w:sz w:val="20"/>
          <w:szCs w:val="20"/>
        </w:rPr>
        <w:t xml:space="preserve">Exhibit E — Pay Stub (March 2–15, 2025) — Annual rate $110,000; YTD bonus $10,981.74 by March 2</w:t>
      </w:r>
    </w:p>
    <w:p>
      <w:pPr>
        <w:pStyle w:val="ListParagraph"/>
        <w:numPr>
          <w:ilvl w:val="0"/>
          <w:numId w:val="2"/>
        </w:numPr>
        <w:spacing w:after="40" w:before="40"/>
      </w:pPr>
      <w:r>
        <w:rPr>
          <w:rFonts w:ascii="Arial" w:cs="Arial" w:eastAsia="Arial" w:hAnsi="Arial"/>
          <w:color w:val="1A1A1A"/>
          <w:sz w:val="20"/>
          <w:szCs w:val="20"/>
        </w:rPr>
        <w:t xml:space="preserve">Exhibit F — Pay Stub (April 27 – May 10, 2025) — Annual rate $113,300; confirms merit raise; confirms bonus YTD</w:t>
      </w:r>
    </w:p>
    <w:p>
      <w:pPr>
        <w:pStyle w:val="ListParagraph"/>
        <w:numPr>
          <w:ilvl w:val="0"/>
          <w:numId w:val="2"/>
        </w:numPr>
        <w:spacing w:after="40" w:before="40"/>
      </w:pPr>
      <w:r>
        <w:rPr>
          <w:rFonts w:ascii="Arial" w:cs="Arial" w:eastAsia="Arial" w:hAnsi="Arial"/>
          <w:color w:val="1A1A1A"/>
          <w:sz w:val="20"/>
          <w:szCs w:val="20"/>
        </w:rPr>
        <w:t xml:space="preserve">Exhibit G — Pay Stub (May 11–24, 2025) — Shows retroactive $4,357.70 regular salary reversal and replacement with sick pay; sick pay coding beginning May 11 (two days before first PTO day of May 13)</w:t>
      </w:r>
    </w:p>
    <w:p>
      <w:pPr>
        <w:pStyle w:val="ListParagraph"/>
        <w:numPr>
          <w:ilvl w:val="0"/>
          <w:numId w:val="2"/>
        </w:numPr>
        <w:spacing w:after="40" w:before="40"/>
      </w:pPr>
      <w:r>
        <w:rPr>
          <w:rFonts w:ascii="Arial" w:cs="Arial" w:eastAsia="Arial" w:hAnsi="Arial"/>
          <w:color w:val="1A1A1A"/>
          <w:sz w:val="20"/>
          <w:szCs w:val="20"/>
        </w:rPr>
        <w:t xml:space="preserve">Exhibit H — Sacramento County Deed Recording / Home Loan Funding Confirmation — Loan funded March 11, 2025; address change from 1527 Hood Road to 2541 23rd Avenue corroborated in Cox payroll records between March and May 2025 pay stubs</w:t>
      </w:r>
    </w:p>
    <w:p>
      <w:pPr>
        <w:spacing w:after="0" w:before="80"/>
      </w:pPr>
      <w:r>
        <w:t xml:space="preserve"/>
      </w:r>
    </w:p>
    <w:p>
      <w:pPr>
        <w:pStyle w:val="Heading2"/>
        <w:spacing w:after="80" w:before="240"/>
      </w:pPr>
      <w:r>
        <w:rPr>
          <w:rFonts w:ascii="Arial" w:cs="Arial" w:eastAsia="Arial" w:hAnsi="Arial"/>
          <w:b/>
          <w:bCs/>
          <w:color w:val="1F4E79"/>
          <w:sz w:val="24"/>
          <w:szCs w:val="24"/>
        </w:rPr>
        <w:t xml:space="preserve">B. Evidence in Respondent’s and MetLife’s Possession (Subpoena Targets)</w:t>
      </w:r>
    </w:p>
    <w:p>
      <w:pPr>
        <w:pStyle w:val="ListParagraph"/>
        <w:numPr>
          <w:ilvl w:val="0"/>
          <w:numId w:val="2"/>
        </w:numPr>
        <w:spacing w:after="40" w:before="40"/>
      </w:pPr>
      <w:r>
        <w:rPr>
          <w:rFonts w:ascii="Arial" w:cs="Arial" w:eastAsia="Arial" w:hAnsi="Arial"/>
          <w:color w:val="1A1A1A"/>
          <w:sz w:val="20"/>
          <w:szCs w:val="20"/>
        </w:rPr>
        <w:t xml:space="preserve">Microsoft Teams meeting attendance logs and recording of the May 13, 2025 9:00 AM team call</w:t>
      </w:r>
    </w:p>
    <w:p>
      <w:pPr>
        <w:pStyle w:val="ListParagraph"/>
        <w:numPr>
          <w:ilvl w:val="0"/>
          <w:numId w:val="2"/>
        </w:numPr>
        <w:spacing w:after="40" w:before="40"/>
      </w:pPr>
      <w:r>
        <w:rPr>
          <w:rFonts w:ascii="Arial" w:cs="Arial" w:eastAsia="Arial" w:hAnsi="Arial"/>
          <w:color w:val="1A1A1A"/>
          <w:sz w:val="20"/>
          <w:szCs w:val="20"/>
        </w:rPr>
        <w:t xml:space="preserve">Microsoft 365 calendar audit logs for Kari Sloan and Complainant, specifically the May 12 cancelled afternoon meeting and the May 13 8:00 AM call</w:t>
      </w:r>
    </w:p>
    <w:p>
      <w:pPr>
        <w:pStyle w:val="ListParagraph"/>
        <w:numPr>
          <w:ilvl w:val="0"/>
          <w:numId w:val="2"/>
        </w:numPr>
        <w:spacing w:after="40" w:before="40"/>
      </w:pPr>
      <w:r>
        <w:rPr>
          <w:rFonts w:ascii="Arial" w:cs="Arial" w:eastAsia="Arial" w:hAnsi="Arial"/>
          <w:color w:val="1A1A1A"/>
          <w:sz w:val="20"/>
          <w:szCs w:val="20"/>
        </w:rPr>
        <w:t xml:space="preserve">Kari Sloan’s complete Outlook/Teams email and message history with Complainant, January – September 2025</w:t>
      </w:r>
    </w:p>
    <w:p>
      <w:pPr>
        <w:pStyle w:val="ListParagraph"/>
        <w:numPr>
          <w:ilvl w:val="0"/>
          <w:numId w:val="2"/>
        </w:numPr>
        <w:spacing w:after="40" w:before="40"/>
      </w:pPr>
      <w:r>
        <w:rPr>
          <w:rFonts w:ascii="Arial" w:cs="Arial" w:eastAsia="Arial" w:hAnsi="Arial"/>
          <w:color w:val="1A1A1A"/>
          <w:sz w:val="20"/>
          <w:szCs w:val="20"/>
        </w:rPr>
        <w:t xml:space="preserve">HR system audit logs (creation and modification timestamps) for the Final Written Warning document</w:t>
      </w:r>
    </w:p>
    <w:p>
      <w:pPr>
        <w:pStyle w:val="ListParagraph"/>
        <w:numPr>
          <w:ilvl w:val="0"/>
          <w:numId w:val="2"/>
        </w:numPr>
        <w:spacing w:after="40" w:before="40"/>
      </w:pPr>
      <w:r>
        <w:rPr>
          <w:rFonts w:ascii="Arial" w:cs="Arial" w:eastAsia="Arial" w:hAnsi="Arial"/>
          <w:color w:val="1A1A1A"/>
          <w:sz w:val="20"/>
          <w:szCs w:val="20"/>
        </w:rPr>
        <w:t xml:space="preserve">Lugo Auto Sales onboarding date and complete prior LRS risk history predating Complainant’s assignment</w:t>
      </w:r>
    </w:p>
    <w:p>
      <w:pPr>
        <w:pStyle w:val="ListParagraph"/>
        <w:numPr>
          <w:ilvl w:val="0"/>
          <w:numId w:val="2"/>
        </w:numPr>
        <w:spacing w:after="40" w:before="40"/>
      </w:pPr>
      <w:r>
        <w:rPr>
          <w:rFonts w:ascii="Arial" w:cs="Arial" w:eastAsia="Arial" w:hAnsi="Arial"/>
          <w:color w:val="1A1A1A"/>
          <w:sz w:val="20"/>
          <w:szCs w:val="20"/>
        </w:rPr>
        <w:t xml:space="preserve">Compensation approval chain for the $110,000 → $113,300 merit raise: requester, approver, date processed, and performance justification documentation</w:t>
      </w:r>
    </w:p>
    <w:p>
      <w:pPr>
        <w:pStyle w:val="ListParagraph"/>
        <w:numPr>
          <w:ilvl w:val="0"/>
          <w:numId w:val="2"/>
        </w:numPr>
        <w:spacing w:after="40" w:before="40"/>
      </w:pPr>
      <w:r>
        <w:rPr>
          <w:rFonts w:ascii="Arial" w:cs="Arial" w:eastAsia="Arial" w:hAnsi="Arial"/>
          <w:color w:val="1A1A1A"/>
          <w:sz w:val="20"/>
          <w:szCs w:val="20"/>
        </w:rPr>
        <w:t xml:space="preserve">Kevon Knudsen’s Q2 performance evaluation and promotion records (Regional Audit Manager)</w:t>
      </w:r>
    </w:p>
    <w:p>
      <w:pPr>
        <w:pStyle w:val="ListParagraph"/>
        <w:numPr>
          <w:ilvl w:val="0"/>
          <w:numId w:val="2"/>
        </w:numPr>
        <w:spacing w:after="40" w:before="40"/>
      </w:pPr>
      <w:r>
        <w:rPr>
          <w:rFonts w:ascii="Arial" w:cs="Arial" w:eastAsia="Arial" w:hAnsi="Arial"/>
          <w:color w:val="1A1A1A"/>
          <w:sz w:val="20"/>
          <w:szCs w:val="20"/>
        </w:rPr>
        <w:t xml:space="preserve">MetLife complete claim file: submission date, documentation provided, all MetLife–Cox communications, and the final leave designation decision</w:t>
      </w:r>
    </w:p>
    <w:p>
      <w:pPr>
        <w:pStyle w:val="ListParagraph"/>
        <w:numPr>
          <w:ilvl w:val="0"/>
          <w:numId w:val="2"/>
        </w:numPr>
        <w:spacing w:after="40" w:before="40"/>
      </w:pPr>
      <w:r>
        <w:rPr>
          <w:rFonts w:ascii="Arial" w:cs="Arial" w:eastAsia="Arial" w:hAnsi="Arial"/>
          <w:color w:val="1A1A1A"/>
          <w:sz w:val="20"/>
          <w:szCs w:val="20"/>
        </w:rPr>
        <w:t xml:space="preserve">Complainant’s Workday leave records for May 2025 and the “family medical reasons” written notice submitted approximately May 19, 2025</w:t>
      </w:r>
    </w:p>
    <w:p>
      <w:pPr>
        <w:pStyle w:val="ListParagraph"/>
        <w:numPr>
          <w:ilvl w:val="0"/>
          <w:numId w:val="2"/>
        </w:numPr>
        <w:spacing w:after="40" w:before="40"/>
      </w:pPr>
      <w:r>
        <w:rPr>
          <w:rFonts w:ascii="Arial" w:cs="Arial" w:eastAsia="Arial" w:hAnsi="Arial"/>
          <w:color w:val="1A1A1A"/>
          <w:sz w:val="20"/>
          <w:szCs w:val="20"/>
        </w:rPr>
        <w:t xml:space="preserve">California EDD separation notice: what Cox represented to EDD regarding the reason for Complainant’s termination</w:t>
      </w:r>
    </w:p>
    <w:p>
      <w:pPr>
        <w:pStyle w:val="ListParagraph"/>
        <w:numPr>
          <w:ilvl w:val="0"/>
          <w:numId w:val="2"/>
        </w:numPr>
        <w:spacing w:after="40" w:before="40"/>
      </w:pPr>
      <w:r>
        <w:rPr>
          <w:rFonts w:ascii="Arial" w:cs="Arial" w:eastAsia="Arial" w:hAnsi="Arial"/>
          <w:color w:val="1A1A1A"/>
          <w:sz w:val="20"/>
          <w:szCs w:val="20"/>
        </w:rPr>
        <w:t xml:space="preserve">Recording of the September 25, 2025 Microsoft Teams call on which Kari Sloan admitted she planned to terminate Complainant since May 12, 2025</w:t>
      </w:r>
    </w:p>
    <w:p>
      <w:pPr>
        <w:pStyle w:val="ListParagraph"/>
        <w:numPr>
          <w:ilvl w:val="0"/>
          <w:numId w:val="2"/>
        </w:numPr>
        <w:spacing w:after="40" w:before="40"/>
      </w:pPr>
      <w:r>
        <w:rPr>
          <w:rFonts w:ascii="Arial" w:cs="Arial" w:eastAsia="Arial" w:hAnsi="Arial"/>
          <w:color w:val="1A1A1A"/>
          <w:sz w:val="20"/>
          <w:szCs w:val="20"/>
        </w:rPr>
        <w:t xml:space="preserve">All HR records related to the June 2024 firearms assault at the Salt Lake City corporate event, including Gianina McManus’s communications with Complainant</w:t>
      </w:r>
    </w:p>
    <w:p>
      <w:pPr>
        <w:pBdr>
          <w:bottom w:val="single" w:color="CCCCCC" w:sz="4" w:space="1"/>
        </w:pBdr>
        <w:spacing w:after="160" w:before="16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VI. REMEDIES REQUESTED</w:t>
      </w:r>
    </w:p>
    <w:p>
      <w:pPr>
        <w:spacing w:after="100" w:before="60"/>
        <w:jc w:val="both"/>
      </w:pPr>
      <w:r>
        <w:rPr>
          <w:rFonts w:ascii="Arial" w:cs="Arial" w:eastAsia="Arial" w:hAnsi="Arial"/>
          <w:color w:val="1A1A1A"/>
          <w:sz w:val="20"/>
          <w:szCs w:val="20"/>
        </w:rPr>
        <w:t xml:space="preserve">Complainant seeks the following relief:</w:t>
      </w:r>
    </w:p>
    <w:p>
      <w:pPr>
        <w:pStyle w:val="ListParagraph"/>
        <w:numPr>
          <w:ilvl w:val="0"/>
          <w:numId w:val="2"/>
        </w:numPr>
        <w:spacing w:after="40" w:before="40"/>
      </w:pPr>
      <w:r>
        <w:rPr>
          <w:rFonts w:ascii="Arial" w:cs="Arial" w:eastAsia="Arial" w:hAnsi="Arial"/>
          <w:color w:val="1A1A1A"/>
          <w:sz w:val="20"/>
          <w:szCs w:val="20"/>
        </w:rPr>
        <w:t xml:space="preserve">Back pay from September 25, 2025 through the date of judgment, at $113,300 per year plus all bonuses, benefits, and employment-related compensation</w:t>
      </w:r>
    </w:p>
    <w:p>
      <w:pPr>
        <w:pStyle w:val="ListParagraph"/>
        <w:numPr>
          <w:ilvl w:val="0"/>
          <w:numId w:val="2"/>
        </w:numPr>
        <w:spacing w:after="40" w:before="40"/>
      </w:pPr>
      <w:r>
        <w:rPr>
          <w:rFonts w:ascii="Arial" w:cs="Arial" w:eastAsia="Arial" w:hAnsi="Arial"/>
          <w:color w:val="1A1A1A"/>
          <w:sz w:val="20"/>
          <w:szCs w:val="20"/>
        </w:rPr>
        <w:t xml:space="preserve">Front pay for future lost earnings</w:t>
      </w:r>
    </w:p>
    <w:p>
      <w:pPr>
        <w:pStyle w:val="ListParagraph"/>
        <w:numPr>
          <w:ilvl w:val="0"/>
          <w:numId w:val="2"/>
        </w:numPr>
        <w:spacing w:after="40" w:before="40"/>
      </w:pPr>
      <w:r>
        <w:rPr>
          <w:rFonts w:ascii="Arial" w:cs="Arial" w:eastAsia="Arial" w:hAnsi="Arial"/>
          <w:color w:val="1A1A1A"/>
          <w:sz w:val="20"/>
          <w:szCs w:val="20"/>
        </w:rPr>
        <w:t xml:space="preserve">Payment of withheld earned bonus of $10,981.74 plus waiting time penalties under California Labor Code § 203</w:t>
      </w:r>
    </w:p>
    <w:p>
      <w:pPr>
        <w:pStyle w:val="ListParagraph"/>
        <w:numPr>
          <w:ilvl w:val="0"/>
          <w:numId w:val="2"/>
        </w:numPr>
        <w:spacing w:after="40" w:before="40"/>
      </w:pPr>
      <w:r>
        <w:rPr>
          <w:rFonts w:ascii="Arial" w:cs="Arial" w:eastAsia="Arial" w:hAnsi="Arial"/>
          <w:color w:val="1A1A1A"/>
          <w:sz w:val="20"/>
          <w:szCs w:val="20"/>
        </w:rPr>
        <w:t xml:space="preserve">Compensatory damages for emotional distress, humiliation, and reputational harm</w:t>
      </w:r>
    </w:p>
    <w:p>
      <w:pPr>
        <w:pStyle w:val="ListParagraph"/>
        <w:numPr>
          <w:ilvl w:val="0"/>
          <w:numId w:val="2"/>
        </w:numPr>
        <w:spacing w:after="40" w:before="40"/>
      </w:pPr>
      <w:r>
        <w:rPr>
          <w:rFonts w:ascii="Arial" w:cs="Arial" w:eastAsia="Arial" w:hAnsi="Arial"/>
          <w:color w:val="1A1A1A"/>
          <w:sz w:val="20"/>
          <w:szCs w:val="20"/>
        </w:rPr>
        <w:t xml:space="preserve">Punitive damages under FEHA Civil Code § 3294, based on Kari Sloan’s documented malice and oppression (admission of intent to terminate since May 12, 2025)</w:t>
      </w:r>
    </w:p>
    <w:p>
      <w:pPr>
        <w:pStyle w:val="ListParagraph"/>
        <w:numPr>
          <w:ilvl w:val="0"/>
          <w:numId w:val="2"/>
        </w:numPr>
        <w:spacing w:after="40" w:before="40"/>
      </w:pPr>
      <w:r>
        <w:rPr>
          <w:rFonts w:ascii="Arial" w:cs="Arial" w:eastAsia="Arial" w:hAnsi="Arial"/>
          <w:color w:val="1A1A1A"/>
          <w:sz w:val="20"/>
          <w:szCs w:val="20"/>
        </w:rPr>
        <w:t xml:space="preserve">Liquidated damages equal to back pay and benefits under FMLA 29 U.S.C. § 2617, based on willful violation established by Kari Sloan’s direct admissions</w:t>
      </w:r>
    </w:p>
    <w:p>
      <w:pPr>
        <w:pStyle w:val="ListParagraph"/>
        <w:numPr>
          <w:ilvl w:val="0"/>
          <w:numId w:val="2"/>
        </w:numPr>
        <w:spacing w:after="40" w:before="40"/>
      </w:pPr>
      <w:r>
        <w:rPr>
          <w:rFonts w:ascii="Arial" w:cs="Arial" w:eastAsia="Arial" w:hAnsi="Arial"/>
          <w:color w:val="1A1A1A"/>
          <w:sz w:val="20"/>
          <w:szCs w:val="20"/>
        </w:rPr>
        <w:t xml:space="preserve">Reinstatement or, in the alternative, additional front pay</w:t>
      </w:r>
    </w:p>
    <w:p>
      <w:pPr>
        <w:pStyle w:val="ListParagraph"/>
        <w:numPr>
          <w:ilvl w:val="0"/>
          <w:numId w:val="2"/>
        </w:numPr>
        <w:spacing w:after="40" w:before="40"/>
      </w:pPr>
      <w:r>
        <w:rPr>
          <w:rFonts w:ascii="Arial" w:cs="Arial" w:eastAsia="Arial" w:hAnsi="Arial"/>
          <w:color w:val="1A1A1A"/>
          <w:sz w:val="20"/>
          <w:szCs w:val="20"/>
        </w:rPr>
        <w:t xml:space="preserve">Attorneys’ fees and costs under FEHA § 12965(b), FMLA 29 U.S.C. § 2617, and Title VII</w:t>
      </w:r>
    </w:p>
    <w:p>
      <w:pPr>
        <w:pStyle w:val="ListParagraph"/>
        <w:numPr>
          <w:ilvl w:val="0"/>
          <w:numId w:val="2"/>
        </w:numPr>
        <w:spacing w:after="40" w:before="40"/>
      </w:pPr>
      <w:r>
        <w:rPr>
          <w:rFonts w:ascii="Arial" w:cs="Arial" w:eastAsia="Arial" w:hAnsi="Arial"/>
          <w:color w:val="1A1A1A"/>
          <w:sz w:val="20"/>
          <w:szCs w:val="20"/>
        </w:rPr>
        <w:t xml:space="preserve">All other relief the CRD deems just and proper</w:t>
      </w:r>
    </w:p>
    <w:p>
      <w:pPr>
        <w:pBdr>
          <w:bottom w:val="single" w:color="CCCCCC" w:sz="4" w:space="1"/>
        </w:pBdr>
        <w:spacing w:after="160" w:before="16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VII. VERIFICATION</w:t>
      </w:r>
    </w:p>
    <w:p>
      <w:pPr>
        <w:spacing w:after="100" w:before="60"/>
        <w:jc w:val="both"/>
      </w:pPr>
      <w:r>
        <w:rPr>
          <w:rFonts w:ascii="Arial" w:cs="Arial" w:eastAsia="Arial" w:hAnsi="Arial"/>
          <w:color w:val="1A1A1A"/>
          <w:sz w:val="20"/>
          <w:szCs w:val="20"/>
        </w:rPr>
        <w:t xml:space="preserve">I, Julio Umanzor, declare under penalty of perjury under the laws of the State of California that the foregoing is true and correct to the best of my knowledge and belief.</w:t>
      </w:r>
    </w:p>
    <w:p>
      <w:pPr>
        <w:spacing w:after="0" w:before="240"/>
      </w:pPr>
      <w:r>
        <w:t xml:space="preserve"/>
      </w:r>
    </w:p>
    <w:p>
      <w:pPr>
        <w:spacing w:after="40" w:before="40"/>
      </w:pPr>
      <w:r>
        <w:rPr>
          <w:rFonts w:ascii="Arial" w:cs="Arial" w:eastAsia="Arial" w:hAnsi="Arial"/>
          <w:color w:val="1A1A1A"/>
          <w:sz w:val="20"/>
          <w:szCs w:val="20"/>
        </w:rPr>
        <w:t xml:space="preserve">____________________________________          ____________________</w:t>
      </w:r>
    </w:p>
    <w:p>
      <w:pPr>
        <w:spacing w:after="40" w:before="40"/>
      </w:pPr>
      <w:r>
        <w:rPr>
          <w:rFonts w:ascii="Arial" w:cs="Arial" w:eastAsia="Arial" w:hAnsi="Arial"/>
          <w:color w:val="1A1A1A"/>
          <w:sz w:val="20"/>
          <w:szCs w:val="20"/>
        </w:rPr>
        <w:t xml:space="preserve">Julio Umanzor, Complainant                                  Date</w:t>
      </w:r>
    </w:p>
    <w:p>
      <w:pPr>
        <w:spacing w:after="0" w:before="80"/>
      </w:pPr>
      <w:r>
        <w:t xml:space="preserve"/>
      </w:r>
    </w:p>
    <w:p>
      <w:pPr>
        <w:spacing w:after="40" w:before="40"/>
      </w:pPr>
      <w:r>
        <w:rPr>
          <w:rFonts w:ascii="Arial" w:cs="Arial" w:eastAsia="Arial" w:hAnsi="Arial"/>
          <w:color w:val="1A1A1A"/>
          <w:sz w:val="20"/>
          <w:szCs w:val="20"/>
        </w:rPr>
        <w:t xml:space="preserve">____________________________________          ____________________</w:t>
      </w:r>
    </w:p>
    <w:p>
      <w:pPr>
        <w:spacing w:after="40" w:before="40"/>
      </w:pPr>
      <w:r>
        <w:rPr>
          <w:rFonts w:ascii="Arial" w:cs="Arial" w:eastAsia="Arial" w:hAnsi="Arial"/>
          <w:color w:val="1A1A1A"/>
          <w:sz w:val="20"/>
          <w:szCs w:val="20"/>
        </w:rPr>
        <w:t xml:space="preserve">Attorney (if retained)                                              Date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20"/>
              <w:bottom w:val="single" w:color="1F4E79" w:sz="6"/>
              <w:right w:val="single" w:color="1F4E79" w:sz="2"/>
            </w:tcBorders>
            <w:shd w:fill="D6E4F0" w:val="clear"/>
            <w:tcMar>
              <w:top w:type="dxa" w:w="120"/>
              <w:left w:type="dxa" w:w="180"/>
              <w:bottom w:type="dxa" w:w="120"/>
              <w:right w:type="dxa" w:w="180"/>
            </w:tcMar>
          </w:tcPr>
          <w:p>
            <w:pPr>
              <w:jc w:val="both"/>
            </w:pPr>
            <w:r>
              <w:rPr>
                <w:rFonts w:ascii="Arial" w:cs="Arial" w:eastAsia="Arial" w:hAnsi="Arial"/>
                <w:i/>
                <w:iCs/>
                <w:color w:val="1A1A1A"/>
                <w:sz w:val="20"/>
                <w:szCs w:val="20"/>
              </w:rPr>
              <w:t xml:space="preserve">FILING INSTRUCTIONS: Submit this complaint online at calcivilrights.ca.gov or mail to California Civil Rights Department, 2218 Kausen Drive, Suite 100, Elk Grove, CA 95758. Request an immediate Right-to-Sue notice at the time of filing. This filing automatically cross-files with the EEOC, preserving all federal claims. The EEOC 300-day deadline from the September 25, 2025 termination falls on approximately July 21, 2026. File before that date.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2026-05-30T20:11:59.908Z</dcterms:created>
  <dcterms:modified xsi:type="dcterms:W3CDTF">2026-05-30T20:11:59.908Z</dcterms:modified>
</cp:coreProperties>
</file>

<file path=docProps/custom.xml><?xml version="1.0" encoding="utf-8"?>
<Properties xmlns="http://schemas.openxmlformats.org/officeDocument/2006/custom-properties" xmlns:vt="http://schemas.openxmlformats.org/officeDocument/2006/docPropsVTypes"/>
</file>