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Julio Umanzor </w:t>
      </w:r>
    </w:p>
    <w:p w:rsidR="00000000" w:rsidDel="00000000" w:rsidP="00000000" w:rsidRDefault="00000000" w:rsidRPr="00000000" w14:paraId="00000002">
      <w:pPr>
        <w:spacing w:after="240" w:before="240" w:lineRule="auto"/>
        <w:rPr/>
      </w:pPr>
      <w:r w:rsidDel="00000000" w:rsidR="00000000" w:rsidRPr="00000000">
        <w:rPr>
          <w:rtl w:val="0"/>
        </w:rPr>
        <w:t xml:space="preserve">JC-526438</w:t>
      </w:r>
    </w:p>
    <w:p w:rsidR="00000000" w:rsidDel="00000000" w:rsidP="00000000" w:rsidRDefault="00000000" w:rsidRPr="00000000" w14:paraId="00000003">
      <w:pPr>
        <w:numPr>
          <w:ilvl w:val="0"/>
          <w:numId w:val="1"/>
        </w:numPr>
        <w:spacing w:after="240" w:before="240" w:lineRule="auto"/>
        <w:ind w:left="720" w:hanging="360"/>
        <w:rPr>
          <w:color w:val="333333"/>
          <w:sz w:val="24"/>
          <w:szCs w:val="24"/>
          <w:u w:val="none"/>
        </w:rPr>
      </w:pPr>
      <w:r w:rsidDel="00000000" w:rsidR="00000000" w:rsidRPr="00000000">
        <w:rPr>
          <w:color w:val="333333"/>
          <w:sz w:val="24"/>
          <w:szCs w:val="24"/>
          <w:rtl w:val="0"/>
        </w:rPr>
        <w:t xml:space="preserve">Provide an example of a time when you were assigned a task with minimal direction. Describe how you clarified expectations, identified the core issue, and structured your work to ensure your final deliverable aligned with the underlying objective.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In a prior role at Cox Automotive, I was asked to evaluate accounts, mitigate risk, and improve portfolio utilization without any established criteria or standardized workflow. Managing a multimillion‑dollar portfolio—$20 million personally and another $30 million across three regions during coverage periods—required me to create clear, objective benchmarks to ensure consistency and accuracy. I began by defining measurable indicators of risk and validating them through Salesforce data overlays that compared accounts against portfolio trends and similarly sized peers. Once I established this baseline, I implemented a structured 90‑day review cycle and set regular check‑ins with regional leadership to maintain alignment. When exceptions arose, such as requests to adjust payment terms or interest rates, I sought approval to ensure compliance and maintain defensible decision‑making. This approach brought clarity and consistency to an otherwise undefined process—the same disciplined, evidence‑based evaluation this role requires when working through ambiguous intake information.</w:t>
      </w:r>
    </w:p>
    <w:p w:rsidR="00000000" w:rsidDel="00000000" w:rsidP="00000000" w:rsidRDefault="00000000" w:rsidRPr="00000000" w14:paraId="00000005">
      <w:pPr>
        <w:numPr>
          <w:ilvl w:val="0"/>
          <w:numId w:val="1"/>
        </w:numPr>
        <w:spacing w:after="240" w:before="240" w:lineRule="auto"/>
        <w:ind w:left="720" w:hanging="360"/>
        <w:rPr>
          <w:u w:val="none"/>
        </w:rPr>
      </w:pPr>
      <w:r w:rsidDel="00000000" w:rsidR="00000000" w:rsidRPr="00000000">
        <w:rPr>
          <w:color w:val="333333"/>
          <w:sz w:val="24"/>
          <w:szCs w:val="24"/>
          <w:shd w:fill="f5f5f5" w:val="clear"/>
          <w:rtl w:val="0"/>
        </w:rPr>
        <w:t xml:space="preserve">Describe the key strengths you possess that make you a strong candidate for this position. Include examples from your work experience, training, or education that illustrate how you have applied these strengths to achieve successful outcomes</w:t>
      </w:r>
      <w:r w:rsidDel="00000000" w:rsidR="00000000" w:rsidRPr="00000000">
        <w:rPr>
          <w:rtl w:val="0"/>
        </w:rPr>
        <w:t xml:space="preserve"> </w:t>
      </w:r>
    </w:p>
    <w:p w:rsidR="00000000" w:rsidDel="00000000" w:rsidP="00000000" w:rsidRDefault="00000000" w:rsidRPr="00000000" w14:paraId="00000006">
      <w:pPr>
        <w:spacing w:after="240" w:before="240" w:lineRule="auto"/>
        <w:rPr/>
      </w:pPr>
      <w:r w:rsidDel="00000000" w:rsidR="00000000" w:rsidRPr="00000000">
        <w:rPr>
          <w:rtl w:val="0"/>
        </w:rPr>
        <w:t xml:space="preserve">My key strengths include analytical rigor, structured problem‑solving, compliance awareness, and clear, objective communication. I developed these capabilities through my portfolio management experience at Westlake and applied and expanded them at Cox Automotive. At Westlake, I managed a $12 million flooring portfolio generating $150,000 in average monthly recurring revenue and exceeded annual targets by 20 percent. I built benchmarking workflows using Salesforce to compare dealer performance and payment behavior, which helped me identify anomalies early and understand root‑cause risk factors. One example was identifying a pattern of low‑frequency payments in a high‑exposure segment and adjusting follow‑up strategies, which reduced delinquency risk and strengthened account stability. At Cox Automotive, I applied and expanded these skills while managing a $20 million dealer portfolio and providing coverage for an additional $30 million across three regions. I built Tableau dashboards to monitor performance and market risk and partnered with compliance, audit, and operations teams to improve account‑monitoring workflows, reducing exposure by more than 15 percent. I also increased utilization from $9 million to $13 million by presenting concise, data‑driven assessments and recommending corrective actions. Across both organizations, my communication style remained direct, structured, and grounded in evidence, supporting clear decision‑making. Together, these strengths position me to provide precise, reliable, and timely analytical support in a role that requires careful evaluation, disciplined workflow management, and clear documentation.</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