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2000"/>
      </w:pPr>
    </w:p>
    <w:p xmlns:wp14="http://schemas.microsoft.com/office/word/2010/wordml" w14:paraId="017CE006" wp14:textId="77777777">
      <w:pPr>
        <w:spacing w:after="80"/>
        <w:jc w:val="center"/>
      </w:pPr>
      <w:r>
        <w:rPr>
          <w:rFonts w:ascii="Arial" w:hAnsi="Arial" w:eastAsia="Arial" w:cs="Arial"/>
          <w:b/>
          <w:bCs/>
          <w:color w:val="0F1B2D"/>
          <w:sz w:val="72"/>
          <w:szCs w:val="72"/>
        </w:rPr>
        <w:t xml:space="preserve">CASAER</w:t>
      </w:r>
    </w:p>
    <w:p xmlns:wp14="http://schemas.microsoft.com/office/word/2010/wordml" w14:paraId="34BDC859" wp14:textId="77777777">
      <w:pPr>
        <w:spacing w:after="200"/>
        <w:jc w:val="center"/>
      </w:pPr>
      <w:r>
        <w:rPr>
          <w:rFonts w:ascii="Arial" w:hAnsi="Arial" w:eastAsia="Arial" w:cs="Arial"/>
          <w:color w:val="0F766E"/>
          <w:sz w:val="28"/>
          <w:szCs w:val="28"/>
        </w:rPr>
        <w:t xml:space="preserve">CA State Auditing Enforcement Reports</w:t>
      </w:r>
    </w:p>
    <w:p xmlns:wp14="http://schemas.microsoft.com/office/word/2010/wordml" w14:paraId="0A37501D" wp14:textId="77777777">
      <w:pPr>
        <w:spacing w:after="200"/>
      </w:pPr>
    </w:p>
    <w:p xmlns:wp14="http://schemas.microsoft.com/office/word/2010/wordml" w14:paraId="64281597" wp14:textId="77777777">
      <w:pPr>
        <w:spacing w:after="80"/>
        <w:jc w:val="center"/>
      </w:pPr>
      <w:r>
        <w:rPr>
          <w:rFonts w:ascii="Arial" w:hAnsi="Arial" w:eastAsia="Arial" w:cs="Arial"/>
          <w:b/>
          <w:bCs/>
          <w:color w:val="0F1B2D"/>
          <w:sz w:val="36"/>
          <w:szCs w:val="36"/>
        </w:rPr>
        <w:t xml:space="preserve">Executive Office Brief</w:t>
      </w:r>
    </w:p>
    <w:p xmlns:wp14="http://schemas.microsoft.com/office/word/2010/wordml" w14:paraId="52222D46" wp14:textId="77777777">
      <w:pPr>
        <w:spacing w:after="120"/>
        <w:jc w:val="center"/>
      </w:pPr>
      <w:r w:rsidRPr="0F92492E" w:rsidR="0F92492E">
        <w:rPr>
          <w:rFonts w:ascii="Arial" w:hAnsi="Arial" w:eastAsia="Arial" w:cs="Arial"/>
          <w:color w:val="666666"/>
          <w:sz w:val="22"/>
          <w:szCs w:val="22"/>
          <w:lang w:val="en-US"/>
        </w:rPr>
        <w:t>v3.0  |  February 2026</w:t>
      </w:r>
    </w:p>
    <w:p xmlns:wp14="http://schemas.microsoft.com/office/word/2010/wordml" w14:paraId="5DAB6C7B" wp14:textId="77777777">
      <w:pPr>
        <w:spacing w:after="400"/>
      </w:pPr>
    </w:p>
    <w:p xmlns:wp14="http://schemas.microsoft.com/office/word/2010/wordml" w14:paraId="5CD32F09" wp14:textId="77777777">
      <w:pPr>
        <w:spacing w:after="80"/>
        <w:jc w:val="center"/>
      </w:pPr>
      <w:r>
        <w:rPr>
          <w:rFonts w:ascii="Arial" w:hAnsi="Arial" w:eastAsia="Arial" w:cs="Arial"/>
          <w:i/>
          <w:iCs/>
          <w:color w:val="0F766E"/>
          <w:sz w:val="26"/>
          <w:szCs w:val="26"/>
        </w:rPr>
        <w:t xml:space="preserve">How CASAER Extends Your Office’s Capabilities</w:t>
      </w:r>
    </w:p>
    <w:p xmlns:wp14="http://schemas.microsoft.com/office/word/2010/wordml" w14:paraId="0305204C" wp14:textId="77777777">
      <w:pPr>
        <w:jc w:val="center"/>
      </w:pPr>
      <w:r>
        <w:rPr>
          <w:rFonts w:ascii="Arial" w:hAnsi="Arial" w:eastAsia="Arial" w:cs="Arial"/>
          <w:color w:val="666666"/>
          <w:sz w:val="20"/>
          <w:szCs w:val="20"/>
        </w:rPr>
        <w:t xml:space="preserve">A practical overview for the State Auditor, Deputy Auditors, and Division Chiefs</w:t>
      </w:r>
    </w:p>
    <w:p xmlns:wp14="http://schemas.microsoft.com/office/word/2010/wordml" w14:paraId="02EB378F" wp14:textId="77777777">
      <w:pPr>
        <w:spacing w:after="1200"/>
      </w:pPr>
    </w:p>
    <w:p xmlns:wp14="http://schemas.microsoft.com/office/word/2010/wordml" w14:paraId="2C5F1B53" wp14:textId="77777777">
      <w:pPr>
        <w:spacing w:after="40"/>
        <w:jc w:val="center"/>
      </w:pPr>
      <w:r w:rsidRPr="0F92492E" w:rsidR="0F92492E">
        <w:rPr>
          <w:rFonts w:ascii="Arial" w:hAnsi="Arial" w:eastAsia="Arial" w:cs="Arial"/>
          <w:color w:val="999999"/>
          <w:sz w:val="20"/>
          <w:szCs w:val="20"/>
          <w:lang w:val="en-US"/>
        </w:rPr>
        <w:t>A Free Gift to the People of California from a Concerned Citizen</w:t>
      </w:r>
    </w:p>
    <w:p xmlns:wp14="http://schemas.microsoft.com/office/word/2010/wordml" w14:paraId="6A05A809" wp14:textId="77777777">
      <w:pPr>
        <w:sectPr>
          <w:pgSz w:w="12240" w:h="15840" w:orient="portrait"/>
          <w:pgMar w:top="1440" w:right="1440" w:bottom="1440" w:left="1440" w:header="708" w:footer="708" w:gutter="0"/>
          <w:pgNumType/>
          <w:docGrid w:linePitch="360"/>
          <w:cols w:num="1"/>
        </w:sectPr>
      </w:pPr>
    </w:p>
    <w:p xmlns:wp14="http://schemas.microsoft.com/office/word/2010/wordml" w14:paraId="05007FBF" wp14:textId="77777777">
      <w:pPr>
        <w:pStyle w:val="Heading1"/>
      </w:pPr>
      <w:r>
        <w:t xml:space="preserve">EXECUTIVE SUMMARY</w:t>
      </w:r>
    </w:p>
    <w:p xmlns:wp14="http://schemas.microsoft.com/office/word/2010/wordml" w14:paraId="2FBE2DFF" wp14:textId="77777777">
      <w:pPr>
        <w:pStyle w:val="Heading2"/>
      </w:pPr>
      <w:r>
        <w:t xml:space="preserve">The Bottom Line</w:t>
      </w:r>
    </w:p>
    <w:p xmlns:wp14="http://schemas.microsoft.com/office/word/2010/wordml" w14:paraId="7C31B958" wp14:textId="77777777">
      <w:pPr>
        <w:spacing w:after="120"/>
      </w:pPr>
      <w:r w:rsidRPr="0F92492E" w:rsidR="0F92492E">
        <w:rPr>
          <w:rFonts w:ascii="Arial" w:hAnsi="Arial" w:eastAsia="Arial" w:cs="Arial"/>
          <w:sz w:val="22"/>
          <w:szCs w:val="22"/>
          <w:lang w:val="en-US"/>
        </w:rPr>
        <w:t>California’s State Auditor’s Office is responsible for oversight of 132 state departments managing hundreds of billions in public funds — yet operates with approximately 110 audit staff on a $51.4M annual budget. In the past two years alone, EDD lost $513M to fraud, $1.5B in improper payments went unrecovered, and your office investigated 2,636 allegations of improper activity but could only fully investigate 72 of them — a 2.7% throughput rate. Meanwhile, the ACFE reports that the average government fraud case costs $200,000 and goes undetected for 12 months.</w:t>
      </w:r>
    </w:p>
    <w:p xmlns:wp14="http://schemas.microsoft.com/office/word/2010/wordml" w14:paraId="2E90F258" wp14:textId="77777777">
      <w:pPr>
        <w:spacing w:after="120"/>
      </w:pPr>
      <w:r>
        <w:rPr>
          <w:rFonts w:ascii="Arial" w:hAnsi="Arial" w:eastAsia="Arial" w:cs="Arial"/>
          <w:sz w:val="22"/>
          <w:szCs w:val="22"/>
          <w:b/>
        </w:rPr>
        <w:t xml:space="preserve">CASAER changes this equation.</w:t>
      </w:r>
    </w:p>
    <w:p xmlns:wp14="http://schemas.microsoft.com/office/word/2010/wordml" w14:paraId="6C019B43" wp14:textId="77777777">
      <w:pPr>
        <w:spacing w:after="120"/>
      </w:pPr>
      <w:r w:rsidRPr="0F92492E" w:rsidR="0F92492E">
        <w:rPr>
          <w:rFonts w:ascii="Arial" w:hAnsi="Arial" w:eastAsia="Arial" w:cs="Arial"/>
          <w:sz w:val="22"/>
          <w:szCs w:val="22"/>
          <w:lang w:val="en-US"/>
        </w:rPr>
        <w:t>CASAER (CA State Auditing Enforcement Reports) gives every auditor the equivalent of a senior research analyst — one that knows every California statute, never forgets a document request, and runs statistical tests in seconds instead of hours. It deploys a locally-hosted AI engine (Ollama llama3.2:3b) and an embedded R statistical engine to provide instant enforcement pathway guidance, automated Benford’s Law analysis, anomaly detection, and variance testing on uploaded financial data.</w:t>
      </w:r>
    </w:p>
    <w:p xmlns:wp14="http://schemas.microsoft.com/office/word/2010/wordml" w14:paraId="46FD4EEC" wp14:textId="77777777">
      <w:pPr>
        <w:pStyle w:val="Heading2"/>
      </w:pPr>
      <w:r>
        <w:t xml:space="preserve">What This Means for Your Office</w:t>
      </w:r>
    </w:p>
    <w:p xmlns:wp14="http://schemas.microsoft.com/office/word/2010/wordml" w14:paraId="0257186C" wp14:textId="77777777">
      <w:pPr>
        <w:spacing w:after="80"/>
      </w:pPr>
      <w:r w:rsidRPr="0F92492E" w:rsidR="0F92492E">
        <w:rPr>
          <w:rFonts w:ascii="Arial" w:hAnsi="Arial" w:eastAsia="Arial" w:cs="Arial"/>
          <w:sz w:val="22"/>
          <w:szCs w:val="22"/>
          <w:lang w:val="en-US"/>
        </w:rPr>
        <w:t>Investigation scoping compressed from weeks to days.</w:t>
      </w:r>
      <w:r w:rsidRPr="0F92492E" w:rsidR="0F92492E">
        <w:rPr>
          <w:rFonts w:ascii="Arial" w:hAnsi="Arial" w:eastAsia="Arial" w:cs="Arial"/>
          <w:sz w:val="22"/>
          <w:szCs w:val="22"/>
          <w:lang w:val="en-US"/>
        </w:rPr>
        <w:t xml:space="preserve"> When a hearing request arrives, CASAER immediately identifies which statutes apply, what documents to request from the department, and how to structure the investigation. Eight pre-built enforcement pathways cover the most common hearing request categories, each with statute citations, document request checklists, and step-by-step investigation frameworks.</w:t>
      </w:r>
    </w:p>
    <w:p xmlns:wp14="http://schemas.microsoft.com/office/word/2010/wordml" w14:paraId="4801C7DA" wp14:textId="77777777">
      <w:pPr>
        <w:spacing w:after="80"/>
      </w:pPr>
      <w:r w:rsidRPr="0F92492E" w:rsidR="0F92492E">
        <w:rPr>
          <w:rFonts w:ascii="Arial" w:hAnsi="Arial" w:eastAsia="Arial" w:cs="Arial"/>
          <w:sz w:val="22"/>
          <w:szCs w:val="22"/>
          <w:lang w:val="en-US"/>
        </w:rPr>
        <w:t>Statistical detection that wasn’t practical before.</w:t>
      </w:r>
      <w:r w:rsidRPr="0F92492E" w:rsidR="0F92492E">
        <w:rPr>
          <w:rFonts w:ascii="Arial" w:hAnsi="Arial" w:eastAsia="Arial" w:cs="Arial"/>
          <w:sz w:val="22"/>
          <w:szCs w:val="22"/>
          <w:lang w:val="en-US"/>
        </w:rPr>
        <w:t xml:space="preserve"> Auditors upload transaction data and get instant Benford’s Law analysis, anomaly scoring, and variance reports. The R statistical engine processes 100,000 transactions in under 3 seconds. This shortens the 12-month average detection time the ACFE documents, where every month of delay costs an average of $9,900 per case.</w:t>
      </w:r>
    </w:p>
    <w:p xmlns:wp14="http://schemas.microsoft.com/office/word/2010/wordml" w14:paraId="3E153791" wp14:textId="77777777">
      <w:pPr>
        <w:spacing w:after="80"/>
      </w:pPr>
      <w:r w:rsidRPr="0F92492E" w:rsidR="0F92492E">
        <w:rPr>
          <w:rFonts w:ascii="Arial" w:hAnsi="Arial" w:eastAsia="Arial" w:cs="Arial"/>
          <w:sz w:val="22"/>
          <w:szCs w:val="22"/>
          <w:lang w:val="en-US"/>
        </w:rPr>
        <w:t>Institutional knowledge that doesn’t walk out the door.</w:t>
      </w:r>
      <w:r w:rsidRPr="0F92492E" w:rsidR="0F92492E">
        <w:rPr>
          <w:rFonts w:ascii="Arial" w:hAnsi="Arial" w:eastAsia="Arial" w:cs="Arial"/>
          <w:sz w:val="22"/>
          <w:szCs w:val="22"/>
          <w:lang w:val="en-US"/>
        </w:rPr>
        <w:t xml:space="preserve"> California state government carries a 20% vacancy rate across 243,829 positions. When experienced auditors retire or transfer, their investigative expertise leaves with them. CASAER captures that logic in reusable enforcement pathways, reducing new auditor ramp-up from approximately 6 months to 6 weeks.</w:t>
      </w:r>
    </w:p>
    <w:p xmlns:wp14="http://schemas.microsoft.com/office/word/2010/wordml" w14:paraId="3D825BBE" wp14:textId="77777777">
      <w:pPr>
        <w:spacing w:after="80"/>
      </w:pPr>
      <w:r>
        <w:rPr>
          <w:rFonts w:ascii="Arial" w:hAnsi="Arial" w:eastAsia="Arial" w:cs="Arial"/>
          <w:sz w:val="22"/>
          <w:szCs w:val="22"/>
          <w:b/>
          <w:color w:val="0F766E"/>
        </w:rPr>
        <w:t xml:space="preserve">Legislative-ready deliverables on demand.</w:t>
      </w:r>
      <w:r>
        <w:rPr>
          <w:rFonts w:ascii="Arial" w:hAnsi="Arial" w:eastAsia="Arial" w:cs="Arial"/>
          <w:sz w:val="22"/>
          <w:szCs w:val="22"/>
        </w:rPr>
        <w:t xml:space="preserve"> One-click generation of enforcement reports, department scorecards, and legislative briefs — all with proper citations and evidence chains. California’s financial statements have been issued late every year since FY 2017–18. CASAER directly addresses the formatting and citation bottleneck that contributes to these delays.</w:t>
      </w:r>
    </w:p>
    <w:p xmlns:wp14="http://schemas.microsoft.com/office/word/2010/wordml" w14:paraId="0AFC9F96" wp14:textId="77777777">
      <w:pPr>
        <w:pStyle w:val="Heading2"/>
      </w:pPr>
      <w:r>
        <w:t xml:space="preserve">Estimated Annual Value</w:t>
      </w:r>
    </w:p>
    <w:p xmlns:wp14="http://schemas.microsoft.com/office/word/2010/wordml" w14:paraId="17046B80" wp14:textId="77777777">
      <w:pPr>
        <w:spacing w:after="120"/>
      </w:pPr>
      <w:r w:rsidRPr="0F92492E" w:rsidR="0F92492E">
        <w:rPr>
          <w:rFonts w:ascii="Arial" w:hAnsi="Arial" w:eastAsia="Arial" w:cs="Arial"/>
          <w:sz w:val="22"/>
          <w:szCs w:val="22"/>
          <w:lang w:val="en-US"/>
        </w:rPr>
        <w:t xml:space="preserve">Conservative estimates grounded in published ACFE and State Auditor data project </w:t>
      </w:r>
      <w:r w:rsidRPr="0F92492E" w:rsidR="0F92492E">
        <w:rPr>
          <w:rFonts w:ascii="Arial" w:hAnsi="Arial" w:eastAsia="Arial" w:cs="Arial"/>
          <w:sz w:val="22"/>
          <w:szCs w:val="22"/>
          <w:lang w:val="en-US"/>
        </w:rPr>
        <w:t>$2.2M–$3.7M+ annually</w:t>
      </w:r>
      <w:r w:rsidRPr="0F92492E" w:rsidR="0F92492E">
        <w:rPr>
          <w:rFonts w:ascii="Arial" w:hAnsi="Arial" w:eastAsia="Arial" w:cs="Arial"/>
          <w:sz w:val="22"/>
          <w:szCs w:val="22"/>
          <w:lang w:val="en-US"/>
        </w:rPr>
        <w:t xml:space="preserve"> in quantifiable staff-hour reallocation and accelerated productivity — before accounting for additional fraud and waste detection. These are assumptions to be validated during the pilot phase, not guaranteed outcomes. Detailed methodology and validation framework are provided in the Value Analysis section of this brief.</w:t>
      </w:r>
    </w:p>
    <w:p xmlns:wp14="http://schemas.microsoft.com/office/word/2010/wordml" w14:paraId="7AEC080D" wp14:textId="77777777">
      <w:pPr>
        <w:pStyle w:val="Heading2"/>
      </w:pPr>
      <w:r>
        <w:t xml:space="preserve">Zero Risk to Your Operations</w:t>
      </w:r>
    </w:p>
    <w:p xmlns:wp14="http://schemas.microsoft.com/office/word/2010/wordml" w14:paraId="67F5D796" wp14:textId="77777777">
      <w:pPr>
        <w:spacing w:after="80"/>
      </w:pPr>
      <w:r w:rsidRPr="0F92492E" w:rsidR="0F92492E">
        <w:rPr>
          <w:rFonts w:ascii="Arial" w:hAnsi="Arial" w:eastAsia="Arial" w:cs="Arial"/>
          <w:sz w:val="22"/>
          <w:szCs w:val="22"/>
          <w:lang w:val="en-US"/>
        </w:rPr>
        <w:t xml:space="preserve">CASAER requires </w:t>
      </w:r>
      <w:r w:rsidRPr="0F92492E" w:rsidR="0F92492E">
        <w:rPr>
          <w:rFonts w:ascii="Arial" w:hAnsi="Arial" w:eastAsia="Arial" w:cs="Arial"/>
          <w:sz w:val="22"/>
          <w:szCs w:val="22"/>
          <w:lang w:val="en-US"/>
        </w:rPr>
        <w:t>zero new staff, zero recurring costs, and zero changes to your existing audit methodology.</w:t>
      </w:r>
      <w:r w:rsidRPr="0F92492E" w:rsidR="0F92492E">
        <w:rPr>
          <w:rFonts w:ascii="Arial" w:hAnsi="Arial" w:eastAsia="Arial" w:cs="Arial"/>
          <w:sz w:val="22"/>
          <w:szCs w:val="22"/>
          <w:lang w:val="en-US"/>
        </w:rPr>
        <w:t xml:space="preserve"> Your auditors retain full authority over every finding and every report. The system runs 100% air-gapped on your network — no data leaves your infrastructure. The AI engine and statistical tools are pre-loaded in Docker containers, meaning your IT team does not need to download, configure, or maintain external software. The offline HTML portal can be distributed to any auditor today with no IT approval required.</w:t>
      </w:r>
    </w:p>
    <w:p xmlns:wp14="http://schemas.microsoft.com/office/word/2010/wordml" w14:paraId="3671474D" wp14:textId="77777777">
      <w:pPr>
        <w:spacing w:after="80"/>
      </w:pPr>
      <w:r w:rsidRPr="0F92492E" w:rsidR="0F92492E">
        <w:rPr>
          <w:rFonts w:ascii="Arial" w:hAnsi="Arial" w:eastAsia="Arial" w:cs="Arial"/>
          <w:sz w:val="22"/>
          <w:szCs w:val="22"/>
          <w:lang w:val="en-US"/>
        </w:rPr>
        <w:t>The deployment is phased: auditors can start using the offline portal immediately while IT reviews the 67-page documentation package and pilots the full server deployment with 10–15 staff. There is no big-bang rollout and no operational disruption at any stage.</w:t>
      </w:r>
    </w:p>
    <w:p xmlns:wp14="http://schemas.microsoft.com/office/word/2010/wordml" w14:paraId="59261E9D" wp14:textId="77777777">
      <w:pPr>
        <w:pStyle w:val="Heading2"/>
      </w:pPr>
      <w:r>
        <w:t xml:space="preserve">Technology Foundation</w:t>
      </w:r>
    </w:p>
    <w:p xmlns:wp14="http://schemas.microsoft.com/office/word/2010/wordml" w14:paraId="409B43B7" wp14:textId="77777777">
      <w:pPr>
        <w:spacing w:after="120"/>
      </w:pPr>
      <w:r w:rsidRPr="0F92492E" w:rsidR="0F92492E">
        <w:rPr>
          <w:rFonts w:ascii="Arial" w:hAnsi="Arial" w:eastAsia="Arial" w:cs="Arial"/>
          <w:sz w:val="22"/>
          <w:szCs w:val="22"/>
          <w:lang w:val="en-US"/>
        </w:rPr>
        <w:t>CASAER is built on proven, open-source AI infrastructure designed specifically for government use. The technology stack includes a locally-hosted large language model (Ollama llama3.2:3b) that runs entirely on your network with zero cloud dependency, an embedded R statistical engine with pre-installed packages for Benford’s Law analysis and anomaly detection, and a PostgreSQL database with SHA-256 hash-chained audit trails ensuring tamper-evident record keeping. This architecture eliminates recurring software licensing costs entirely — there are no subscriptions, no per-query fees, and no vendor lock-in. Security architecture is NIST 800-53 aligned with role-based access control, encrypted data at rest (AES-256), and full compliance with California SAM 5300-5399 state information security policy. Every component is pre-loaded and ready to deploy from a single Docker package.</w:t>
      </w:r>
    </w:p>
    <w:p xmlns:wp14="http://schemas.microsoft.com/office/word/2010/wordml" w14:paraId="5A39BBE3" wp14:textId="77777777">
      <w:pPr>
        <w:spacing w:after="200"/>
      </w:pPr>
    </w:p>
    <w:p xmlns:wp14="http://schemas.microsoft.com/office/word/2010/wordml" w14:paraId="6FF5675F" wp14:textId="77777777">
      <w:pPr>
        <w:pStyle w:val="Heading1"/>
      </w:pPr>
      <w:r>
        <w:t xml:space="preserve">THE SCALE OF THE PROBLEM YOUR OFFICE FACES</w:t>
      </w:r>
    </w:p>
    <w:p xmlns:wp14="http://schemas.microsoft.com/office/word/2010/wordml" w14:paraId="403653E0" wp14:textId="77777777">
      <w:pPr>
        <w:spacing w:after="120"/>
      </w:pPr>
      <w:r w:rsidRPr="0F92492E" w:rsidR="0F92492E">
        <w:rPr>
          <w:rFonts w:ascii="Arial" w:hAnsi="Arial" w:eastAsia="Arial" w:cs="Arial"/>
          <w:sz w:val="22"/>
          <w:szCs w:val="22"/>
          <w:lang w:val="en-US"/>
        </w:rPr>
        <w:t>California’s State Auditor’s Office operates on a $51.4M annual budget with approximately 110 audit staff responsible for oversight of 132 state departments. The scale of fraud, waste, and mismanagement these auditors must detect is enormous:</w:t>
      </w:r>
    </w:p>
    <w:p xmlns:wp14="http://schemas.microsoft.com/office/word/2010/wordml" w14:paraId="41C8F396" wp14:textId="77777777">
      <w:pPr>
        <w:spacing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14:paraId="1E3F301E" wp14:textId="77777777">
        <w:tc>
          <w:tcPr>
            <w:tcW w:w="2340" w:type="dxa"/>
            <w:tcBorders>
              <w:top w:val="single" w:color="CCCCCC" w:sz="1"/>
              <w:left w:val="single" w:color="CCCCCC" w:sz="1"/>
              <w:bottom w:val="single" w:color="CCCCCC" w:sz="1"/>
              <w:right w:val="single" w:color="CCCCCC" w:sz="1"/>
            </w:tcBorders>
            <w:shd w:val="clear" w:fill="0F1B2D"/>
            <w:tcMar>
              <w:top w:w="120" w:type="dxa"/>
              <w:left w:w="100" w:type="dxa"/>
              <w:bottom w:w="120" w:type="dxa"/>
              <w:right w:w="100" w:type="dxa"/>
            </w:tcMar>
          </w:tcPr>
          <w:p w14:paraId="6CC61AE2" wp14:textId="77777777">
            <w:pPr>
              <w:spacing w:after="40"/>
              <w:jc w:val="center"/>
            </w:pPr>
            <w:r>
              <w:rPr>
                <w:rFonts w:ascii="Arial" w:hAnsi="Arial" w:eastAsia="Arial" w:cs="Arial"/>
                <w:b/>
                <w:bCs/>
                <w:color w:val="B8860B"/>
                <w:sz w:val="32"/>
                <w:szCs w:val="32"/>
              </w:rPr>
              <w:t xml:space="preserve">$513M</w:t>
            </w:r>
          </w:p>
          <w:p w14:paraId="1EBE2376" wp14:textId="77777777">
            <w:pPr>
              <w:jc w:val="center"/>
            </w:pPr>
            <w:r>
              <w:rPr>
                <w:rFonts w:ascii="Arial" w:hAnsi="Arial" w:eastAsia="Arial" w:cs="Arial"/>
                <w:color w:val="FFFFFF"/>
                <w:sz w:val="16"/>
                <w:szCs w:val="16"/>
              </w:rPr>
              <w:t xml:space="preserve">EDD fraud in 2024 alone</w:t>
            </w:r>
          </w:p>
        </w:tc>
        <w:tc>
          <w:tcPr>
            <w:tcW w:w="2340" w:type="dxa"/>
            <w:tcBorders>
              <w:top w:val="single" w:color="CCCCCC" w:sz="1"/>
              <w:left w:val="single" w:color="CCCCCC" w:sz="1"/>
              <w:bottom w:val="single" w:color="CCCCCC" w:sz="1"/>
              <w:right w:val="single" w:color="CCCCCC" w:sz="1"/>
            </w:tcBorders>
            <w:shd w:val="clear" w:fill="0F1B2D"/>
            <w:tcMar>
              <w:top w:w="120" w:type="dxa"/>
              <w:left w:w="100" w:type="dxa"/>
              <w:bottom w:w="120" w:type="dxa"/>
              <w:right w:w="100" w:type="dxa"/>
            </w:tcMar>
          </w:tcPr>
          <w:p w14:paraId="5F24504C" wp14:textId="77777777">
            <w:pPr>
              <w:spacing w:after="40"/>
              <w:jc w:val="center"/>
            </w:pPr>
            <w:r>
              <w:rPr>
                <w:rFonts w:ascii="Arial" w:hAnsi="Arial" w:eastAsia="Arial" w:cs="Arial"/>
                <w:b/>
                <w:bCs/>
                <w:color w:val="B8860B"/>
                <w:sz w:val="32"/>
                <w:szCs w:val="32"/>
              </w:rPr>
              <w:t xml:space="preserve">$1.5B</w:t>
            </w:r>
          </w:p>
          <w:p w14:paraId="7039F2AC" wp14:textId="77777777">
            <w:pPr>
              <w:jc w:val="center"/>
            </w:pPr>
            <w:r>
              <w:rPr>
                <w:rFonts w:ascii="Arial" w:hAnsi="Arial" w:eastAsia="Arial" w:cs="Arial"/>
                <w:color w:val="FFFFFF"/>
                <w:sz w:val="16"/>
                <w:szCs w:val="16"/>
              </w:rPr>
              <w:t xml:space="preserve">EDD improper payments 2023–2024</w:t>
            </w:r>
          </w:p>
        </w:tc>
        <w:tc>
          <w:tcPr>
            <w:tcW w:w="2340" w:type="dxa"/>
            <w:tcBorders>
              <w:top w:val="single" w:color="CCCCCC" w:sz="1"/>
              <w:left w:val="single" w:color="CCCCCC" w:sz="1"/>
              <w:bottom w:val="single" w:color="CCCCCC" w:sz="1"/>
              <w:right w:val="single" w:color="CCCCCC" w:sz="1"/>
            </w:tcBorders>
            <w:shd w:val="clear" w:fill="0F1B2D"/>
            <w:tcMar>
              <w:top w:w="120" w:type="dxa"/>
              <w:left w:w="100" w:type="dxa"/>
              <w:bottom w:w="120" w:type="dxa"/>
              <w:right w:w="100" w:type="dxa"/>
            </w:tcMar>
          </w:tcPr>
          <w:p w14:paraId="72C0B867" wp14:textId="77777777">
            <w:pPr>
              <w:spacing w:after="40"/>
              <w:jc w:val="center"/>
            </w:pPr>
            <w:r>
              <w:rPr>
                <w:rFonts w:ascii="Arial" w:hAnsi="Arial" w:eastAsia="Arial" w:cs="Arial"/>
                <w:b/>
                <w:bCs/>
                <w:color w:val="B8860B"/>
                <w:sz w:val="32"/>
                <w:szCs w:val="32"/>
              </w:rPr>
              <w:t xml:space="preserve">$2.5B</w:t>
            </w:r>
          </w:p>
          <w:p w14:paraId="5A6E6F90" wp14:textId="77777777">
            <w:pPr>
              <w:jc w:val="center"/>
            </w:pPr>
            <w:r>
              <w:rPr>
                <w:rFonts w:ascii="Arial" w:hAnsi="Arial" w:eastAsia="Arial" w:cs="Arial"/>
                <w:color w:val="FFFFFF"/>
                <w:sz w:val="16"/>
                <w:szCs w:val="16"/>
              </w:rPr>
              <w:t xml:space="preserve">Potential annual cost if CalFresh PER persists</w:t>
            </w:r>
          </w:p>
        </w:tc>
        <w:tc>
          <w:tcPr>
            <w:tcW w:w="2340" w:type="dxa"/>
            <w:tcBorders>
              <w:top w:val="single" w:color="CCCCCC" w:sz="1"/>
              <w:left w:val="single" w:color="CCCCCC" w:sz="1"/>
              <w:bottom w:val="single" w:color="CCCCCC" w:sz="1"/>
              <w:right w:val="single" w:color="CCCCCC" w:sz="1"/>
            </w:tcBorders>
            <w:shd w:val="clear" w:fill="0F1B2D"/>
            <w:tcMar>
              <w:top w:w="120" w:type="dxa"/>
              <w:left w:w="100" w:type="dxa"/>
              <w:bottom w:w="120" w:type="dxa"/>
              <w:right w:w="100" w:type="dxa"/>
            </w:tcMar>
          </w:tcPr>
          <w:p w14:paraId="3BECF83A" wp14:textId="77777777">
            <w:pPr>
              <w:spacing w:after="40"/>
              <w:jc w:val="center"/>
            </w:pPr>
            <w:r>
              <w:rPr>
                <w:rFonts w:ascii="Arial" w:hAnsi="Arial" w:eastAsia="Arial" w:cs="Arial"/>
                <w:b/>
                <w:bCs/>
                <w:color w:val="B8860B"/>
                <w:sz w:val="32"/>
                <w:szCs w:val="32"/>
              </w:rPr>
              <w:t xml:space="preserve">2,636</w:t>
            </w:r>
          </w:p>
          <w:p w14:paraId="36726390" wp14:textId="77777777">
            <w:pPr>
              <w:jc w:val="center"/>
            </w:pPr>
            <w:r>
              <w:rPr>
                <w:rFonts w:ascii="Arial" w:hAnsi="Arial" w:eastAsia="Arial" w:cs="Arial"/>
                <w:color w:val="FFFFFF"/>
                <w:sz w:val="16"/>
                <w:szCs w:val="16"/>
              </w:rPr>
              <w:t xml:space="preserve">Whistleblower cases worked (2024–25)</w:t>
            </w:r>
          </w:p>
        </w:tc>
      </w:tr>
    </w:tbl>
    <w:p xmlns:wp14="http://schemas.microsoft.com/office/word/2010/wordml" w14:paraId="5E31D90D" wp14:textId="77777777">
      <w:pPr>
        <w:spacing w:before="80" w:after="200"/>
      </w:pPr>
      <w:r>
        <w:rPr>
          <w:rFonts w:ascii="Arial" w:hAnsi="Arial" w:eastAsia="Arial" w:cs="Arial"/>
          <w:i/>
          <w:iCs/>
          <w:color w:val="666666"/>
          <w:sz w:val="16"/>
          <w:szCs w:val="16"/>
        </w:rPr>
        <w:t xml:space="preserve">Sources: CA State Auditor Report 2025-601; Report I2025-1; Ballotpedia FY 2024-25 Budget (Dept. 8855)</w:t>
      </w:r>
    </w:p>
    <w:p xmlns:wp14="http://schemas.microsoft.com/office/word/2010/wordml" w14:paraId="17BD072F" wp14:textId="77777777">
      <w:pPr>
        <w:pStyle w:val="Heading1"/>
      </w:pPr>
      <w:r>
        <w:t xml:space="preserve">FIVE WAYS CASAER EXTENDS YOUR OFFICE</w:t>
      </w:r>
    </w:p>
    <w:p xmlns:wp14="http://schemas.microsoft.com/office/word/2010/wordml" w14:paraId="5DE725E8" wp14:textId="77777777">
      <w:pPr>
        <w:spacing w:after="80"/>
      </w:pPr>
      <w:r>
        <w:rPr>
          <w:rFonts w:ascii="Arial" w:hAnsi="Arial" w:eastAsia="Arial" w:cs="Arial"/>
          <w:b/>
          <w:bCs/>
          <w:color w:val="B8860B"/>
          <w:sz w:val="26"/>
          <w:szCs w:val="26"/>
        </w:rPr>
        <w:t xml:space="preserve">1. </w:t>
      </w:r>
      <w:r>
        <w:rPr>
          <w:rFonts w:ascii="Arial" w:hAnsi="Arial" w:eastAsia="Arial" w:cs="Arial"/>
          <w:b/>
          <w:bCs/>
          <w:color w:val="0F1B2D"/>
          <w:sz w:val="26"/>
          <w:szCs w:val="26"/>
        </w:rPr>
        <w:t xml:space="preserve">Faster Response to Hearing Requests</w:t>
      </w:r>
    </w:p>
    <w:p xmlns:wp14="http://schemas.microsoft.com/office/word/2010/wordml" w14:paraId="110DABE3" wp14:textId="77777777">
      <w:pPr>
        <w:spacing w:after="120"/>
      </w:pPr>
      <w:r w:rsidRPr="0F92492E" w:rsidR="0F92492E">
        <w:rPr>
          <w:rFonts w:ascii="Arial" w:hAnsi="Arial" w:eastAsia="Arial" w:cs="Arial"/>
          <w:sz w:val="22"/>
          <w:szCs w:val="22"/>
          <w:lang w:val="en-US"/>
        </w:rPr>
        <w:t>When a hearing request arrives, CASAER immediately generates the enforcement pathway — which statutes apply, what documents to request, and how to structure the investigation. Auditors spend their time analyzing, not searching.</w:t>
      </w:r>
    </w:p>
    <w:p xmlns:wp14="http://schemas.microsoft.com/office/word/2010/wordml" w14:paraId="58EB021C" wp14:textId="77777777">
      <w:pPr>
        <w:spacing w:after="120"/>
        <w:rPr>
          <w:i/>
          <w:iCs/>
          <w:color w:val="0F766E"/>
        </w:rPr>
      </w:pPr>
      <w:r>
        <w:rPr>
          <w:rFonts w:ascii="Arial" w:hAnsi="Arial" w:eastAsia="Arial" w:cs="Arial"/>
          <w:i/>
          <w:iCs/>
          <w:color w:val="0F766E"/>
          <w:sz w:val="22"/>
          <w:szCs w:val="22"/>
        </w:rPr>
        <w:t xml:space="preserve">Scoping from weeks to days — critical when your office handles 2,636 cases per cycle.</w:t>
      </w:r>
    </w:p>
    <w:p xmlns:wp14="http://schemas.microsoft.com/office/word/2010/wordml" w14:paraId="0060E04E" wp14:textId="77777777">
      <w:pPr>
        <w:spacing w:after="120"/>
        <w:rPr>
          <w:color w:val="888888"/>
          <w:sz w:val="18"/>
          <w:szCs w:val="18"/>
        </w:rPr>
      </w:pPr>
      <w:r>
        <w:rPr>
          <w:rFonts w:ascii="Arial" w:hAnsi="Arial" w:eastAsia="Arial" w:cs="Arial"/>
          <w:color w:val="888888"/>
          <w:sz w:val="18"/>
          <w:szCs w:val="18"/>
        </w:rPr>
        <w:t xml:space="preserve">Benchmark: CA State Auditor I2025-1 (2,636 allegations, Jan 2024–Oct 2025)</w:t>
      </w:r>
    </w:p>
    <w:p xmlns:wp14="http://schemas.microsoft.com/office/word/2010/wordml" w14:paraId="72A3D3EC" wp14:textId="77777777">
      <w:pPr>
        <w:spacing w:after="100"/>
      </w:pPr>
    </w:p>
    <w:p xmlns:wp14="http://schemas.microsoft.com/office/word/2010/wordml" w14:paraId="128527D2" wp14:textId="77777777">
      <w:pPr>
        <w:spacing w:after="80"/>
      </w:pPr>
      <w:r>
        <w:rPr>
          <w:rFonts w:ascii="Arial" w:hAnsi="Arial" w:eastAsia="Arial" w:cs="Arial"/>
          <w:b/>
          <w:bCs/>
          <w:color w:val="B8860B"/>
          <w:sz w:val="26"/>
          <w:szCs w:val="26"/>
        </w:rPr>
        <w:t xml:space="preserve">2. </w:t>
      </w:r>
      <w:r>
        <w:rPr>
          <w:rFonts w:ascii="Arial" w:hAnsi="Arial" w:eastAsia="Arial" w:cs="Arial"/>
          <w:b/>
          <w:bCs/>
          <w:color w:val="0F1B2D"/>
          <w:sz w:val="26"/>
          <w:szCs w:val="26"/>
        </w:rPr>
        <w:t xml:space="preserve">Consistent Quality Across All 132 Departments</w:t>
      </w:r>
    </w:p>
    <w:p xmlns:wp14="http://schemas.microsoft.com/office/word/2010/wordml" w14:paraId="301C0641" wp14:textId="77777777">
      <w:pPr>
        <w:spacing w:after="120"/>
      </w:pPr>
      <w:r>
        <w:rPr>
          <w:rFonts w:ascii="Arial" w:hAnsi="Arial" w:eastAsia="Arial" w:cs="Arial"/>
          <w:sz w:val="22"/>
          <w:szCs w:val="22"/>
        </w:rPr>
        <w:t xml:space="preserve">Every audit follows the same rigorous framework regardless of which auditor runs it. Pre-built checklists, standardized report templates, and statute-linked enforcement paths ensure uniform quality whether auditing a $502B pension fund or a small commission.</w:t>
      </w:r>
    </w:p>
    <w:p xmlns:wp14="http://schemas.microsoft.com/office/word/2010/wordml" w14:paraId="252027A5" wp14:textId="77777777">
      <w:pPr>
        <w:spacing w:after="120"/>
        <w:rPr>
          <w:i/>
          <w:iCs/>
          <w:color w:val="0F766E"/>
        </w:rPr>
      </w:pPr>
      <w:r>
        <w:rPr>
          <w:rFonts w:ascii="Arial" w:hAnsi="Arial" w:eastAsia="Arial" w:cs="Arial"/>
          <w:i/>
          <w:iCs/>
          <w:color w:val="0F766E"/>
          <w:sz w:val="22"/>
          <w:szCs w:val="22"/>
        </w:rPr>
        <w:t xml:space="preserve">8 enforcement pathways covering the most common hearing request categories.</w:t>
      </w:r>
    </w:p>
    <w:p xmlns:wp14="http://schemas.microsoft.com/office/word/2010/wordml" w14:paraId="07548ADD" wp14:textId="77777777">
      <w:pPr>
        <w:spacing w:after="120"/>
        <w:rPr>
          <w:color w:val="888888"/>
          <w:sz w:val="18"/>
          <w:szCs w:val="18"/>
        </w:rPr>
      </w:pPr>
      <w:r>
        <w:rPr>
          <w:rFonts w:ascii="Arial" w:hAnsi="Arial" w:eastAsia="Arial" w:cs="Arial"/>
          <w:color w:val="888888"/>
          <w:sz w:val="18"/>
          <w:szCs w:val="18"/>
        </w:rPr>
        <w:t xml:space="preserve">Context: ACFE 2024 reports 50%+ of fraud enabled by weak or inconsistent internal controls</w:t>
      </w:r>
    </w:p>
    <w:p xmlns:wp14="http://schemas.microsoft.com/office/word/2010/wordml" w14:paraId="0D0B940D" wp14:textId="77777777">
      <w:pPr>
        <w:spacing w:after="100"/>
      </w:pPr>
    </w:p>
    <w:p xmlns:wp14="http://schemas.microsoft.com/office/word/2010/wordml" w14:paraId="42C37651" wp14:textId="77777777">
      <w:pPr>
        <w:spacing w:after="80"/>
      </w:pPr>
      <w:r w:rsidRPr="0F92492E" w:rsidR="0F92492E">
        <w:rPr>
          <w:rFonts w:ascii="Arial" w:hAnsi="Arial" w:eastAsia="Arial" w:cs="Arial"/>
          <w:b w:val="1"/>
          <w:bCs w:val="1"/>
          <w:color w:val="B8860B"/>
          <w:sz w:val="26"/>
          <w:szCs w:val="26"/>
          <w:lang w:val="en-US"/>
        </w:rPr>
        <w:t xml:space="preserve">3. </w:t>
      </w:r>
      <w:r w:rsidRPr="0F92492E" w:rsidR="0F92492E">
        <w:rPr>
          <w:rFonts w:ascii="Arial" w:hAnsi="Arial" w:eastAsia="Arial" w:cs="Arial"/>
          <w:b w:val="1"/>
          <w:bCs w:val="1"/>
          <w:color w:val="0F1B2D"/>
          <w:sz w:val="26"/>
          <w:szCs w:val="26"/>
          <w:lang w:val="en-US"/>
        </w:rPr>
        <w:t>Statistical Detection That Wasn’t Practical Before</w:t>
      </w:r>
    </w:p>
    <w:p xmlns:wp14="http://schemas.microsoft.com/office/word/2010/wordml" w14:paraId="0A2C12B3" wp14:textId="77777777">
      <w:pPr>
        <w:spacing w:after="120"/>
      </w:pPr>
      <w:r>
        <w:rPr>
          <w:rFonts w:ascii="Arial" w:hAnsi="Arial" w:eastAsia="Arial" w:cs="Arial"/>
          <w:sz w:val="22"/>
          <w:szCs w:val="22"/>
        </w:rPr>
        <w:t xml:space="preserve">Benford’s Law analysis, anomaly detection, and variance testing run automatically on uploaded data. The ACFE estimates organizations lose 5% of revenue to fraud annually, with government cases averaging $200,000 per incident. Faster detection shortens the 12-month average time fraud goes undetected.</w:t>
      </w:r>
    </w:p>
    <w:p xmlns:wp14="http://schemas.microsoft.com/office/word/2010/wordml" w14:paraId="5C6CF97A" wp14:textId="77777777">
      <w:pPr>
        <w:spacing w:after="120"/>
        <w:rPr>
          <w:i/>
          <w:iCs/>
          <w:color w:val="0F766E"/>
        </w:rPr>
      </w:pPr>
      <w:r>
        <w:rPr>
          <w:rFonts w:ascii="Arial" w:hAnsi="Arial" w:eastAsia="Arial" w:cs="Arial"/>
          <w:i/>
          <w:iCs/>
          <w:color w:val="0F766E"/>
          <w:sz w:val="22"/>
          <w:szCs w:val="22"/>
        </w:rPr>
        <w:t xml:space="preserve">ACFE 2024: median government fraud loss of $200K/case; 12-month average detection time.</w:t>
      </w:r>
    </w:p>
    <w:p xmlns:wp14="http://schemas.microsoft.com/office/word/2010/wordml" w14:paraId="0E27B00A" wp14:textId="77777777">
      <w:pPr>
        <w:spacing w:after="100"/>
      </w:pPr>
    </w:p>
    <w:p xmlns:wp14="http://schemas.microsoft.com/office/word/2010/wordml" w14:paraId="7D5ED36F" wp14:textId="77777777">
      <w:pPr>
        <w:spacing w:after="80"/>
      </w:pPr>
      <w:r w:rsidRPr="0F92492E" w:rsidR="0F92492E">
        <w:rPr>
          <w:rFonts w:ascii="Arial" w:hAnsi="Arial" w:eastAsia="Arial" w:cs="Arial"/>
          <w:b w:val="1"/>
          <w:bCs w:val="1"/>
          <w:color w:val="B8860B"/>
          <w:sz w:val="26"/>
          <w:szCs w:val="26"/>
          <w:lang w:val="en-US"/>
        </w:rPr>
        <w:t xml:space="preserve">4. </w:t>
      </w:r>
      <w:r w:rsidRPr="0F92492E" w:rsidR="0F92492E">
        <w:rPr>
          <w:rFonts w:ascii="Arial" w:hAnsi="Arial" w:eastAsia="Arial" w:cs="Arial"/>
          <w:b w:val="1"/>
          <w:bCs w:val="1"/>
          <w:color w:val="0F1B2D"/>
          <w:sz w:val="26"/>
          <w:szCs w:val="26"/>
          <w:lang w:val="en-US"/>
        </w:rPr>
        <w:t>Institutional Knowledge That Doesn’t Walk Out the Door</w:t>
      </w:r>
    </w:p>
    <w:p xmlns:wp14="http://schemas.microsoft.com/office/word/2010/wordml" w14:paraId="62C0C91C" wp14:textId="77777777">
      <w:pPr>
        <w:spacing w:after="120"/>
      </w:pPr>
      <w:r w:rsidRPr="0F92492E" w:rsidR="0F92492E">
        <w:rPr>
          <w:rFonts w:ascii="Arial" w:hAnsi="Arial" w:eastAsia="Arial" w:cs="Arial"/>
          <w:sz w:val="22"/>
          <w:szCs w:val="22"/>
          <w:lang w:val="en-US"/>
        </w:rPr>
        <w:t>California state government carries a 20% vacancy rate across 243,829 positions. When experienced auditors retire or transfer, their investigative instincts leave with them. CASAER captures that logic in reusable enforcement pathways, reducing ramp-up time for new staff.</w:t>
      </w:r>
    </w:p>
    <w:p xmlns:wp14="http://schemas.microsoft.com/office/word/2010/wordml" w14:paraId="2FAE73C9" wp14:textId="77777777">
      <w:pPr>
        <w:spacing w:after="120"/>
        <w:rPr>
          <w:i/>
          <w:iCs/>
          <w:color w:val="0F766E"/>
        </w:rPr>
      </w:pPr>
      <w:r>
        <w:rPr>
          <w:rFonts w:ascii="Arial" w:hAnsi="Arial" w:eastAsia="Arial" w:cs="Arial"/>
          <w:i/>
          <w:iCs/>
          <w:color w:val="0F766E"/>
          <w:sz w:val="22"/>
          <w:szCs w:val="22"/>
        </w:rPr>
        <w:t xml:space="preserve">Statewide vacancy rate ~20% as of Feb 2024 (47,920 vacancies of 243,829 positions).</w:t>
      </w:r>
    </w:p>
    <w:p xmlns:wp14="http://schemas.microsoft.com/office/word/2010/wordml" w14:paraId="60061E4C" wp14:textId="77777777">
      <w:pPr>
        <w:spacing w:after="100"/>
      </w:pPr>
    </w:p>
    <w:p xmlns:wp14="http://schemas.microsoft.com/office/word/2010/wordml" w14:paraId="48C34EFC" wp14:textId="77777777">
      <w:pPr>
        <w:spacing w:after="80"/>
      </w:pPr>
      <w:r>
        <w:rPr>
          <w:rFonts w:ascii="Arial" w:hAnsi="Arial" w:eastAsia="Arial" w:cs="Arial"/>
          <w:b/>
          <w:bCs/>
          <w:color w:val="B8860B"/>
          <w:sz w:val="26"/>
          <w:szCs w:val="26"/>
        </w:rPr>
        <w:t xml:space="preserve">5. </w:t>
      </w:r>
      <w:r>
        <w:rPr>
          <w:rFonts w:ascii="Arial" w:hAnsi="Arial" w:eastAsia="Arial" w:cs="Arial"/>
          <w:b/>
          <w:bCs/>
          <w:color w:val="0F1B2D"/>
          <w:sz w:val="26"/>
          <w:szCs w:val="26"/>
        </w:rPr>
        <w:t xml:space="preserve">Legislative-Ready Deliverables on Demand</w:t>
      </w:r>
    </w:p>
    <w:p xmlns:wp14="http://schemas.microsoft.com/office/word/2010/wordml" w14:paraId="07EE17AB" wp14:textId="77777777">
      <w:pPr>
        <w:spacing w:after="120"/>
      </w:pPr>
      <w:r>
        <w:rPr>
          <w:rFonts w:ascii="Arial" w:hAnsi="Arial" w:eastAsia="Arial" w:cs="Arial"/>
          <w:sz w:val="22"/>
          <w:szCs w:val="22"/>
        </w:rPr>
        <w:t xml:space="preserve">One-click generation of enforcement reports, anomaly analyses, department scorecards, and legislative briefs — all formatted with proper citations and evidence chains. Your staff spends less time formatting and more time on substance, directly addressing the State’s chronic late financial reporting problem.</w:t>
      </w:r>
    </w:p>
    <w:p xmlns:wp14="http://schemas.microsoft.com/office/word/2010/wordml" w14:paraId="7F399F53" wp14:textId="77777777">
      <w:pPr>
        <w:spacing w:after="120"/>
        <w:rPr>
          <w:i/>
          <w:iCs/>
          <w:color w:val="0F766E"/>
        </w:rPr>
      </w:pPr>
      <w:r>
        <w:rPr>
          <w:rFonts w:ascii="Arial" w:hAnsi="Arial" w:eastAsia="Arial" w:cs="Arial"/>
          <w:i/>
          <w:iCs/>
          <w:color w:val="0F766E"/>
          <w:sz w:val="22"/>
          <w:szCs w:val="22"/>
        </w:rPr>
        <w:t xml:space="preserve">CA financial statements have been issued late every year since FY 2017–18.</w:t>
      </w:r>
    </w:p>
    <w:p xmlns:wp14="http://schemas.microsoft.com/office/word/2010/wordml" w14:paraId="44EAFD9C" wp14:textId="77777777">
      <w:r>
        <w:br w:type="page"/>
      </w:r>
    </w:p>
    <w:p xmlns:wp14="http://schemas.microsoft.com/office/word/2010/wordml" w14:paraId="003085D1" wp14:textId="77777777">
      <w:pPr>
        <w:pStyle w:val="Heading1"/>
      </w:pPr>
      <w:r>
        <w:t xml:space="preserve">WHAT CHANGES VS. WHAT DOESN’T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0F92492E" w14:paraId="7980C5ED" wp14:textId="77777777">
        <w:tc>
          <w:tcPr>
            <w:tcW w:w="4680" w:type="dxa"/>
            <w:tcBorders>
              <w:top w:val="single" w:color="CCCCCC" w:sz="1"/>
              <w:left w:val="single" w:color="CCCCCC" w:sz="1"/>
              <w:bottom w:val="single" w:color="CCCCCC" w:sz="1"/>
              <w:right w:val="single" w:color="CCCCCC" w:sz="1"/>
            </w:tcBorders>
            <w:shd w:val="clear" w:color="auto" w:fill="0F766E"/>
            <w:tcMar>
              <w:top w:w="80" w:type="dxa"/>
              <w:left w:w="120" w:type="dxa"/>
              <w:bottom w:w="80" w:type="dxa"/>
              <w:right w:w="120" w:type="dxa"/>
            </w:tcMar>
          </w:tcPr>
          <w:p w14:paraId="72052352" wp14:textId="77777777">
            <w:pPr>
              <w:jc w:val="center"/>
            </w:pPr>
            <w:r>
              <w:rPr>
                <w:rFonts w:ascii="Arial" w:hAnsi="Arial" w:eastAsia="Arial" w:cs="Arial"/>
                <w:b/>
                <w:bCs/>
                <w:color w:val="FFFFFF"/>
                <w:sz w:val="22"/>
                <w:szCs w:val="22"/>
              </w:rPr>
              <w:t xml:space="preserve">WHAT CHANGES</w:t>
            </w:r>
          </w:p>
        </w:tc>
        <w:tc>
          <w:tcPr>
            <w:tcW w:w="4680" w:type="dxa"/>
            <w:tcBorders>
              <w:top w:val="single" w:color="CCCCCC" w:sz="1"/>
              <w:left w:val="single" w:color="CCCCCC" w:sz="1"/>
              <w:bottom w:val="single" w:color="CCCCCC" w:sz="1"/>
              <w:right w:val="single" w:color="CCCCCC" w:sz="1"/>
            </w:tcBorders>
            <w:shd w:val="clear" w:color="auto" w:fill="0F1B2D"/>
            <w:tcMar>
              <w:top w:w="80" w:type="dxa"/>
              <w:left w:w="120" w:type="dxa"/>
              <w:bottom w:w="80" w:type="dxa"/>
              <w:right w:w="120" w:type="dxa"/>
            </w:tcMar>
          </w:tcPr>
          <w:p w14:paraId="392C6C5C" wp14:textId="77777777">
            <w:pPr>
              <w:jc w:val="center"/>
            </w:pPr>
            <w:r>
              <w:rPr>
                <w:rFonts w:ascii="Arial" w:hAnsi="Arial" w:eastAsia="Arial" w:cs="Arial"/>
                <w:b/>
                <w:bCs/>
                <w:color w:val="FFFFFF"/>
                <w:sz w:val="22"/>
                <w:szCs w:val="22"/>
              </w:rPr>
              <w:t xml:space="preserve">WHAT DOESN’T CHANGE</w:t>
            </w:r>
          </w:p>
        </w:tc>
      </w:tr>
      <w:tr xmlns:wp14="http://schemas.microsoft.com/office/word/2010/wordml" w:rsidTr="0F92492E" w14:paraId="5CAEC500"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7A3A03" wp14:textId="77777777">
            <w:r>
              <w:rPr>
                <w:rFonts w:ascii="Arial" w:hAnsi="Arial" w:eastAsia="Arial" w:cs="Arial"/>
                <w:sz w:val="20"/>
                <w:szCs w:val="20"/>
              </w:rPr>
              <w:t xml:space="preserve">Auditors find statutes and pathways in minutes instead of hours</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09872B" wp14:textId="77777777">
            <w:r w:rsidRPr="0F92492E" w:rsidR="0F92492E">
              <w:rPr>
                <w:rFonts w:ascii="Arial" w:hAnsi="Arial" w:eastAsia="Arial" w:cs="Arial"/>
                <w:sz w:val="20"/>
                <w:szCs w:val="20"/>
                <w:lang w:val="en-US"/>
              </w:rPr>
              <w:t>Auditors retain full authority over all findings</w:t>
            </w:r>
          </w:p>
        </w:tc>
      </w:tr>
      <w:tr xmlns:wp14="http://schemas.microsoft.com/office/word/2010/wordml" w:rsidTr="0F92492E" w14:paraId="46E86B2B" wp14:textId="77777777">
        <w:tc>
          <w:tcPr>
            <w:tcW w:w="4680" w:type="dxa"/>
            <w:tcBorders>
              <w:top w:val="single" w:color="CCCCCC" w:sz="1"/>
              <w:left w:val="single" w:color="CCCCCC" w:sz="1"/>
              <w:bottom w:val="single" w:color="CCCCCC" w:sz="1"/>
              <w:right w:val="single" w:color="CCCCCC" w:sz="1"/>
            </w:tcBorders>
            <w:shd w:val="clear" w:color="auto" w:fill="F8FAFC"/>
            <w:tcMar>
              <w:top w:w="80" w:type="dxa"/>
              <w:left w:w="120" w:type="dxa"/>
              <w:bottom w:w="80" w:type="dxa"/>
              <w:right w:w="120" w:type="dxa"/>
            </w:tcMar>
          </w:tcPr>
          <w:p w14:paraId="1A2E0C8F" wp14:textId="77777777">
            <w:r>
              <w:rPr>
                <w:rFonts w:ascii="Arial" w:hAnsi="Arial" w:eastAsia="Arial" w:cs="Arial"/>
                <w:sz w:val="20"/>
                <w:szCs w:val="20"/>
              </w:rPr>
              <w:t xml:space="preserve">Statistical tests run automatically on uploaded transaction data</w:t>
            </w:r>
          </w:p>
        </w:tc>
        <w:tc>
          <w:tcPr>
            <w:tcW w:w="4680" w:type="dxa"/>
            <w:tcBorders>
              <w:top w:val="single" w:color="CCCCCC" w:sz="1"/>
              <w:left w:val="single" w:color="CCCCCC" w:sz="1"/>
              <w:bottom w:val="single" w:color="CCCCCC" w:sz="1"/>
              <w:right w:val="single" w:color="CCCCCC" w:sz="1"/>
            </w:tcBorders>
            <w:shd w:val="clear" w:color="auto" w:fill="F8FAFC"/>
            <w:tcMar>
              <w:top w:w="80" w:type="dxa"/>
              <w:left w:w="120" w:type="dxa"/>
              <w:bottom w:w="80" w:type="dxa"/>
              <w:right w:w="120" w:type="dxa"/>
            </w:tcMar>
          </w:tcPr>
          <w:p w14:paraId="0EFFCA00" wp14:textId="77777777">
            <w:r w:rsidRPr="0F92492E" w:rsidR="0F92492E">
              <w:rPr>
                <w:rFonts w:ascii="Arial" w:hAnsi="Arial" w:eastAsia="Arial" w:cs="Arial"/>
                <w:sz w:val="20"/>
                <w:szCs w:val="20"/>
                <w:lang w:val="en-US"/>
              </w:rPr>
              <w:t>Your methodology and standards stay exactly the same</w:t>
            </w:r>
          </w:p>
        </w:tc>
      </w:tr>
      <w:tr xmlns:wp14="http://schemas.microsoft.com/office/word/2010/wordml" w:rsidTr="0F92492E" w14:paraId="0386A948"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F641D71" wp14:textId="77777777">
            <w:r>
              <w:rPr>
                <w:rFonts w:ascii="Arial" w:hAnsi="Arial" w:eastAsia="Arial" w:cs="Arial"/>
                <w:sz w:val="20"/>
                <w:szCs w:val="20"/>
              </w:rPr>
              <w:t xml:space="preserve">Reports generate with citations and evidence chains pre-populated</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91B36E" wp14:textId="77777777">
            <w:r>
              <w:rPr>
                <w:rFonts w:ascii="Arial" w:hAnsi="Arial" w:eastAsia="Arial" w:cs="Arial"/>
                <w:sz w:val="20"/>
                <w:szCs w:val="20"/>
              </w:rPr>
              <w:t xml:space="preserve">No staff reductions — this enhances, not replaces</w:t>
            </w:r>
          </w:p>
        </w:tc>
      </w:tr>
      <w:tr xmlns:wp14="http://schemas.microsoft.com/office/word/2010/wordml" w:rsidTr="0F92492E" w14:paraId="75D8071E" wp14:textId="77777777">
        <w:tc>
          <w:tcPr>
            <w:tcW w:w="4680" w:type="dxa"/>
            <w:tcBorders>
              <w:top w:val="single" w:color="CCCCCC" w:sz="1"/>
              <w:left w:val="single" w:color="CCCCCC" w:sz="1"/>
              <w:bottom w:val="single" w:color="CCCCCC" w:sz="1"/>
              <w:right w:val="single" w:color="CCCCCC" w:sz="1"/>
            </w:tcBorders>
            <w:shd w:val="clear" w:color="auto" w:fill="F8FAFC"/>
            <w:tcMar>
              <w:top w:w="80" w:type="dxa"/>
              <w:left w:w="120" w:type="dxa"/>
              <w:bottom w:w="80" w:type="dxa"/>
              <w:right w:w="120" w:type="dxa"/>
            </w:tcMar>
          </w:tcPr>
          <w:p w14:paraId="76534E4D" wp14:textId="77777777">
            <w:r w:rsidRPr="0F92492E" w:rsidR="0F92492E">
              <w:rPr>
                <w:rFonts w:ascii="Arial" w:hAnsi="Arial" w:eastAsia="Arial" w:cs="Arial"/>
                <w:sz w:val="20"/>
                <w:szCs w:val="20"/>
                <w:lang w:val="en-US"/>
              </w:rPr>
              <w:t>New staff get structured guidance from day one</w:t>
            </w:r>
          </w:p>
        </w:tc>
        <w:tc>
          <w:tcPr>
            <w:tcW w:w="4680" w:type="dxa"/>
            <w:tcBorders>
              <w:top w:val="single" w:color="CCCCCC" w:sz="1"/>
              <w:left w:val="single" w:color="CCCCCC" w:sz="1"/>
              <w:bottom w:val="single" w:color="CCCCCC" w:sz="1"/>
              <w:right w:val="single" w:color="CCCCCC" w:sz="1"/>
            </w:tcBorders>
            <w:shd w:val="clear" w:color="auto" w:fill="F8FAFC"/>
            <w:tcMar>
              <w:top w:w="80" w:type="dxa"/>
              <w:left w:w="120" w:type="dxa"/>
              <w:bottom w:w="80" w:type="dxa"/>
              <w:right w:w="120" w:type="dxa"/>
            </w:tcMar>
          </w:tcPr>
          <w:p w14:paraId="5C0C5F7C" wp14:textId="77777777">
            <w:r>
              <w:rPr>
                <w:rFonts w:ascii="Arial" w:hAnsi="Arial" w:eastAsia="Arial" w:cs="Arial"/>
                <w:sz w:val="20"/>
                <w:szCs w:val="20"/>
              </w:rPr>
              <w:t xml:space="preserve">All data stays on your network, 100% air-gapped</w:t>
            </w:r>
          </w:p>
        </w:tc>
      </w:tr>
    </w:tbl>
    <w:p xmlns:wp14="http://schemas.microsoft.com/office/word/2010/wordml" w14:paraId="4B94D5A5" wp14:textId="77777777">
      <w:pPr>
        <w:spacing w:after="300"/>
      </w:pPr>
    </w:p>
    <w:p xmlns:wp14="http://schemas.microsoft.com/office/word/2010/wordml" w14:paraId="4E4EAA10" wp14:textId="77777777">
      <w:pPr>
        <w:pStyle w:val="Heading1"/>
      </w:pPr>
      <w:r>
        <w:t xml:space="preserve">GETTING STARTED — THREE PHASES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rsidTr="0F92492E" w14:paraId="7886D713" wp14:textId="77777777">
        <w:tc>
          <w:tcPr>
            <w:tcW w:w="3120" w:type="dxa"/>
            <w:tcBorders>
              <w:top w:val="single" w:color="CCCCCC" w:sz="1"/>
              <w:left w:val="single" w:color="CCCCCC" w:sz="1"/>
              <w:bottom w:val="single" w:color="CCCCCC" w:sz="1"/>
              <w:right w:val="single" w:color="CCCCCC" w:sz="1"/>
            </w:tcBorders>
            <w:shd w:val="clear" w:color="auto" w:fill="0F766E"/>
            <w:tcMar>
              <w:top w:w="80" w:type="dxa"/>
              <w:left w:w="120" w:type="dxa"/>
              <w:bottom w:w="80" w:type="dxa"/>
              <w:right w:w="120" w:type="dxa"/>
            </w:tcMar>
          </w:tcPr>
          <w:p w14:paraId="6D0C2F44" wp14:textId="77777777">
            <w:pPr>
              <w:jc w:val="center"/>
            </w:pPr>
            <w:r>
              <w:rPr>
                <w:rFonts w:ascii="Arial" w:hAnsi="Arial" w:eastAsia="Arial" w:cs="Arial"/>
                <w:b/>
                <w:bCs/>
                <w:color w:val="FFFFFF"/>
                <w:sz w:val="20"/>
                <w:szCs w:val="20"/>
              </w:rPr>
              <w:t xml:space="preserve">TODAY — Immediate</w:t>
            </w:r>
          </w:p>
        </w:tc>
        <w:tc>
          <w:tcPr>
            <w:tcW w:w="3120" w:type="dxa"/>
            <w:tcBorders>
              <w:top w:val="single" w:color="CCCCCC" w:sz="1"/>
              <w:left w:val="single" w:color="CCCCCC" w:sz="1"/>
              <w:bottom w:val="single" w:color="CCCCCC" w:sz="1"/>
              <w:right w:val="single" w:color="CCCCCC" w:sz="1"/>
            </w:tcBorders>
            <w:shd w:val="clear" w:color="auto" w:fill="0F1B2D"/>
            <w:tcMar>
              <w:top w:w="80" w:type="dxa"/>
              <w:left w:w="120" w:type="dxa"/>
              <w:bottom w:w="80" w:type="dxa"/>
              <w:right w:w="120" w:type="dxa"/>
            </w:tcMar>
          </w:tcPr>
          <w:p w14:paraId="1597DE9A" wp14:textId="77777777">
            <w:pPr>
              <w:jc w:val="center"/>
            </w:pPr>
            <w:r>
              <w:rPr>
                <w:rFonts w:ascii="Arial" w:hAnsi="Arial" w:eastAsia="Arial" w:cs="Arial"/>
                <w:b/>
                <w:bCs/>
                <w:color w:val="FFFFFF"/>
                <w:sz w:val="20"/>
                <w:szCs w:val="20"/>
              </w:rPr>
              <w:t xml:space="preserve">MONTH 1 — Pilot</w:t>
            </w:r>
          </w:p>
        </w:tc>
        <w:tc>
          <w:tcPr>
            <w:tcW w:w="3120" w:type="dxa"/>
            <w:tcBorders>
              <w:top w:val="single" w:color="CCCCCC" w:sz="1"/>
              <w:left w:val="single" w:color="CCCCCC" w:sz="1"/>
              <w:bottom w:val="single" w:color="CCCCCC" w:sz="1"/>
              <w:right w:val="single" w:color="CCCCCC" w:sz="1"/>
            </w:tcBorders>
            <w:shd w:val="clear" w:color="auto" w:fill="B8860B"/>
            <w:tcMar>
              <w:top w:w="80" w:type="dxa"/>
              <w:left w:w="120" w:type="dxa"/>
              <w:bottom w:w="80" w:type="dxa"/>
              <w:right w:w="120" w:type="dxa"/>
            </w:tcMar>
          </w:tcPr>
          <w:p w14:paraId="122B7367" wp14:textId="77777777">
            <w:pPr>
              <w:jc w:val="center"/>
            </w:pPr>
            <w:r>
              <w:rPr>
                <w:rFonts w:ascii="Arial" w:hAnsi="Arial" w:eastAsia="Arial" w:cs="Arial"/>
                <w:b/>
                <w:bCs/>
                <w:color w:val="FFFFFF"/>
                <w:sz w:val="20"/>
                <w:szCs w:val="20"/>
              </w:rPr>
              <w:t xml:space="preserve">MONTH 3+ — Scale</w:t>
            </w:r>
          </w:p>
        </w:tc>
      </w:tr>
      <w:tr xmlns:wp14="http://schemas.microsoft.com/office/word/2010/wordml" w:rsidTr="0F92492E" w14:paraId="4560BB0C"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26C623" wp14:textId="77777777">
            <w:r w:rsidRPr="0F92492E" w:rsidR="0F92492E">
              <w:rPr>
                <w:rFonts w:ascii="Arial" w:hAnsi="Arial" w:eastAsia="Arial" w:cs="Arial"/>
                <w:sz w:val="20"/>
                <w:szCs w:val="20"/>
                <w:lang w:val="en-US"/>
              </w:rPr>
              <w:t>Distribute the offline HTML file to audit staff. No IT approval needed — it’s a single file that opens in any browser.</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3ED607C" wp14:textId="77777777">
            <w:r>
              <w:rPr>
                <w:rFonts w:ascii="Arial" w:hAnsi="Arial" w:eastAsia="Arial" w:cs="Arial"/>
                <w:sz w:val="20"/>
                <w:szCs w:val="20"/>
              </w:rPr>
              <w:t xml:space="preserve">IT reviews documentation and deploys the server edition. 10–15 auditors run 2–3 audits through the full system.</w:t>
            </w:r>
          </w:p>
        </w:tc>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916FD2" wp14:textId="77777777">
            <w:r>
              <w:rPr>
                <w:rFonts w:ascii="Arial" w:hAnsi="Arial" w:eastAsia="Arial" w:cs="Arial"/>
                <w:sz w:val="20"/>
                <w:szCs w:val="20"/>
              </w:rPr>
              <w:t xml:space="preserve">Expand to all audit staff and 132 departments. Customize portal branding and integrate with existing workflows.</w:t>
            </w:r>
          </w:p>
        </w:tc>
      </w:tr>
    </w:tbl>
    <w:p xmlns:wp14="http://schemas.microsoft.com/office/word/2010/wordml" w14:paraId="3DEEC669" wp14:textId="77777777">
      <w:pPr>
        <w:spacing w:after="200"/>
      </w:pPr>
    </w:p>
    <w:p xmlns:wp14="http://schemas.microsoft.com/office/word/2010/wordml" w14:paraId="5E7199F9" wp14:textId="77777777">
      <w:pPr>
        <w:pStyle w:val="Heading1"/>
      </w:pPr>
      <w:r>
        <w:t xml:space="preserve">WHAT WE DELIVER</w:t>
      </w:r>
    </w:p>
    <w:p xmlns:wp14="http://schemas.microsoft.com/office/word/2010/wordml" w14:paraId="6EF8907E" wp14:textId="77777777">
      <w:pPr>
        <w:pStyle w:val="ListParagraph"/>
        <w:numPr>
          <w:ilvl w:val="0"/>
          <w:numId w:val="2"/>
        </w:numPr>
        <w:spacing w:after="80"/>
      </w:pPr>
      <w:r>
        <w:rPr>
          <w:rFonts w:ascii="Arial" w:hAnsi="Arial" w:eastAsia="Arial" w:cs="Arial"/>
          <w:b/>
          <w:bCs/>
          <w:sz w:val="22"/>
          <w:szCs w:val="22"/>
        </w:rPr>
        <w:t xml:space="preserve">IT Documentation Package (67 pages)</w:t>
      </w:r>
      <w:r>
        <w:rPr>
          <w:rFonts w:ascii="Arial" w:hAnsi="Arial" w:eastAsia="Arial" w:cs="Arial"/>
          <w:sz w:val="22"/>
          <w:szCs w:val="22"/>
        </w:rPr>
        <w:t xml:space="preserve"> — architecture, security, API docs, deployment guide, command reference</w:t>
      </w:r>
    </w:p>
    <w:p xmlns:wp14="http://schemas.microsoft.com/office/word/2010/wordml" w14:paraId="1703FC0A" wp14:textId="77777777">
      <w:pPr>
        <w:pStyle w:val="ListParagraph"/>
        <w:numPr>
          <w:ilvl w:val="0"/>
          <w:numId w:val="2"/>
        </w:numPr>
        <w:spacing w:after="80"/>
      </w:pPr>
      <w:r>
        <w:rPr>
          <w:rFonts w:ascii="Arial" w:hAnsi="Arial" w:eastAsia="Arial" w:cs="Arial"/>
          <w:b/>
          <w:bCs/>
          <w:sz w:val="22"/>
          <w:szCs w:val="22"/>
        </w:rPr>
        <w:t xml:space="preserve">Offline HTML Portal</w:t>
      </w:r>
      <w:r>
        <w:rPr>
          <w:rFonts w:ascii="Arial" w:hAnsi="Arial" w:eastAsia="Arial" w:cs="Arial"/>
          <w:sz w:val="22"/>
          <w:szCs w:val="22"/>
        </w:rPr>
        <w:t xml:space="preserve"> — fully functional, ready for immediate use by any auditor</w:t>
      </w:r>
    </w:p>
    <w:p xmlns:wp14="http://schemas.microsoft.com/office/word/2010/wordml" w14:paraId="32E012BD" wp14:textId="77777777">
      <w:pPr>
        <w:pStyle w:val="ListParagraph"/>
        <w:numPr>
          <w:ilvl w:val="0"/>
          <w:numId w:val="2"/>
        </w:numPr>
        <w:spacing w:after="80"/>
      </w:pPr>
      <w:r>
        <w:rPr>
          <w:rFonts w:ascii="Arial" w:hAnsi="Arial" w:eastAsia="Arial" w:cs="Arial"/>
          <w:b/>
          <w:bCs/>
          <w:sz w:val="22"/>
          <w:szCs w:val="22"/>
        </w:rPr>
        <w:t xml:space="preserve">User Guide (HTML + PDF)</w:t>
      </w:r>
      <w:r>
        <w:rPr>
          <w:rFonts w:ascii="Arial" w:hAnsi="Arial" w:eastAsia="Arial" w:cs="Arial"/>
          <w:sz w:val="22"/>
          <w:szCs w:val="22"/>
        </w:rPr>
        <w:t xml:space="preserve"> — intuitive 8-chapter walkthrough for non-technical staff</w:t>
      </w:r>
    </w:p>
    <w:p xmlns:wp14="http://schemas.microsoft.com/office/word/2010/wordml" w14:paraId="7F179FC8" wp14:textId="77777777">
      <w:pPr>
        <w:pStyle w:val="ListParagraph"/>
        <w:numPr>
          <w:ilvl w:val="0"/>
          <w:numId w:val="2"/>
        </w:numPr>
        <w:spacing w:after="80"/>
        <w:rPr/>
      </w:pPr>
      <w:r w:rsidRPr="0F92492E" w:rsidR="0F92492E">
        <w:rPr>
          <w:rFonts w:ascii="Arial" w:hAnsi="Arial" w:eastAsia="Arial" w:cs="Arial"/>
          <w:b w:val="1"/>
          <w:bCs w:val="1"/>
          <w:sz w:val="22"/>
          <w:szCs w:val="22"/>
          <w:lang w:val="en-US"/>
        </w:rPr>
        <w:t>Server Deployment Package</w:t>
      </w:r>
      <w:r w:rsidRPr="0F92492E" w:rsidR="0F92492E">
        <w:rPr>
          <w:rFonts w:ascii="Arial" w:hAnsi="Arial" w:eastAsia="Arial" w:cs="Arial"/>
          <w:sz w:val="22"/>
          <w:szCs w:val="22"/>
          <w:lang w:val="en-US"/>
        </w:rPr>
        <w:t xml:space="preserve"> — Docker images with pre-loaded Ollama AI + R engine + PostgreSQL</w:t>
      </w:r>
    </w:p>
    <w:p xmlns:wp14="http://schemas.microsoft.com/office/word/2010/wordml" w14:paraId="3656B9AB" wp14:textId="77777777">
      <w:r>
        <w:br w:type="page"/>
      </w:r>
    </w:p>
    <w:p xmlns:wp14="http://schemas.microsoft.com/office/word/2010/wordml" w14:paraId="4C3127EB" wp14:textId="77777777">
      <w:pPr>
        <w:pStyle w:val="Heading1"/>
      </w:pPr>
      <w:r>
        <w:t xml:space="preserve">VALUE ANALYSIS: WHY CASAER MATTERS NOW</w:t>
      </w:r>
    </w:p>
    <w:p xmlns:wp14="http://schemas.microsoft.com/office/word/2010/wordml" w14:paraId="633FD302" wp14:textId="77777777">
      <w:pPr>
        <w:spacing w:after="120"/>
      </w:pPr>
      <w:r>
        <w:rPr>
          <w:rFonts w:ascii="Arial" w:hAnsi="Arial" w:eastAsia="Arial" w:cs="Arial"/>
          <w:i/>
          <w:iCs/>
          <w:color w:val="666666"/>
          <w:sz w:val="20"/>
          <w:szCs w:val="20"/>
        </w:rPr>
        <w:t xml:space="preserve">All figures sourced from published government reports and peer-reviewed fraud research</w:t>
      </w:r>
    </w:p>
    <w:p xmlns:wp14="http://schemas.microsoft.com/office/word/2010/wordml" w14:paraId="19221E14" wp14:textId="77777777">
      <w:pPr>
        <w:pStyle w:val="Heading2"/>
      </w:pPr>
      <w:r>
        <w:t xml:space="preserve">1. The Fraud Landscape in California State Government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xmlns:wp14="http://schemas.microsoft.com/office/word/2010/wordml" w:rsidTr="0F92492E" w14:paraId="65A6C4CE" wp14:textId="77777777">
        <w:tc>
          <w:tcPr>
            <w:tcW w:w="3120" w:type="dxa"/>
            <w:tcBorders>
              <w:top w:val="single" w:color="CCCCCC" w:sz="1"/>
              <w:left w:val="single" w:color="CCCCCC" w:sz="1"/>
              <w:bottom w:val="single" w:color="CCCCCC" w:sz="1"/>
              <w:right w:val="single" w:color="CCCCCC" w:sz="1"/>
            </w:tcBorders>
            <w:shd w:val="clear" w:color="auto" w:fill="0F1B2D"/>
            <w:tcMar>
              <w:top w:w="80" w:type="dxa"/>
              <w:left w:w="120" w:type="dxa"/>
              <w:bottom w:w="80" w:type="dxa"/>
              <w:right w:w="120" w:type="dxa"/>
            </w:tcMar>
          </w:tcPr>
          <w:p w14:paraId="78F74C83" wp14:textId="77777777">
            <w:r>
              <w:rPr>
                <w:rFonts w:ascii="Arial" w:hAnsi="Arial" w:eastAsia="Arial" w:cs="Arial"/>
                <w:b/>
                <w:bCs/>
                <w:color w:val="FFFFFF"/>
                <w:sz w:val="20"/>
                <w:szCs w:val="20"/>
              </w:rPr>
              <w:t xml:space="preserve">Finding</w:t>
            </w:r>
          </w:p>
        </w:tc>
        <w:tc>
          <w:tcPr>
            <w:tcW w:w="6240" w:type="dxa"/>
            <w:tcBorders>
              <w:top w:val="single" w:color="CCCCCC" w:sz="1"/>
              <w:left w:val="single" w:color="CCCCCC" w:sz="1"/>
              <w:bottom w:val="single" w:color="CCCCCC" w:sz="1"/>
              <w:right w:val="single" w:color="CCCCCC" w:sz="1"/>
            </w:tcBorders>
            <w:shd w:val="clear" w:color="auto" w:fill="0F1B2D"/>
            <w:tcMar>
              <w:top w:w="80" w:type="dxa"/>
              <w:left w:w="120" w:type="dxa"/>
              <w:bottom w:w="80" w:type="dxa"/>
              <w:right w:w="120" w:type="dxa"/>
            </w:tcMar>
          </w:tcPr>
          <w:p w14:paraId="67D63D4F" wp14:textId="77777777">
            <w:r>
              <w:rPr>
                <w:rFonts w:ascii="Arial" w:hAnsi="Arial" w:eastAsia="Arial" w:cs="Arial"/>
                <w:b/>
                <w:bCs/>
                <w:color w:val="FFFFFF"/>
                <w:sz w:val="20"/>
                <w:szCs w:val="20"/>
              </w:rPr>
              <w:t xml:space="preserve">Source</w:t>
            </w:r>
          </w:p>
        </w:tc>
      </w:tr>
      <w:tr xmlns:wp14="http://schemas.microsoft.com/office/word/2010/wordml" w:rsidTr="0F92492E" w14:paraId="1E79C3AB"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A5926FF" wp14:textId="77777777">
            <w:r w:rsidRPr="0F92492E" w:rsidR="0F92492E">
              <w:rPr>
                <w:rFonts w:ascii="Arial" w:hAnsi="Arial" w:eastAsia="Arial" w:cs="Arial"/>
                <w:b w:val="1"/>
                <w:bCs w:val="1"/>
                <w:sz w:val="20"/>
                <w:szCs w:val="20"/>
                <w:lang w:val="en-US"/>
              </w:rPr>
              <w:t>EDD lost an estimated $513M to fraud in 2024 alone, with $1.5B in improper payments over 2023–2024.</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E65BF59" wp14:textId="77777777">
            <w:r>
              <w:rPr>
                <w:rFonts w:ascii="Arial" w:hAnsi="Arial" w:eastAsia="Arial" w:cs="Arial"/>
                <w:sz w:val="20"/>
                <w:szCs w:val="20"/>
              </w:rPr>
              <w:t xml:space="preserve">CA State Auditor Report 2025-601 (Dec 2025)</w:t>
            </w:r>
          </w:p>
        </w:tc>
      </w:tr>
      <w:tr xmlns:wp14="http://schemas.microsoft.com/office/word/2010/wordml" w:rsidTr="0F92492E" w14:paraId="10B7FC93" wp14:textId="77777777">
        <w:tc>
          <w:tcPr>
            <w:tcW w:w="3120" w:type="dxa"/>
            <w:tcBorders>
              <w:top w:val="single" w:color="CCCCCC" w:sz="1"/>
              <w:left w:val="single" w:color="CCCCCC" w:sz="1"/>
              <w:bottom w:val="single" w:color="CCCCCC" w:sz="1"/>
              <w:right w:val="single" w:color="CCCCCC" w:sz="1"/>
            </w:tcBorders>
            <w:shd w:val="clear" w:color="auto" w:fill="F8FAFC"/>
            <w:tcMar>
              <w:top w:w="80" w:type="dxa"/>
              <w:left w:w="120" w:type="dxa"/>
              <w:bottom w:w="80" w:type="dxa"/>
              <w:right w:w="120" w:type="dxa"/>
            </w:tcMar>
          </w:tcPr>
          <w:p w14:paraId="6B201696" wp14:textId="77777777">
            <w:r>
              <w:rPr>
                <w:rFonts w:ascii="Arial" w:hAnsi="Arial" w:eastAsia="Arial" w:cs="Arial"/>
                <w:b/>
                <w:bCs/>
                <w:sz w:val="20"/>
                <w:szCs w:val="20"/>
              </w:rPr>
              <w:t xml:space="preserve">EDD paid $10.4B on potentially fraudulent claims during March–Dec 2020; total pandemic fraud estimated at $32.6B.</w:t>
            </w:r>
          </w:p>
        </w:tc>
        <w:tc>
          <w:tcPr>
            <w:tcW w:w="6240" w:type="dxa"/>
            <w:tcBorders>
              <w:top w:val="single" w:color="CCCCCC" w:sz="1"/>
              <w:left w:val="single" w:color="CCCCCC" w:sz="1"/>
              <w:bottom w:val="single" w:color="CCCCCC" w:sz="1"/>
              <w:right w:val="single" w:color="CCCCCC" w:sz="1"/>
            </w:tcBorders>
            <w:shd w:val="clear" w:color="auto" w:fill="F8FAFC"/>
            <w:tcMar>
              <w:top w:w="80" w:type="dxa"/>
              <w:left w:w="120" w:type="dxa"/>
              <w:bottom w:w="80" w:type="dxa"/>
              <w:right w:w="120" w:type="dxa"/>
            </w:tcMar>
          </w:tcPr>
          <w:p w14:paraId="279F3A50" wp14:textId="77777777">
            <w:r>
              <w:rPr>
                <w:rFonts w:ascii="Arial" w:hAnsi="Arial" w:eastAsia="Arial" w:cs="Arial"/>
                <w:sz w:val="20"/>
                <w:szCs w:val="20"/>
              </w:rPr>
              <w:t xml:space="preserve">CA State Auditor Report 2020-628.2; U.S. Senate Finance Committee (May 2024)</w:t>
            </w:r>
          </w:p>
        </w:tc>
      </w:tr>
      <w:tr xmlns:wp14="http://schemas.microsoft.com/office/word/2010/wordml" w:rsidTr="0F92492E" w14:paraId="55E862AE"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10F7E5" wp14:textId="77777777">
            <w:r w:rsidRPr="0F92492E" w:rsidR="0F92492E">
              <w:rPr>
                <w:rFonts w:ascii="Arial" w:hAnsi="Arial" w:eastAsia="Arial" w:cs="Arial"/>
                <w:b w:val="1"/>
                <w:bCs w:val="1"/>
                <w:sz w:val="20"/>
                <w:szCs w:val="20"/>
                <w:lang w:val="en-US"/>
              </w:rPr>
              <w:t>If CalFresh payment error rate is not reduced, California faces $2.5B in additional annual costs under the OBBBA.</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4F79D2" wp14:textId="77777777">
            <w:r>
              <w:rPr>
                <w:rFonts w:ascii="Arial" w:hAnsi="Arial" w:eastAsia="Arial" w:cs="Arial"/>
                <w:sz w:val="20"/>
                <w:szCs w:val="20"/>
              </w:rPr>
              <w:t xml:space="preserve">CA State Auditor Report 2025-601; USDA PER data FFY 2024</w:t>
            </w:r>
          </w:p>
        </w:tc>
      </w:tr>
      <w:tr xmlns:wp14="http://schemas.microsoft.com/office/word/2010/wordml" w:rsidTr="0F92492E" w14:paraId="0B7800AB" wp14:textId="77777777">
        <w:tc>
          <w:tcPr>
            <w:tcW w:w="3120" w:type="dxa"/>
            <w:tcBorders>
              <w:top w:val="single" w:color="CCCCCC" w:sz="1"/>
              <w:left w:val="single" w:color="CCCCCC" w:sz="1"/>
              <w:bottom w:val="single" w:color="CCCCCC" w:sz="1"/>
              <w:right w:val="single" w:color="CCCCCC" w:sz="1"/>
            </w:tcBorders>
            <w:shd w:val="clear" w:color="auto" w:fill="F8FAFC"/>
            <w:tcMar>
              <w:top w:w="80" w:type="dxa"/>
              <w:left w:w="120" w:type="dxa"/>
              <w:bottom w:w="80" w:type="dxa"/>
              <w:right w:w="120" w:type="dxa"/>
            </w:tcMar>
          </w:tcPr>
          <w:p w14:paraId="6A6A8ADB" wp14:textId="77777777">
            <w:r w:rsidRPr="0F92492E" w:rsidR="0F92492E">
              <w:rPr>
                <w:rFonts w:ascii="Arial" w:hAnsi="Arial" w:eastAsia="Arial" w:cs="Arial"/>
                <w:b w:val="1"/>
                <w:bCs w:val="1"/>
                <w:sz w:val="20"/>
                <w:szCs w:val="20"/>
                <w:lang w:val="en-US"/>
              </w:rPr>
              <w:t>Medi-Cal eligibility discrepancies have exceeded $4B in identified issues.</w:t>
            </w:r>
          </w:p>
        </w:tc>
        <w:tc>
          <w:tcPr>
            <w:tcW w:w="6240" w:type="dxa"/>
            <w:tcBorders>
              <w:top w:val="single" w:color="CCCCCC" w:sz="1"/>
              <w:left w:val="single" w:color="CCCCCC" w:sz="1"/>
              <w:bottom w:val="single" w:color="CCCCCC" w:sz="1"/>
              <w:right w:val="single" w:color="CCCCCC" w:sz="1"/>
            </w:tcBorders>
            <w:shd w:val="clear" w:color="auto" w:fill="F8FAFC"/>
            <w:tcMar>
              <w:top w:w="80" w:type="dxa"/>
              <w:left w:w="120" w:type="dxa"/>
              <w:bottom w:w="80" w:type="dxa"/>
              <w:right w:w="120" w:type="dxa"/>
            </w:tcMar>
          </w:tcPr>
          <w:p w14:paraId="6BCF43F9" wp14:textId="77777777">
            <w:r>
              <w:rPr>
                <w:rFonts w:ascii="Arial" w:hAnsi="Arial" w:eastAsia="Arial" w:cs="Arial"/>
                <w:sz w:val="20"/>
                <w:szCs w:val="20"/>
              </w:rPr>
              <w:t xml:space="preserve">CA State Auditor Reports (2018, 2020 findings cited in 2025-601)</w:t>
            </w:r>
          </w:p>
        </w:tc>
      </w:tr>
      <w:tr xmlns:wp14="http://schemas.microsoft.com/office/word/2010/wordml" w:rsidTr="0F92492E" w14:paraId="66EBCF9D"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69253F" wp14:textId="77777777">
            <w:r>
              <w:rPr>
                <w:rFonts w:ascii="Arial" w:hAnsi="Arial" w:eastAsia="Arial" w:cs="Arial"/>
                <w:b/>
                <w:bCs/>
                <w:sz w:val="20"/>
                <w:szCs w:val="20"/>
              </w:rPr>
              <w:t xml:space="preserve">Organizations lose an estimated 5% of revenue to fraud annually. Median government fraud case: $200K.</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BDDAB4C" wp14:textId="77777777">
            <w:r>
              <w:rPr>
                <w:rFonts w:ascii="Arial" w:hAnsi="Arial" w:eastAsia="Arial" w:cs="Arial"/>
                <w:sz w:val="20"/>
                <w:szCs w:val="20"/>
              </w:rPr>
              <w:t xml:space="preserve">ACFE Occupational Fraud 2024 (1,921 cases, 138 countries)</w:t>
            </w:r>
          </w:p>
        </w:tc>
      </w:tr>
      <w:tr xmlns:wp14="http://schemas.microsoft.com/office/word/2010/wordml" w:rsidTr="0F92492E" w14:paraId="337C26E2" wp14:textId="77777777">
        <w:tc>
          <w:tcPr>
            <w:tcW w:w="3120" w:type="dxa"/>
            <w:tcBorders>
              <w:top w:val="single" w:color="CCCCCC" w:sz="1"/>
              <w:left w:val="single" w:color="CCCCCC" w:sz="1"/>
              <w:bottom w:val="single" w:color="CCCCCC" w:sz="1"/>
              <w:right w:val="single" w:color="CCCCCC" w:sz="1"/>
            </w:tcBorders>
            <w:shd w:val="clear" w:color="auto" w:fill="F8FAFC"/>
            <w:tcMar>
              <w:top w:w="80" w:type="dxa"/>
              <w:left w:w="120" w:type="dxa"/>
              <w:bottom w:w="80" w:type="dxa"/>
              <w:right w:w="120" w:type="dxa"/>
            </w:tcMar>
          </w:tcPr>
          <w:p w14:paraId="6E945631" wp14:textId="77777777">
            <w:r>
              <w:rPr>
                <w:rFonts w:ascii="Arial" w:hAnsi="Arial" w:eastAsia="Arial" w:cs="Arial"/>
                <w:b/>
                <w:bCs/>
                <w:sz w:val="20"/>
                <w:szCs w:val="20"/>
              </w:rPr>
              <w:t xml:space="preserve">50%+ of occupational frauds resulted from lack of internal controls or management override of controls.</w:t>
            </w:r>
          </w:p>
        </w:tc>
        <w:tc>
          <w:tcPr>
            <w:tcW w:w="6240" w:type="dxa"/>
            <w:tcBorders>
              <w:top w:val="single" w:color="CCCCCC" w:sz="1"/>
              <w:left w:val="single" w:color="CCCCCC" w:sz="1"/>
              <w:bottom w:val="single" w:color="CCCCCC" w:sz="1"/>
              <w:right w:val="single" w:color="CCCCCC" w:sz="1"/>
            </w:tcBorders>
            <w:shd w:val="clear" w:color="auto" w:fill="F8FAFC"/>
            <w:tcMar>
              <w:top w:w="80" w:type="dxa"/>
              <w:left w:w="120" w:type="dxa"/>
              <w:bottom w:w="80" w:type="dxa"/>
              <w:right w:w="120" w:type="dxa"/>
            </w:tcMar>
          </w:tcPr>
          <w:p w14:paraId="3BE24CCE" wp14:textId="77777777">
            <w:r>
              <w:rPr>
                <w:rFonts w:ascii="Arial" w:hAnsi="Arial" w:eastAsia="Arial" w:cs="Arial"/>
                <w:sz w:val="20"/>
                <w:szCs w:val="20"/>
              </w:rPr>
              <w:t xml:space="preserve">ACFE 2024 Report to the Nations</w:t>
            </w:r>
          </w:p>
        </w:tc>
      </w:tr>
      <w:tr xmlns:wp14="http://schemas.microsoft.com/office/word/2010/wordml" w:rsidTr="0F92492E" w14:paraId="08AE32CC" wp14:textId="77777777">
        <w:tc>
          <w:tcPr>
            <w:tcW w:w="31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DC52AF" wp14:textId="77777777">
            <w:r w:rsidRPr="0F92492E" w:rsidR="0F92492E">
              <w:rPr>
                <w:rFonts w:ascii="Arial" w:hAnsi="Arial" w:eastAsia="Arial" w:cs="Arial"/>
                <w:b w:val="1"/>
                <w:bCs w:val="1"/>
                <w:sz w:val="20"/>
                <w:szCs w:val="20"/>
                <w:lang w:val="en-US"/>
              </w:rPr>
              <w:t>Typical fraud case lasts 12 months before detection. Organizations with fraud hotlines had 50% smaller losses.</w:t>
            </w:r>
          </w:p>
        </w:tc>
        <w:tc>
          <w:tcPr>
            <w:tcW w:w="624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4245878" wp14:textId="77777777">
            <w:r>
              <w:rPr>
                <w:rFonts w:ascii="Arial" w:hAnsi="Arial" w:eastAsia="Arial" w:cs="Arial"/>
                <w:sz w:val="20"/>
                <w:szCs w:val="20"/>
              </w:rPr>
              <w:t xml:space="preserve">ACFE 2024 Report to the Nations</w:t>
            </w:r>
          </w:p>
        </w:tc>
      </w:tr>
      <w:tr xmlns:wp14="http://schemas.microsoft.com/office/word/2010/wordml" w:rsidTr="0F92492E" w14:paraId="1AA80FAF" wp14:textId="77777777">
        <w:tc>
          <w:tcPr>
            <w:tcW w:w="3120" w:type="dxa"/>
            <w:tcBorders>
              <w:top w:val="single" w:color="CCCCCC" w:sz="1"/>
              <w:left w:val="single" w:color="CCCCCC" w:sz="1"/>
              <w:bottom w:val="single" w:color="CCCCCC" w:sz="1"/>
              <w:right w:val="single" w:color="CCCCCC" w:sz="1"/>
            </w:tcBorders>
            <w:shd w:val="clear" w:color="auto" w:fill="F8FAFC"/>
            <w:tcMar>
              <w:top w:w="80" w:type="dxa"/>
              <w:left w:w="120" w:type="dxa"/>
              <w:bottom w:w="80" w:type="dxa"/>
              <w:right w:w="120" w:type="dxa"/>
            </w:tcMar>
          </w:tcPr>
          <w:p w14:paraId="482C352F" wp14:textId="77777777">
            <w:r>
              <w:rPr>
                <w:rFonts w:ascii="Arial" w:hAnsi="Arial" w:eastAsia="Arial" w:cs="Arial"/>
                <w:b/>
                <w:bCs/>
                <w:sz w:val="20"/>
                <w:szCs w:val="20"/>
              </w:rPr>
              <w:t xml:space="preserve">State Auditor investigated 2,636 allegations of improper activity (Jan 2024–Oct 2025); substantiated findings exceeded $5M.</w:t>
            </w:r>
          </w:p>
        </w:tc>
        <w:tc>
          <w:tcPr>
            <w:tcW w:w="6240" w:type="dxa"/>
            <w:tcBorders>
              <w:top w:val="single" w:color="CCCCCC" w:sz="1"/>
              <w:left w:val="single" w:color="CCCCCC" w:sz="1"/>
              <w:bottom w:val="single" w:color="CCCCCC" w:sz="1"/>
              <w:right w:val="single" w:color="CCCCCC" w:sz="1"/>
            </w:tcBorders>
            <w:shd w:val="clear" w:color="auto" w:fill="F8FAFC"/>
            <w:tcMar>
              <w:top w:w="80" w:type="dxa"/>
              <w:left w:w="120" w:type="dxa"/>
              <w:bottom w:w="80" w:type="dxa"/>
              <w:right w:w="120" w:type="dxa"/>
            </w:tcMar>
          </w:tcPr>
          <w:p w14:paraId="7489633D" wp14:textId="77777777">
            <w:r>
              <w:rPr>
                <w:rFonts w:ascii="Arial" w:hAnsi="Arial" w:eastAsia="Arial" w:cs="Arial"/>
                <w:sz w:val="20"/>
                <w:szCs w:val="20"/>
              </w:rPr>
              <w:t xml:space="preserve">CA State Auditor Report I2025-1 (Dec 2025)</w:t>
            </w:r>
          </w:p>
        </w:tc>
      </w:tr>
    </w:tbl>
    <w:p xmlns:wp14="http://schemas.microsoft.com/office/word/2010/wordml" w14:paraId="45FB0818" wp14:textId="77777777">
      <w:pPr>
        <w:spacing w:after="200"/>
      </w:pPr>
    </w:p>
    <w:p xmlns:wp14="http://schemas.microsoft.com/office/word/2010/wordml" w14:paraId="5012C049" wp14:textId="77777777">
      <w:pPr>
        <w:pStyle w:val="Heading2"/>
      </w:pPr>
      <w:r>
        <w:t xml:space="preserve">2. How CASAER Addresses These Findings</w:t>
      </w:r>
    </w:p>
    <w:p xmlns:wp14="http://schemas.microsoft.com/office/word/2010/wordml" w14:paraId="3CFFE58C" wp14:textId="77777777">
      <w:pPr>
        <w:spacing w:after="120"/>
      </w:pPr>
      <w:r>
        <w:rPr>
          <w:rFonts w:ascii="Arial" w:hAnsi="Arial" w:eastAsia="Arial" w:cs="Arial"/>
          <w:sz w:val="22"/>
          <w:szCs w:val="22"/>
        </w:rPr>
        <w:t xml:space="preserve">Rather than claiming specific dollar savings — which require post-deployment measurement — CASAER targets the root causes the ACFE and State Auditor have identified as enabling fraud and waste: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xmlns:wp14="http://schemas.microsoft.com/office/word/2010/wordml" w14:paraId="2C279361" wp14:textId="77777777">
        <w:tc>
          <w:tcPr>
            <w:tcW w:w="2500" w:type="dxa"/>
            <w:tcBorders>
              <w:top w:val="single" w:color="CCCCCC" w:sz="1"/>
              <w:left w:val="single" w:color="CCCCCC" w:sz="1"/>
              <w:bottom w:val="single" w:color="CCCCCC" w:sz="1"/>
              <w:right w:val="single" w:color="CCCCCC" w:sz="1"/>
            </w:tcBorders>
            <w:shd w:val="clear" w:fill="0F1B2D"/>
            <w:tcMar>
              <w:top w:w="80" w:type="dxa"/>
              <w:left w:w="120" w:type="dxa"/>
              <w:bottom w:w="80" w:type="dxa"/>
              <w:right w:w="120" w:type="dxa"/>
            </w:tcMar>
          </w:tcPr>
          <w:p w14:paraId="5F90E442" wp14:textId="77777777">
            <w:r>
              <w:rPr>
                <w:rFonts w:ascii="Arial" w:hAnsi="Arial" w:eastAsia="Arial" w:cs="Arial"/>
                <w:b/>
                <w:bCs/>
                <w:color w:val="FFFFFF"/>
                <w:sz w:val="20"/>
                <w:szCs w:val="20"/>
              </w:rPr>
              <w:t xml:space="preserve">Root Cause</w:t>
            </w:r>
          </w:p>
        </w:tc>
        <w:tc>
          <w:tcPr>
            <w:tcW w:w="3430" w:type="dxa"/>
            <w:tcBorders>
              <w:top w:val="single" w:color="CCCCCC" w:sz="1"/>
              <w:left w:val="single" w:color="CCCCCC" w:sz="1"/>
              <w:bottom w:val="single" w:color="CCCCCC" w:sz="1"/>
              <w:right w:val="single" w:color="CCCCCC" w:sz="1"/>
            </w:tcBorders>
            <w:shd w:val="clear" w:fill="0F1B2D"/>
            <w:tcMar>
              <w:top w:w="80" w:type="dxa"/>
              <w:left w:w="120" w:type="dxa"/>
              <w:bottom w:w="80" w:type="dxa"/>
              <w:right w:w="120" w:type="dxa"/>
            </w:tcMar>
          </w:tcPr>
          <w:p w14:paraId="6958226D" wp14:textId="77777777">
            <w:r>
              <w:rPr>
                <w:rFonts w:ascii="Arial" w:hAnsi="Arial" w:eastAsia="Arial" w:cs="Arial"/>
                <w:b/>
                <w:bCs/>
                <w:color w:val="FFFFFF"/>
                <w:sz w:val="20"/>
                <w:szCs w:val="20"/>
              </w:rPr>
              <w:t xml:space="preserve">ACFE / Auditor Finding</w:t>
            </w:r>
          </w:p>
        </w:tc>
        <w:tc>
          <w:tcPr>
            <w:tcW w:w="3430" w:type="dxa"/>
            <w:tcBorders>
              <w:top w:val="single" w:color="CCCCCC" w:sz="1"/>
              <w:left w:val="single" w:color="CCCCCC" w:sz="1"/>
              <w:bottom w:val="single" w:color="CCCCCC" w:sz="1"/>
              <w:right w:val="single" w:color="CCCCCC" w:sz="1"/>
            </w:tcBorders>
            <w:shd w:val="clear" w:fill="0F1B2D"/>
            <w:tcMar>
              <w:top w:w="80" w:type="dxa"/>
              <w:left w:w="120" w:type="dxa"/>
              <w:bottom w:w="80" w:type="dxa"/>
              <w:right w:w="120" w:type="dxa"/>
            </w:tcMar>
          </w:tcPr>
          <w:p w14:paraId="75803827" wp14:textId="77777777">
            <w:r>
              <w:rPr>
                <w:rFonts w:ascii="Arial" w:hAnsi="Arial" w:eastAsia="Arial" w:cs="Arial"/>
                <w:b/>
                <w:bCs/>
                <w:color w:val="FFFFFF"/>
                <w:sz w:val="20"/>
                <w:szCs w:val="20"/>
              </w:rPr>
              <w:t xml:space="preserve">CASAER Response</w:t>
            </w:r>
          </w:p>
        </w:tc>
      </w:tr>
      <w:tr xmlns:wp14="http://schemas.microsoft.com/office/word/2010/wordml" w14:paraId="46B6E78A" wp14:textId="77777777">
        <w:tc>
          <w:tcPr>
            <w:tcW w:w="25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B38F2DE" wp14:textId="77777777">
            <w:r>
              <w:rPr>
                <w:rFonts w:ascii="Arial" w:hAnsi="Arial" w:eastAsia="Arial" w:cs="Arial"/>
                <w:sz w:val="20"/>
                <w:szCs w:val="20"/>
              </w:rPr>
              <w:t xml:space="preserve">Inconsistent controls across departments</w:t>
            </w:r>
          </w:p>
        </w:tc>
        <w:tc>
          <w:tcPr>
            <w:tcW w:w="343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3281DAF" wp14:textId="77777777">
            <w:r>
              <w:rPr>
                <w:rFonts w:ascii="Arial" w:hAnsi="Arial" w:eastAsia="Arial" w:cs="Arial"/>
                <w:sz w:val="20"/>
                <w:szCs w:val="20"/>
              </w:rPr>
              <w:t xml:space="preserve">50%+ of frauds enabled by weak/inconsistent controls (ACFE 2024)</w:t>
            </w:r>
          </w:p>
        </w:tc>
        <w:tc>
          <w:tcPr>
            <w:tcW w:w="343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A9E1AD6" wp14:textId="77777777">
            <w:r>
              <w:rPr>
                <w:rFonts w:ascii="Arial" w:hAnsi="Arial" w:eastAsia="Arial" w:cs="Arial"/>
                <w:sz w:val="20"/>
                <w:szCs w:val="20"/>
              </w:rPr>
              <w:t xml:space="preserve">8 standardized enforcement pathways with built-in statute checklists ensure every audit follows the same rigorous framework</w:t>
            </w:r>
          </w:p>
        </w:tc>
      </w:tr>
      <w:tr xmlns:wp14="http://schemas.microsoft.com/office/word/2010/wordml" w14:paraId="4A213AB3" wp14:textId="77777777">
        <w:tc>
          <w:tcPr>
            <w:tcW w:w="2500" w:type="dxa"/>
            <w:tcBorders>
              <w:top w:val="single" w:color="CCCCCC" w:sz="1"/>
              <w:left w:val="single" w:color="CCCCCC" w:sz="1"/>
              <w:bottom w:val="single" w:color="CCCCCC" w:sz="1"/>
              <w:right w:val="single" w:color="CCCCCC" w:sz="1"/>
            </w:tcBorders>
            <w:shd w:val="clear" w:fill="F8FAFC"/>
            <w:tcMar>
              <w:top w:w="80" w:type="dxa"/>
              <w:left w:w="120" w:type="dxa"/>
              <w:bottom w:w="80" w:type="dxa"/>
              <w:right w:w="120" w:type="dxa"/>
            </w:tcMar>
          </w:tcPr>
          <w:p w14:paraId="572FD6B5" wp14:textId="77777777">
            <w:r>
              <w:rPr>
                <w:rFonts w:ascii="Arial" w:hAnsi="Arial" w:eastAsia="Arial" w:cs="Arial"/>
                <w:sz w:val="20"/>
                <w:szCs w:val="20"/>
              </w:rPr>
              <w:t xml:space="preserve">Slow detection timelines</w:t>
            </w:r>
          </w:p>
        </w:tc>
        <w:tc>
          <w:tcPr>
            <w:tcW w:w="3430" w:type="dxa"/>
            <w:tcBorders>
              <w:top w:val="single" w:color="CCCCCC" w:sz="1"/>
              <w:left w:val="single" w:color="CCCCCC" w:sz="1"/>
              <w:bottom w:val="single" w:color="CCCCCC" w:sz="1"/>
              <w:right w:val="single" w:color="CCCCCC" w:sz="1"/>
            </w:tcBorders>
            <w:shd w:val="clear" w:fill="F8FAFC"/>
            <w:tcMar>
              <w:top w:w="80" w:type="dxa"/>
              <w:left w:w="120" w:type="dxa"/>
              <w:bottom w:w="80" w:type="dxa"/>
              <w:right w:w="120" w:type="dxa"/>
            </w:tcMar>
          </w:tcPr>
          <w:p w14:paraId="5E21DB05" wp14:textId="77777777">
            <w:r>
              <w:rPr>
                <w:rFonts w:ascii="Arial" w:hAnsi="Arial" w:eastAsia="Arial" w:cs="Arial"/>
                <w:sz w:val="20"/>
                <w:szCs w:val="20"/>
              </w:rPr>
              <w:t xml:space="preserve">Average fraud goes undetected 12 months (ACFE 2024); avg loss $9,900/month</w:t>
            </w:r>
          </w:p>
        </w:tc>
        <w:tc>
          <w:tcPr>
            <w:tcW w:w="3430" w:type="dxa"/>
            <w:tcBorders>
              <w:top w:val="single" w:color="CCCCCC" w:sz="1"/>
              <w:left w:val="single" w:color="CCCCCC" w:sz="1"/>
              <w:bottom w:val="single" w:color="CCCCCC" w:sz="1"/>
              <w:right w:val="single" w:color="CCCCCC" w:sz="1"/>
            </w:tcBorders>
            <w:shd w:val="clear" w:fill="F8FAFC"/>
            <w:tcMar>
              <w:top w:w="80" w:type="dxa"/>
              <w:left w:w="120" w:type="dxa"/>
              <w:bottom w:w="80" w:type="dxa"/>
              <w:right w:w="120" w:type="dxa"/>
            </w:tcMar>
          </w:tcPr>
          <w:p w14:paraId="2DA91598" wp14:textId="77777777">
            <w:r>
              <w:rPr>
                <w:rFonts w:ascii="Arial" w:hAnsi="Arial" w:eastAsia="Arial" w:cs="Arial"/>
                <w:sz w:val="20"/>
                <w:szCs w:val="20"/>
              </w:rPr>
              <w:t xml:space="preserve">Automated Benford’s Law, anomaly detection, and variance analysis run in seconds on uploaded data</w:t>
            </w:r>
          </w:p>
        </w:tc>
      </w:tr>
      <w:tr xmlns:wp14="http://schemas.microsoft.com/office/word/2010/wordml" w14:paraId="57585CD8" wp14:textId="77777777">
        <w:tc>
          <w:tcPr>
            <w:tcW w:w="25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90488FD" wp14:textId="77777777">
            <w:r>
              <w:rPr>
                <w:rFonts w:ascii="Arial" w:hAnsi="Arial" w:eastAsia="Arial" w:cs="Arial"/>
                <w:sz w:val="20"/>
                <w:szCs w:val="20"/>
              </w:rPr>
              <w:t xml:space="preserve">Knowledge loss from staff turnover</w:t>
            </w:r>
          </w:p>
        </w:tc>
        <w:tc>
          <w:tcPr>
            <w:tcW w:w="343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86B2180" wp14:textId="77777777">
            <w:r>
              <w:rPr>
                <w:rFonts w:ascii="Arial" w:hAnsi="Arial" w:eastAsia="Arial" w:cs="Arial"/>
                <w:sz w:val="20"/>
                <w:szCs w:val="20"/>
              </w:rPr>
              <w:t xml:space="preserve">20% statewide vacancy rate; 47,920 vacant positions (LAO 2024)</w:t>
            </w:r>
          </w:p>
        </w:tc>
        <w:tc>
          <w:tcPr>
            <w:tcW w:w="343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F82AF2E" wp14:textId="77777777">
            <w:r>
              <w:rPr>
                <w:rFonts w:ascii="Arial" w:hAnsi="Arial" w:eastAsia="Arial" w:cs="Arial"/>
                <w:sz w:val="20"/>
                <w:szCs w:val="20"/>
              </w:rPr>
              <w:t xml:space="preserve">Enforcement pathways capture investigative logic in reusable templates; new auditors get structured guidance from day one</w:t>
            </w:r>
          </w:p>
        </w:tc>
      </w:tr>
      <w:tr xmlns:wp14="http://schemas.microsoft.com/office/word/2010/wordml" w14:paraId="41160533" wp14:textId="77777777">
        <w:tc>
          <w:tcPr>
            <w:tcW w:w="2500" w:type="dxa"/>
            <w:tcBorders>
              <w:top w:val="single" w:color="CCCCCC" w:sz="1"/>
              <w:left w:val="single" w:color="CCCCCC" w:sz="1"/>
              <w:bottom w:val="single" w:color="CCCCCC" w:sz="1"/>
              <w:right w:val="single" w:color="CCCCCC" w:sz="1"/>
            </w:tcBorders>
            <w:shd w:val="clear" w:fill="F8FAFC"/>
            <w:tcMar>
              <w:top w:w="80" w:type="dxa"/>
              <w:left w:w="120" w:type="dxa"/>
              <w:bottom w:w="80" w:type="dxa"/>
              <w:right w:w="120" w:type="dxa"/>
            </w:tcMar>
          </w:tcPr>
          <w:p w14:paraId="7BC3D0A8" wp14:textId="77777777">
            <w:r>
              <w:rPr>
                <w:rFonts w:ascii="Arial" w:hAnsi="Arial" w:eastAsia="Arial" w:cs="Arial"/>
                <w:sz w:val="20"/>
                <w:szCs w:val="20"/>
              </w:rPr>
              <w:t xml:space="preserve">Late financial reporting</w:t>
            </w:r>
          </w:p>
        </w:tc>
        <w:tc>
          <w:tcPr>
            <w:tcW w:w="3430" w:type="dxa"/>
            <w:tcBorders>
              <w:top w:val="single" w:color="CCCCCC" w:sz="1"/>
              <w:left w:val="single" w:color="CCCCCC" w:sz="1"/>
              <w:bottom w:val="single" w:color="CCCCCC" w:sz="1"/>
              <w:right w:val="single" w:color="CCCCCC" w:sz="1"/>
            </w:tcBorders>
            <w:shd w:val="clear" w:fill="F8FAFC"/>
            <w:tcMar>
              <w:top w:w="80" w:type="dxa"/>
              <w:left w:w="120" w:type="dxa"/>
              <w:bottom w:w="80" w:type="dxa"/>
              <w:right w:w="120" w:type="dxa"/>
            </w:tcMar>
          </w:tcPr>
          <w:p w14:paraId="725170D7" wp14:textId="77777777">
            <w:r>
              <w:rPr>
                <w:rFonts w:ascii="Arial" w:hAnsi="Arial" w:eastAsia="Arial" w:cs="Arial"/>
                <w:sz w:val="20"/>
                <w:szCs w:val="20"/>
              </w:rPr>
              <w:t xml:space="preserve">State financial statements late every year since FY 2017–18 (Auditor 2025-601)</w:t>
            </w:r>
          </w:p>
        </w:tc>
        <w:tc>
          <w:tcPr>
            <w:tcW w:w="3430" w:type="dxa"/>
            <w:tcBorders>
              <w:top w:val="single" w:color="CCCCCC" w:sz="1"/>
              <w:left w:val="single" w:color="CCCCCC" w:sz="1"/>
              <w:bottom w:val="single" w:color="CCCCCC" w:sz="1"/>
              <w:right w:val="single" w:color="CCCCCC" w:sz="1"/>
            </w:tcBorders>
            <w:shd w:val="clear" w:fill="F8FAFC"/>
            <w:tcMar>
              <w:top w:w="80" w:type="dxa"/>
              <w:left w:w="120" w:type="dxa"/>
              <w:bottom w:w="80" w:type="dxa"/>
              <w:right w:w="120" w:type="dxa"/>
            </w:tcMar>
          </w:tcPr>
          <w:p w14:paraId="3ADE8FC2" wp14:textId="77777777">
            <w:r>
              <w:rPr>
                <w:rFonts w:ascii="Arial" w:hAnsi="Arial" w:eastAsia="Arial" w:cs="Arial"/>
                <w:sz w:val="20"/>
                <w:szCs w:val="20"/>
              </w:rPr>
              <w:t xml:space="preserve">One-click report generation with pre-populated citations, evidence chains, and legislative formatting</w:t>
            </w:r>
          </w:p>
        </w:tc>
      </w:tr>
      <w:tr xmlns:wp14="http://schemas.microsoft.com/office/word/2010/wordml" w14:paraId="69D897A3" wp14:textId="77777777">
        <w:tc>
          <w:tcPr>
            <w:tcW w:w="25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FCC22F5" wp14:textId="77777777">
            <w:r>
              <w:rPr>
                <w:rFonts w:ascii="Arial" w:hAnsi="Arial" w:eastAsia="Arial" w:cs="Arial"/>
                <w:sz w:val="20"/>
                <w:szCs w:val="20"/>
              </w:rPr>
              <w:t xml:space="preserve">Manual investigation bottleneck</w:t>
            </w:r>
          </w:p>
        </w:tc>
        <w:tc>
          <w:tcPr>
            <w:tcW w:w="343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2234342" wp14:textId="77777777">
            <w:r>
              <w:rPr>
                <w:rFonts w:ascii="Arial" w:hAnsi="Arial" w:eastAsia="Arial" w:cs="Arial"/>
                <w:sz w:val="20"/>
                <w:szCs w:val="20"/>
              </w:rPr>
              <w:t xml:space="preserve">2,636 allegations; only 72 fully investigated (Auditor I2025-1)</w:t>
            </w:r>
          </w:p>
        </w:tc>
        <w:tc>
          <w:tcPr>
            <w:tcW w:w="343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E37B28E" wp14:textId="77777777">
            <w:r>
              <w:rPr>
                <w:rFonts w:ascii="Arial" w:hAnsi="Arial" w:eastAsia="Arial" w:cs="Arial"/>
                <w:sz w:val="20"/>
                <w:szCs w:val="20"/>
              </w:rPr>
              <w:t xml:space="preserve">Automated scoping and pathway identification accelerates initial case assessment from weeks to days</w:t>
            </w:r>
          </w:p>
        </w:tc>
      </w:tr>
    </w:tbl>
    <w:p xmlns:wp14="http://schemas.microsoft.com/office/word/2010/wordml" w14:paraId="049F31CB" wp14:textId="77777777">
      <w:r>
        <w:br w:type="page"/>
      </w:r>
    </w:p>
    <w:p xmlns:wp14="http://schemas.microsoft.com/office/word/2010/wordml" w14:paraId="5F5055A1" wp14:textId="77777777">
      <w:pPr>
        <w:pStyle w:val="Heading2"/>
      </w:pPr>
      <w:r>
        <w:t xml:space="preserve">3. Measurable Value Framework</w:t>
      </w:r>
    </w:p>
    <w:p xmlns:wp14="http://schemas.microsoft.com/office/word/2010/wordml" w14:paraId="6EB322F3" wp14:textId="77777777">
      <w:pPr>
        <w:spacing w:after="120"/>
      </w:pPr>
      <w:r w:rsidRPr="0F92492E" w:rsidR="0F92492E">
        <w:rPr>
          <w:rFonts w:ascii="Arial" w:hAnsi="Arial" w:eastAsia="Arial" w:cs="Arial"/>
          <w:sz w:val="22"/>
          <w:szCs w:val="22"/>
          <w:lang w:val="en-US"/>
        </w:rPr>
        <w:t>The following value estimates use conservative assumptions grounded in published data. Actual impact should be measured during the pilot phase (Month 1–3) and validated before scaling.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600"/>
        <w:gridCol w:w="2560"/>
      </w:tblGrid>
      <w:tr xmlns:wp14="http://schemas.microsoft.com/office/word/2010/wordml" w:rsidTr="0F92492E" w14:paraId="348D466C" wp14:textId="77777777">
        <w:tc>
          <w:tcPr>
            <w:tcW w:w="1600" w:type="dxa"/>
            <w:tcBorders>
              <w:top w:val="single" w:color="CCCCCC" w:sz="1"/>
              <w:left w:val="single" w:color="CCCCCC" w:sz="1"/>
              <w:bottom w:val="single" w:color="CCCCCC" w:sz="1"/>
              <w:right w:val="single" w:color="CCCCCC" w:sz="1"/>
            </w:tcBorders>
            <w:shd w:val="clear" w:color="auto" w:fill="0F1B2D"/>
            <w:tcMar>
              <w:top w:w="60" w:type="dxa"/>
              <w:left w:w="80" w:type="dxa"/>
              <w:bottom w:w="60" w:type="dxa"/>
              <w:right w:w="80" w:type="dxa"/>
            </w:tcMar>
          </w:tcPr>
          <w:p w14:paraId="50BF550C" wp14:textId="77777777">
            <w:r>
              <w:rPr>
                <w:rFonts w:ascii="Arial" w:hAnsi="Arial" w:eastAsia="Arial" w:cs="Arial"/>
                <w:b/>
                <w:bCs/>
                <w:color w:val="FFFFFF"/>
                <w:sz w:val="18"/>
                <w:szCs w:val="18"/>
              </w:rPr>
              <w:t xml:space="preserve">Value Driver</w:t>
            </w:r>
          </w:p>
        </w:tc>
        <w:tc>
          <w:tcPr>
            <w:tcW w:w="2000" w:type="dxa"/>
            <w:tcBorders>
              <w:top w:val="single" w:color="CCCCCC" w:sz="1"/>
              <w:left w:val="single" w:color="CCCCCC" w:sz="1"/>
              <w:bottom w:val="single" w:color="CCCCCC" w:sz="1"/>
              <w:right w:val="single" w:color="CCCCCC" w:sz="1"/>
            </w:tcBorders>
            <w:shd w:val="clear" w:color="auto" w:fill="0F1B2D"/>
            <w:tcMar>
              <w:top w:w="60" w:type="dxa"/>
              <w:left w:w="80" w:type="dxa"/>
              <w:bottom w:w="60" w:type="dxa"/>
              <w:right w:w="80" w:type="dxa"/>
            </w:tcMar>
          </w:tcPr>
          <w:p w14:paraId="09E653FB" wp14:textId="77777777">
            <w:r>
              <w:rPr>
                <w:rFonts w:ascii="Arial" w:hAnsi="Arial" w:eastAsia="Arial" w:cs="Arial"/>
                <w:b/>
                <w:bCs/>
                <w:color w:val="FFFFFF"/>
                <w:sz w:val="18"/>
                <w:szCs w:val="18"/>
              </w:rPr>
              <w:t xml:space="preserve">Assumption</w:t>
            </w:r>
          </w:p>
        </w:tc>
        <w:tc>
          <w:tcPr>
            <w:tcW w:w="1600" w:type="dxa"/>
            <w:tcBorders>
              <w:top w:val="single" w:color="CCCCCC" w:sz="1"/>
              <w:left w:val="single" w:color="CCCCCC" w:sz="1"/>
              <w:bottom w:val="single" w:color="CCCCCC" w:sz="1"/>
              <w:right w:val="single" w:color="CCCCCC" w:sz="1"/>
            </w:tcBorders>
            <w:shd w:val="clear" w:color="auto" w:fill="0F1B2D"/>
            <w:tcMar>
              <w:top w:w="60" w:type="dxa"/>
              <w:left w:w="80" w:type="dxa"/>
              <w:bottom w:w="60" w:type="dxa"/>
              <w:right w:w="80" w:type="dxa"/>
            </w:tcMar>
          </w:tcPr>
          <w:p w14:paraId="12559B8B" wp14:textId="77777777">
            <w:r>
              <w:rPr>
                <w:rFonts w:ascii="Arial" w:hAnsi="Arial" w:eastAsia="Arial" w:cs="Arial"/>
                <w:b/>
                <w:bCs/>
                <w:color w:val="FFFFFF"/>
                <w:sz w:val="18"/>
                <w:szCs w:val="18"/>
              </w:rPr>
              <w:t xml:space="preserve">Estimated Range</w:t>
            </w:r>
          </w:p>
        </w:tc>
        <w:tc>
          <w:tcPr>
            <w:tcW w:w="1600" w:type="dxa"/>
            <w:tcBorders>
              <w:top w:val="single" w:color="CCCCCC" w:sz="1"/>
              <w:left w:val="single" w:color="CCCCCC" w:sz="1"/>
              <w:bottom w:val="single" w:color="CCCCCC" w:sz="1"/>
              <w:right w:val="single" w:color="CCCCCC" w:sz="1"/>
            </w:tcBorders>
            <w:shd w:val="clear" w:color="auto" w:fill="0F1B2D"/>
            <w:tcMar>
              <w:top w:w="60" w:type="dxa"/>
              <w:left w:w="80" w:type="dxa"/>
              <w:bottom w:w="60" w:type="dxa"/>
              <w:right w:w="80" w:type="dxa"/>
            </w:tcMar>
          </w:tcPr>
          <w:p w14:paraId="72E7F647" wp14:textId="77777777">
            <w:r>
              <w:rPr>
                <w:rFonts w:ascii="Arial" w:hAnsi="Arial" w:eastAsia="Arial" w:cs="Arial"/>
                <w:b/>
                <w:bCs/>
                <w:color w:val="FFFFFF"/>
                <w:sz w:val="18"/>
                <w:szCs w:val="18"/>
              </w:rPr>
              <w:t xml:space="preserve">How to Validate</w:t>
            </w:r>
          </w:p>
        </w:tc>
        <w:tc>
          <w:tcPr>
            <w:tcW w:w="2560" w:type="dxa"/>
            <w:tcBorders>
              <w:top w:val="single" w:color="CCCCCC" w:sz="1"/>
              <w:left w:val="single" w:color="CCCCCC" w:sz="1"/>
              <w:bottom w:val="single" w:color="CCCCCC" w:sz="1"/>
              <w:right w:val="single" w:color="CCCCCC" w:sz="1"/>
            </w:tcBorders>
            <w:shd w:val="clear" w:color="auto" w:fill="0F1B2D"/>
            <w:tcMar>
              <w:top w:w="60" w:type="dxa"/>
              <w:left w:w="80" w:type="dxa"/>
              <w:bottom w:w="60" w:type="dxa"/>
              <w:right w:w="80" w:type="dxa"/>
            </w:tcMar>
          </w:tcPr>
          <w:p w14:paraId="553F2FC8" wp14:textId="77777777">
            <w:r>
              <w:rPr>
                <w:rFonts w:ascii="Arial" w:hAnsi="Arial" w:eastAsia="Arial" w:cs="Arial"/>
                <w:b/>
                <w:bCs/>
                <w:color w:val="FFFFFF"/>
                <w:sz w:val="18"/>
                <w:szCs w:val="18"/>
              </w:rPr>
              <w:t xml:space="preserve">Timeline</w:t>
            </w:r>
          </w:p>
        </w:tc>
      </w:tr>
      <w:tr xmlns:wp14="http://schemas.microsoft.com/office/word/2010/wordml" w:rsidTr="0F92492E" w14:paraId="5D415FC9" wp14:textId="77777777">
        <w:tc>
          <w:tcPr>
            <w:tcW w:w="1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57851947" wp14:textId="77777777">
            <w:r>
              <w:rPr>
                <w:rFonts w:ascii="Arial" w:hAnsi="Arial" w:eastAsia="Arial" w:cs="Arial"/>
                <w:sz w:val="18"/>
                <w:szCs w:val="18"/>
              </w:rPr>
              <w:t xml:space="preserve">Audit cycle time reduction</w:t>
            </w:r>
          </w:p>
        </w:tc>
        <w:tc>
          <w:tcPr>
            <w:tcW w:w="20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3E9549B1" wp14:textId="77777777">
            <w:r>
              <w:rPr>
                <w:rFonts w:ascii="Arial" w:hAnsi="Arial" w:eastAsia="Arial" w:cs="Arial"/>
                <w:sz w:val="18"/>
                <w:szCs w:val="18"/>
              </w:rPr>
              <w:t xml:space="preserve">CASAER reduces scoping/research by 30–50% for ~110 auditors at avg $120K loaded cost</w:t>
            </w:r>
          </w:p>
        </w:tc>
        <w:tc>
          <w:tcPr>
            <w:tcW w:w="1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70B1ECF5" wp14:textId="77777777">
            <w:r>
              <w:rPr>
                <w:rFonts w:ascii="Arial" w:hAnsi="Arial" w:eastAsia="Arial" w:cs="Arial"/>
                <w:sz w:val="18"/>
                <w:szCs w:val="18"/>
              </w:rPr>
              <w:t xml:space="preserve">$1.8M–$3.3M /yr in staff-hour reallocation</w:t>
            </w:r>
          </w:p>
        </w:tc>
        <w:tc>
          <w:tcPr>
            <w:tcW w:w="1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4D6F543C" wp14:textId="77777777">
            <w:r>
              <w:rPr>
                <w:rFonts w:ascii="Arial" w:hAnsi="Arial" w:eastAsia="Arial" w:cs="Arial"/>
                <w:sz w:val="18"/>
                <w:szCs w:val="18"/>
              </w:rPr>
              <w:t xml:space="preserve">Track hours per audit phase during pilot vs. historical baseline</w:t>
            </w:r>
          </w:p>
        </w:tc>
        <w:tc>
          <w:tcPr>
            <w:tcW w:w="2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486E4960" wp14:textId="77777777">
            <w:r>
              <w:rPr>
                <w:rFonts w:ascii="Arial" w:hAnsi="Arial" w:eastAsia="Arial" w:cs="Arial"/>
                <w:sz w:val="18"/>
                <w:szCs w:val="18"/>
              </w:rPr>
              <w:t xml:space="preserve">Pilot Month 1–3</w:t>
            </w:r>
          </w:p>
        </w:tc>
      </w:tr>
      <w:tr xmlns:wp14="http://schemas.microsoft.com/office/word/2010/wordml" w:rsidTr="0F92492E" w14:paraId="2BF3C7CA" wp14:textId="77777777">
        <w:tc>
          <w:tcPr>
            <w:tcW w:w="1600" w:type="dxa"/>
            <w:tcBorders>
              <w:top w:val="single" w:color="CCCCCC" w:sz="1"/>
              <w:left w:val="single" w:color="CCCCCC" w:sz="1"/>
              <w:bottom w:val="single" w:color="CCCCCC" w:sz="1"/>
              <w:right w:val="single" w:color="CCCCCC" w:sz="1"/>
            </w:tcBorders>
            <w:shd w:val="clear" w:color="auto" w:fill="F8FAFC"/>
            <w:tcMar>
              <w:top w:w="60" w:type="dxa"/>
              <w:left w:w="80" w:type="dxa"/>
              <w:bottom w:w="60" w:type="dxa"/>
              <w:right w:w="80" w:type="dxa"/>
            </w:tcMar>
          </w:tcPr>
          <w:p w14:paraId="00D3C970" wp14:textId="77777777">
            <w:r>
              <w:rPr>
                <w:rFonts w:ascii="Arial" w:hAnsi="Arial" w:eastAsia="Arial" w:cs="Arial"/>
                <w:sz w:val="18"/>
                <w:szCs w:val="18"/>
              </w:rPr>
              <w:t xml:space="preserve">Faster fraud detection</w:t>
            </w:r>
          </w:p>
        </w:tc>
        <w:tc>
          <w:tcPr>
            <w:tcW w:w="2000" w:type="dxa"/>
            <w:tcBorders>
              <w:top w:val="single" w:color="CCCCCC" w:sz="1"/>
              <w:left w:val="single" w:color="CCCCCC" w:sz="1"/>
              <w:bottom w:val="single" w:color="CCCCCC" w:sz="1"/>
              <w:right w:val="single" w:color="CCCCCC" w:sz="1"/>
            </w:tcBorders>
            <w:shd w:val="clear" w:color="auto" w:fill="F8FAFC"/>
            <w:tcMar>
              <w:top w:w="60" w:type="dxa"/>
              <w:left w:w="80" w:type="dxa"/>
              <w:bottom w:w="60" w:type="dxa"/>
              <w:right w:w="80" w:type="dxa"/>
            </w:tcMar>
          </w:tcPr>
          <w:p w14:paraId="57B8B771" wp14:textId="77777777">
            <w:r w:rsidRPr="0F92492E" w:rsidR="0F92492E">
              <w:rPr>
                <w:rFonts w:ascii="Arial" w:hAnsi="Arial" w:eastAsia="Arial" w:cs="Arial"/>
                <w:sz w:val="18"/>
                <w:szCs w:val="18"/>
                <w:lang w:val="en-US"/>
              </w:rPr>
              <w:t>Statistical tools shorten detection by 2 months (from 12-month avg), at $9,900/mo avg loss per case</w:t>
            </w:r>
          </w:p>
        </w:tc>
        <w:tc>
          <w:tcPr>
            <w:tcW w:w="1600" w:type="dxa"/>
            <w:tcBorders>
              <w:top w:val="single" w:color="CCCCCC" w:sz="1"/>
              <w:left w:val="single" w:color="CCCCCC" w:sz="1"/>
              <w:bottom w:val="single" w:color="CCCCCC" w:sz="1"/>
              <w:right w:val="single" w:color="CCCCCC" w:sz="1"/>
            </w:tcBorders>
            <w:shd w:val="clear" w:color="auto" w:fill="F8FAFC"/>
            <w:tcMar>
              <w:top w:w="60" w:type="dxa"/>
              <w:left w:w="80" w:type="dxa"/>
              <w:bottom w:w="60" w:type="dxa"/>
              <w:right w:w="80" w:type="dxa"/>
            </w:tcMar>
          </w:tcPr>
          <w:p w14:paraId="7581A8D1" wp14:textId="77777777">
            <w:r>
              <w:rPr>
                <w:rFonts w:ascii="Arial" w:hAnsi="Arial" w:eastAsia="Arial" w:cs="Arial"/>
                <w:sz w:val="18"/>
                <w:szCs w:val="18"/>
              </w:rPr>
              <w:t xml:space="preserve">$19,800 saved per case detected earlier</w:t>
            </w:r>
          </w:p>
        </w:tc>
        <w:tc>
          <w:tcPr>
            <w:tcW w:w="1600" w:type="dxa"/>
            <w:tcBorders>
              <w:top w:val="single" w:color="CCCCCC" w:sz="1"/>
              <w:left w:val="single" w:color="CCCCCC" w:sz="1"/>
              <w:bottom w:val="single" w:color="CCCCCC" w:sz="1"/>
              <w:right w:val="single" w:color="CCCCCC" w:sz="1"/>
            </w:tcBorders>
            <w:shd w:val="clear" w:color="auto" w:fill="F8FAFC"/>
            <w:tcMar>
              <w:top w:w="60" w:type="dxa"/>
              <w:left w:w="80" w:type="dxa"/>
              <w:bottom w:w="60" w:type="dxa"/>
              <w:right w:w="80" w:type="dxa"/>
            </w:tcMar>
          </w:tcPr>
          <w:p w14:paraId="31D7E757" wp14:textId="77777777">
            <w:r>
              <w:rPr>
                <w:rFonts w:ascii="Arial" w:hAnsi="Arial" w:eastAsia="Arial" w:cs="Arial"/>
                <w:sz w:val="18"/>
                <w:szCs w:val="18"/>
              </w:rPr>
              <w:t xml:space="preserve">Compare detection timeline for CASAER-assisted vs. non-assisted audits</w:t>
            </w:r>
          </w:p>
        </w:tc>
        <w:tc>
          <w:tcPr>
            <w:tcW w:w="2560" w:type="dxa"/>
            <w:tcBorders>
              <w:top w:val="single" w:color="CCCCCC" w:sz="1"/>
              <w:left w:val="single" w:color="CCCCCC" w:sz="1"/>
              <w:bottom w:val="single" w:color="CCCCCC" w:sz="1"/>
              <w:right w:val="single" w:color="CCCCCC" w:sz="1"/>
            </w:tcBorders>
            <w:shd w:val="clear" w:color="auto" w:fill="F8FAFC"/>
            <w:tcMar>
              <w:top w:w="60" w:type="dxa"/>
              <w:left w:w="80" w:type="dxa"/>
              <w:bottom w:w="60" w:type="dxa"/>
              <w:right w:w="80" w:type="dxa"/>
            </w:tcMar>
          </w:tcPr>
          <w:p w14:paraId="358352B4" wp14:textId="77777777">
            <w:r>
              <w:rPr>
                <w:rFonts w:ascii="Arial" w:hAnsi="Arial" w:eastAsia="Arial" w:cs="Arial"/>
                <w:sz w:val="18"/>
                <w:szCs w:val="18"/>
              </w:rPr>
              <w:t xml:space="preserve">Pilot Month 1–3</w:t>
            </w:r>
          </w:p>
        </w:tc>
      </w:tr>
      <w:tr xmlns:wp14="http://schemas.microsoft.com/office/word/2010/wordml" w:rsidTr="0F92492E" w14:paraId="5B2F37C2" wp14:textId="77777777">
        <w:tc>
          <w:tcPr>
            <w:tcW w:w="1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70699E6B" wp14:textId="77777777">
            <w:r>
              <w:rPr>
                <w:rFonts w:ascii="Arial" w:hAnsi="Arial" w:eastAsia="Arial" w:cs="Arial"/>
                <w:sz w:val="18"/>
                <w:szCs w:val="18"/>
              </w:rPr>
              <w:t xml:space="preserve">Report consistency</w:t>
            </w:r>
          </w:p>
        </w:tc>
        <w:tc>
          <w:tcPr>
            <w:tcW w:w="20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35296DD9" wp14:textId="77777777">
            <w:r>
              <w:rPr>
                <w:rFonts w:ascii="Arial" w:hAnsi="Arial" w:eastAsia="Arial" w:cs="Arial"/>
                <w:sz w:val="18"/>
                <w:szCs w:val="18"/>
              </w:rPr>
              <w:t xml:space="preserve">Reduced rework and late submissions; CA financial statements late every year since FY 2017–18</w:t>
            </w:r>
          </w:p>
        </w:tc>
        <w:tc>
          <w:tcPr>
            <w:tcW w:w="1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58A34B8A" wp14:textId="77777777">
            <w:r>
              <w:rPr>
                <w:rFonts w:ascii="Arial" w:hAnsi="Arial" w:eastAsia="Arial" w:cs="Arial"/>
                <w:sz w:val="18"/>
                <w:szCs w:val="18"/>
              </w:rPr>
              <w:t xml:space="preserve">Qualitative until measured; reduces credit rating risk</w:t>
            </w:r>
          </w:p>
        </w:tc>
        <w:tc>
          <w:tcPr>
            <w:tcW w:w="1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53E54BFC" wp14:textId="77777777">
            <w:r>
              <w:rPr>
                <w:rFonts w:ascii="Arial" w:hAnsi="Arial" w:eastAsia="Arial" w:cs="Arial"/>
                <w:sz w:val="18"/>
                <w:szCs w:val="18"/>
              </w:rPr>
              <w:t xml:space="preserve">Measure report completion time and revision cycles</w:t>
            </w:r>
          </w:p>
        </w:tc>
        <w:tc>
          <w:tcPr>
            <w:tcW w:w="2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7D359A1B" wp14:textId="77777777">
            <w:r>
              <w:rPr>
                <w:rFonts w:ascii="Arial" w:hAnsi="Arial" w:eastAsia="Arial" w:cs="Arial"/>
                <w:sz w:val="18"/>
                <w:szCs w:val="18"/>
              </w:rPr>
              <w:t xml:space="preserve">Quarter 2</w:t>
            </w:r>
          </w:p>
        </w:tc>
      </w:tr>
      <w:tr xmlns:wp14="http://schemas.microsoft.com/office/word/2010/wordml" w:rsidTr="0F92492E" w14:paraId="66FBFE99" wp14:textId="77777777">
        <w:tc>
          <w:tcPr>
            <w:tcW w:w="1600" w:type="dxa"/>
            <w:tcBorders>
              <w:top w:val="single" w:color="CCCCCC" w:sz="1"/>
              <w:left w:val="single" w:color="CCCCCC" w:sz="1"/>
              <w:bottom w:val="single" w:color="CCCCCC" w:sz="1"/>
              <w:right w:val="single" w:color="CCCCCC" w:sz="1"/>
            </w:tcBorders>
            <w:shd w:val="clear" w:color="auto" w:fill="F8FAFC"/>
            <w:tcMar>
              <w:top w:w="60" w:type="dxa"/>
              <w:left w:w="80" w:type="dxa"/>
              <w:bottom w:w="60" w:type="dxa"/>
              <w:right w:w="80" w:type="dxa"/>
            </w:tcMar>
          </w:tcPr>
          <w:p w14:paraId="48EBADBD" wp14:textId="77777777">
            <w:r>
              <w:rPr>
                <w:rFonts w:ascii="Arial" w:hAnsi="Arial" w:eastAsia="Arial" w:cs="Arial"/>
                <w:sz w:val="18"/>
                <w:szCs w:val="18"/>
              </w:rPr>
              <w:t xml:space="preserve">New auditor ramp-up</w:t>
            </w:r>
          </w:p>
        </w:tc>
        <w:tc>
          <w:tcPr>
            <w:tcW w:w="2000" w:type="dxa"/>
            <w:tcBorders>
              <w:top w:val="single" w:color="CCCCCC" w:sz="1"/>
              <w:left w:val="single" w:color="CCCCCC" w:sz="1"/>
              <w:bottom w:val="single" w:color="CCCCCC" w:sz="1"/>
              <w:right w:val="single" w:color="CCCCCC" w:sz="1"/>
            </w:tcBorders>
            <w:shd w:val="clear" w:color="auto" w:fill="F8FAFC"/>
            <w:tcMar>
              <w:top w:w="60" w:type="dxa"/>
              <w:left w:w="80" w:type="dxa"/>
              <w:bottom w:w="60" w:type="dxa"/>
              <w:right w:w="80" w:type="dxa"/>
            </w:tcMar>
          </w:tcPr>
          <w:p w14:paraId="63E06286" wp14:textId="77777777">
            <w:r w:rsidRPr="0F92492E" w:rsidR="0F92492E">
              <w:rPr>
                <w:rFonts w:ascii="Arial" w:hAnsi="Arial" w:eastAsia="Arial" w:cs="Arial"/>
                <w:sz w:val="18"/>
                <w:szCs w:val="18"/>
                <w:lang w:val="en-US"/>
              </w:rPr>
              <w:t>Reducing onboarding from ~6 months to ~6 weeks for 20% annual turnover (~22 positions)</w:t>
            </w:r>
          </w:p>
        </w:tc>
        <w:tc>
          <w:tcPr>
            <w:tcW w:w="1600" w:type="dxa"/>
            <w:tcBorders>
              <w:top w:val="single" w:color="CCCCCC" w:sz="1"/>
              <w:left w:val="single" w:color="CCCCCC" w:sz="1"/>
              <w:bottom w:val="single" w:color="CCCCCC" w:sz="1"/>
              <w:right w:val="single" w:color="CCCCCC" w:sz="1"/>
            </w:tcBorders>
            <w:shd w:val="clear" w:color="auto" w:fill="F8FAFC"/>
            <w:tcMar>
              <w:top w:w="60" w:type="dxa"/>
              <w:left w:w="80" w:type="dxa"/>
              <w:bottom w:w="60" w:type="dxa"/>
              <w:right w:w="80" w:type="dxa"/>
            </w:tcMar>
          </w:tcPr>
          <w:p w14:paraId="61D8E85E" wp14:textId="77777777">
            <w:r>
              <w:rPr>
                <w:rFonts w:ascii="Arial" w:hAnsi="Arial" w:eastAsia="Arial" w:cs="Arial"/>
                <w:sz w:val="18"/>
                <w:szCs w:val="18"/>
              </w:rPr>
              <w:t xml:space="preserve">~$440K /yr in accelerated productivity</w:t>
            </w:r>
          </w:p>
        </w:tc>
        <w:tc>
          <w:tcPr>
            <w:tcW w:w="1600" w:type="dxa"/>
            <w:tcBorders>
              <w:top w:val="single" w:color="CCCCCC" w:sz="1"/>
              <w:left w:val="single" w:color="CCCCCC" w:sz="1"/>
              <w:bottom w:val="single" w:color="CCCCCC" w:sz="1"/>
              <w:right w:val="single" w:color="CCCCCC" w:sz="1"/>
            </w:tcBorders>
            <w:shd w:val="clear" w:color="auto" w:fill="F8FAFC"/>
            <w:tcMar>
              <w:top w:w="60" w:type="dxa"/>
              <w:left w:w="80" w:type="dxa"/>
              <w:bottom w:w="60" w:type="dxa"/>
              <w:right w:w="80" w:type="dxa"/>
            </w:tcMar>
          </w:tcPr>
          <w:p w14:paraId="39D00FDE" wp14:textId="77777777">
            <w:r>
              <w:rPr>
                <w:rFonts w:ascii="Arial" w:hAnsi="Arial" w:eastAsia="Arial" w:cs="Arial"/>
                <w:sz w:val="18"/>
                <w:szCs w:val="18"/>
              </w:rPr>
              <w:t xml:space="preserve">Survey new hire time-to-first-independent-audit</w:t>
            </w:r>
          </w:p>
        </w:tc>
        <w:tc>
          <w:tcPr>
            <w:tcW w:w="2560" w:type="dxa"/>
            <w:tcBorders>
              <w:top w:val="single" w:color="CCCCCC" w:sz="1"/>
              <w:left w:val="single" w:color="CCCCCC" w:sz="1"/>
              <w:bottom w:val="single" w:color="CCCCCC" w:sz="1"/>
              <w:right w:val="single" w:color="CCCCCC" w:sz="1"/>
            </w:tcBorders>
            <w:shd w:val="clear" w:color="auto" w:fill="F8FAFC"/>
            <w:tcMar>
              <w:top w:w="60" w:type="dxa"/>
              <w:left w:w="80" w:type="dxa"/>
              <w:bottom w:w="60" w:type="dxa"/>
              <w:right w:w="80" w:type="dxa"/>
            </w:tcMar>
          </w:tcPr>
          <w:p w14:paraId="6B101A20" wp14:textId="77777777">
            <w:r>
              <w:rPr>
                <w:rFonts w:ascii="Arial" w:hAnsi="Arial" w:eastAsia="Arial" w:cs="Arial"/>
                <w:sz w:val="18"/>
                <w:szCs w:val="18"/>
              </w:rPr>
              <w:t xml:space="preserve">Year 1</w:t>
            </w:r>
          </w:p>
        </w:tc>
      </w:tr>
      <w:tr xmlns:wp14="http://schemas.microsoft.com/office/word/2010/wordml" w:rsidTr="0F92492E" w14:paraId="0068828E" wp14:textId="77777777">
        <w:tc>
          <w:tcPr>
            <w:tcW w:w="1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43475B32" wp14:textId="77777777">
            <w:r>
              <w:rPr>
                <w:rFonts w:ascii="Arial" w:hAnsi="Arial" w:eastAsia="Arial" w:cs="Arial"/>
                <w:sz w:val="18"/>
                <w:szCs w:val="18"/>
              </w:rPr>
              <w:t xml:space="preserve">Investigation throughput</w:t>
            </w:r>
          </w:p>
        </w:tc>
        <w:tc>
          <w:tcPr>
            <w:tcW w:w="20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06E0A21F" wp14:textId="77777777">
            <w:r>
              <w:rPr>
                <w:rFonts w:ascii="Arial" w:hAnsi="Arial" w:eastAsia="Arial" w:cs="Arial"/>
                <w:sz w:val="18"/>
                <w:szCs w:val="18"/>
              </w:rPr>
              <w:t xml:space="preserve">Currently 72 of 2,636 cases fully investigated (2.7%); faster scoping increases throughput</w:t>
            </w:r>
          </w:p>
        </w:tc>
        <w:tc>
          <w:tcPr>
            <w:tcW w:w="1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42B45262" wp14:textId="77777777">
            <w:r w:rsidRPr="0F92492E" w:rsidR="0F92492E">
              <w:rPr>
                <w:rFonts w:ascii="Arial" w:hAnsi="Arial" w:eastAsia="Arial" w:cs="Arial"/>
                <w:sz w:val="18"/>
                <w:szCs w:val="18"/>
                <w:lang w:val="en-US"/>
              </w:rPr>
              <w:t>Each additional investigation is a potential waste recovery</w:t>
            </w:r>
          </w:p>
        </w:tc>
        <w:tc>
          <w:tcPr>
            <w:tcW w:w="160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1857E861" wp14:textId="77777777">
            <w:r>
              <w:rPr>
                <w:rFonts w:ascii="Arial" w:hAnsi="Arial" w:eastAsia="Arial" w:cs="Arial"/>
                <w:sz w:val="18"/>
                <w:szCs w:val="18"/>
              </w:rPr>
              <w:t xml:space="preserve">Track cases scoped per auditor per quarter</w:t>
            </w:r>
          </w:p>
        </w:tc>
        <w:tc>
          <w:tcPr>
            <w:tcW w:w="2560" w:type="dxa"/>
            <w:tcBorders>
              <w:top w:val="single" w:color="CCCCCC" w:sz="1"/>
              <w:left w:val="single" w:color="CCCCCC" w:sz="1"/>
              <w:bottom w:val="single" w:color="CCCCCC" w:sz="1"/>
              <w:right w:val="single" w:color="CCCCCC" w:sz="1"/>
            </w:tcBorders>
            <w:shd w:val="clear" w:color="auto" w:fill="FFFFFF"/>
            <w:tcMar>
              <w:top w:w="60" w:type="dxa"/>
              <w:left w:w="80" w:type="dxa"/>
              <w:bottom w:w="60" w:type="dxa"/>
              <w:right w:w="80" w:type="dxa"/>
            </w:tcMar>
          </w:tcPr>
          <w:p w14:paraId="09ED440B" wp14:textId="77777777">
            <w:r>
              <w:rPr>
                <w:rFonts w:ascii="Arial" w:hAnsi="Arial" w:eastAsia="Arial" w:cs="Arial"/>
                <w:sz w:val="18"/>
                <w:szCs w:val="18"/>
              </w:rPr>
              <w:t xml:space="preserve">Pilot Month 1–3</w:t>
            </w:r>
          </w:p>
        </w:tc>
      </w:tr>
    </w:tbl>
    <w:p xmlns:wp14="http://schemas.microsoft.com/office/word/2010/wordml" w14:paraId="53128261" wp14:textId="77777777">
      <w:pPr>
        <w:spacing w:after="1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F92492E" w14:paraId="4CA54224" wp14:textId="77777777">
        <w:tc>
          <w:tcPr>
            <w:tcW w:w="9360" w:type="dxa"/>
            <w:tcBorders>
              <w:top w:val="single" w:color="0F766E" w:sz="3"/>
              <w:left w:val="single" w:color="0F766E" w:sz="3"/>
              <w:bottom w:val="single" w:color="0F766E" w:sz="3"/>
              <w:right w:val="single" w:color="0F766E" w:sz="3"/>
            </w:tcBorders>
            <w:shd w:val="clear" w:color="auto" w:fill="E6F4F3"/>
            <w:tcMar>
              <w:top w:w="120" w:type="dxa"/>
              <w:left w:w="200" w:type="dxa"/>
              <w:bottom w:w="120" w:type="dxa"/>
              <w:right w:w="200" w:type="dxa"/>
            </w:tcMar>
          </w:tcPr>
          <w:p w14:paraId="1C3E4B03" wp14:textId="77777777">
            <w:pPr>
              <w:spacing w:after="80"/>
            </w:pPr>
            <w:r>
              <w:rPr>
                <w:rFonts w:ascii="Arial" w:hAnsi="Arial" w:eastAsia="Arial" w:cs="Arial"/>
                <w:b/>
                <w:bCs/>
                <w:color w:val="0F766E"/>
                <w:sz w:val="24"/>
                <w:szCs w:val="24"/>
              </w:rPr>
              <w:t xml:space="preserve">Conservative Estimated Annual Value:</w:t>
            </w:r>
          </w:p>
          <w:p w14:paraId="2A6AAD14" wp14:textId="77777777">
            <w:r w:rsidRPr="0F92492E" w:rsidR="0F92492E">
              <w:rPr>
                <w:rFonts w:ascii="Arial" w:hAnsi="Arial" w:eastAsia="Arial" w:cs="Arial"/>
                <w:sz w:val="22"/>
                <w:szCs w:val="22"/>
                <w:lang w:val="en-US"/>
              </w:rPr>
              <w:t>$2.2M–$3.7M+ in quantifiable staff-hour reallocation and accelerated productivity, before accounting for additional fraud and waste detection. These estimates are assumptions to be validated during pilot, not guaranteed outcomes.</w:t>
            </w:r>
          </w:p>
        </w:tc>
      </w:tr>
    </w:tbl>
    <w:p xmlns:wp14="http://schemas.microsoft.com/office/word/2010/wordml" w14:paraId="62486C05" wp14:textId="77777777">
      <w:r>
        <w:br w:type="page"/>
      </w:r>
    </w:p>
    <w:p xmlns:wp14="http://schemas.microsoft.com/office/word/2010/wordml" w14:paraId="65E602AF" wp14:textId="77777777">
      <w:pPr>
        <w:pStyle w:val="Heading2"/>
      </w:pPr>
      <w:r>
        <w:t xml:space="preserve">4. Source Documents</w:t>
      </w:r>
    </w:p>
    <w:p xmlns:wp14="http://schemas.microsoft.com/office/word/2010/wordml" w14:paraId="32849D5F" wp14:textId="77777777">
      <w:pPr>
        <w:spacing w:after="100"/>
      </w:pPr>
      <w:r>
        <w:rPr>
          <w:rFonts w:ascii="Arial" w:hAnsi="Arial" w:eastAsia="Arial" w:cs="Arial"/>
          <w:b/>
          <w:bCs/>
          <w:sz w:val="20"/>
          <w:szCs w:val="20"/>
        </w:rPr>
        <w:t xml:space="preserve">[1] </w:t>
      </w:r>
      <w:r>
        <w:rPr>
          <w:rFonts w:ascii="Arial" w:hAnsi="Arial" w:eastAsia="Arial" w:cs="Arial"/>
          <w:sz w:val="20"/>
          <w:szCs w:val="20"/>
        </w:rPr>
        <w:t xml:space="preserve">CA State Auditor, Report 2025-601: State High-Risk Audit Program (December 2025) — auditor.ca.gov/reports/2025-601</w:t>
      </w:r>
    </w:p>
    <w:p xmlns:wp14="http://schemas.microsoft.com/office/word/2010/wordml" w14:paraId="3B8826BF" wp14:textId="77777777">
      <w:pPr>
        <w:spacing w:after="100"/>
      </w:pPr>
      <w:r>
        <w:rPr>
          <w:rFonts w:ascii="Arial" w:hAnsi="Arial" w:eastAsia="Arial" w:cs="Arial"/>
          <w:b/>
          <w:bCs/>
          <w:sz w:val="20"/>
          <w:szCs w:val="20"/>
        </w:rPr>
        <w:t xml:space="preserve">[2] </w:t>
      </w:r>
      <w:r>
        <w:rPr>
          <w:rFonts w:ascii="Arial" w:hAnsi="Arial" w:eastAsia="Arial" w:cs="Arial"/>
          <w:sz w:val="20"/>
          <w:szCs w:val="20"/>
        </w:rPr>
        <w:t xml:space="preserve">CA State Auditor, Report I2025-1: Investigations of Improper Activities by State Agencies (December 2025) — auditor.ca.gov/reports/i2025-1</w:t>
      </w:r>
    </w:p>
    <w:p xmlns:wp14="http://schemas.microsoft.com/office/word/2010/wordml" w14:paraId="5D409F20" wp14:textId="77777777">
      <w:pPr>
        <w:spacing w:after="100"/>
      </w:pPr>
      <w:r>
        <w:rPr>
          <w:rFonts w:ascii="Arial" w:hAnsi="Arial" w:eastAsia="Arial" w:cs="Arial"/>
          <w:b/>
          <w:bCs/>
          <w:sz w:val="20"/>
          <w:szCs w:val="20"/>
        </w:rPr>
        <w:t xml:space="preserve">[3] </w:t>
      </w:r>
      <w:r>
        <w:rPr>
          <w:rFonts w:ascii="Arial" w:hAnsi="Arial" w:eastAsia="Arial" w:cs="Arial"/>
          <w:sz w:val="20"/>
          <w:szCs w:val="20"/>
        </w:rPr>
        <w:t xml:space="preserve">CA State Auditor, Report 2020-628.2: EDD Fraud Prevention (January 2021) — auditor.ca.gov/reports/2020-628.2</w:t>
      </w:r>
    </w:p>
    <w:p xmlns:wp14="http://schemas.microsoft.com/office/word/2010/wordml" w14:paraId="1D1955D6" wp14:textId="77777777">
      <w:pPr>
        <w:spacing w:after="100"/>
      </w:pPr>
      <w:r>
        <w:rPr>
          <w:rFonts w:ascii="Arial" w:hAnsi="Arial" w:eastAsia="Arial" w:cs="Arial"/>
          <w:b/>
          <w:bCs/>
          <w:sz w:val="20"/>
          <w:szCs w:val="20"/>
        </w:rPr>
        <w:t xml:space="preserve">[4] </w:t>
      </w:r>
      <w:r>
        <w:rPr>
          <w:rFonts w:ascii="Arial" w:hAnsi="Arial" w:eastAsia="Arial" w:cs="Arial"/>
          <w:sz w:val="20"/>
          <w:szCs w:val="20"/>
        </w:rPr>
        <w:t xml:space="preserve">CA State Auditor, Report 2024-001.1: State of California Financial Report FY 2023–24 (September 2025) — auditor.ca.gov/reports/2024-001-1</w:t>
      </w:r>
    </w:p>
    <w:p xmlns:wp14="http://schemas.microsoft.com/office/word/2010/wordml" w14:paraId="62C4428D" wp14:textId="77777777">
      <w:pPr>
        <w:spacing w:after="100"/>
      </w:pPr>
      <w:r>
        <w:rPr>
          <w:rFonts w:ascii="Arial" w:hAnsi="Arial" w:eastAsia="Arial" w:cs="Arial"/>
          <w:b/>
          <w:bCs/>
          <w:sz w:val="20"/>
          <w:szCs w:val="20"/>
        </w:rPr>
        <w:t xml:space="preserve">[5] </w:t>
      </w:r>
      <w:r>
        <w:rPr>
          <w:rFonts w:ascii="Arial" w:hAnsi="Arial" w:eastAsia="Arial" w:cs="Arial"/>
          <w:sz w:val="20"/>
          <w:szCs w:val="20"/>
        </w:rPr>
        <w:t xml:space="preserve">ACFE, Occupational Fraud 2024: A Report to the Nations (March 2024) — acfe.com/RTTN</w:t>
      </w:r>
    </w:p>
    <w:p xmlns:wp14="http://schemas.microsoft.com/office/word/2010/wordml" w14:paraId="7F671FBD" wp14:textId="77777777">
      <w:pPr>
        <w:spacing w:after="100"/>
      </w:pPr>
      <w:r>
        <w:rPr>
          <w:rFonts w:ascii="Arial" w:hAnsi="Arial" w:eastAsia="Arial" w:cs="Arial"/>
          <w:b/>
          <w:bCs/>
          <w:sz w:val="20"/>
          <w:szCs w:val="20"/>
        </w:rPr>
        <w:t xml:space="preserve">[6] </w:t>
      </w:r>
      <w:r>
        <w:rPr>
          <w:rFonts w:ascii="Arial" w:hAnsi="Arial" w:eastAsia="Arial" w:cs="Arial"/>
          <w:sz w:val="20"/>
          <w:szCs w:val="20"/>
        </w:rPr>
        <w:t xml:space="preserve">CA Legislative Analyst’s Office, 2024-25 Budget: State Employee Compensation (2024) — lao.ca.gov/Publications/Report/4888</w:t>
      </w:r>
    </w:p>
    <w:p xmlns:wp14="http://schemas.microsoft.com/office/word/2010/wordml" w14:paraId="63F5CDD6" wp14:textId="77777777">
      <w:pPr>
        <w:spacing w:after="100"/>
      </w:pPr>
      <w:r>
        <w:rPr>
          <w:rFonts w:ascii="Arial" w:hAnsi="Arial" w:eastAsia="Arial" w:cs="Arial"/>
          <w:b/>
          <w:bCs/>
          <w:sz w:val="20"/>
          <w:szCs w:val="20"/>
        </w:rPr>
        <w:t xml:space="preserve">[7] </w:t>
      </w:r>
      <w:r>
        <w:rPr>
          <w:rFonts w:ascii="Arial" w:hAnsi="Arial" w:eastAsia="Arial" w:cs="Arial"/>
          <w:sz w:val="20"/>
          <w:szCs w:val="20"/>
        </w:rPr>
        <w:t xml:space="preserve">U.S. Senate Finance Committee, Crapo-Cassidy letter on CA UI fraud (May 2024) — finance.senate.gov</w:t>
      </w:r>
    </w:p>
    <w:p xmlns:wp14="http://schemas.microsoft.com/office/word/2010/wordml" w14:paraId="4F4E318A" wp14:textId="77777777">
      <w:pPr>
        <w:spacing w:after="100"/>
      </w:pPr>
      <w:r w:rsidRPr="0F92492E" w:rsidR="0F92492E">
        <w:rPr>
          <w:rFonts w:ascii="Arial" w:hAnsi="Arial" w:eastAsia="Arial" w:cs="Arial"/>
          <w:b w:val="1"/>
          <w:bCs w:val="1"/>
          <w:sz w:val="20"/>
          <w:szCs w:val="20"/>
          <w:lang w:val="en-US"/>
        </w:rPr>
        <w:t xml:space="preserve">[8] </w:t>
      </w:r>
      <w:r w:rsidRPr="0F92492E" w:rsidR="0F92492E">
        <w:rPr>
          <w:rFonts w:ascii="Arial" w:hAnsi="Arial" w:eastAsia="Arial" w:cs="Arial"/>
          <w:sz w:val="20"/>
          <w:szCs w:val="20"/>
          <w:lang w:val="en-US"/>
        </w:rPr>
        <w:t>Ballotpedia, CA State Auditor FY 2024-25 Budget: $51,373,000 (Dept. 8855) — ballotpedia.org/California_State_Auditor</w:t>
      </w:r>
    </w:p>
    <w:p xmlns:wp14="http://schemas.microsoft.com/office/word/2010/wordml" w14:paraId="4101652C" wp14:textId="77777777">
      <w:pPr>
        <w:spacing w:after="400"/>
      </w:pPr>
    </w:p>
    <w:p xmlns:wp14="http://schemas.microsoft.com/office/word/2010/wordml" w14:paraId="6E6F4321" wp14:textId="77777777">
      <w:pPr>
        <w:pStyle w:val="Heading1"/>
      </w:pPr>
      <w:r>
        <w:t xml:space="preserve">WHY THIS IS BEING OFFERED</w:t>
      </w:r>
    </w:p>
    <w:p xmlns:wp14="http://schemas.microsoft.com/office/word/2010/wordml" w14:paraId="179C2417" wp14:textId="77777777">
      <w:pPr>
        <w:spacing w:after="120"/>
      </w:pPr>
      <w:r w:rsidRPr="0F92492E" w:rsidR="0F92492E">
        <w:rPr>
          <w:rFonts w:ascii="Arial" w:hAnsi="Arial" w:eastAsia="Arial" w:cs="Arial"/>
          <w:sz w:val="22"/>
          <w:szCs w:val="22"/>
          <w:lang w:val="en-US"/>
        </w:rPr>
        <w:t>CASAER is offered as a free gift from a California citizen to the people who protect California taxpayers. There is no company behind this, no contract to sign, no licensing fee, and no expectation of payment or future business. This is not a sales pitch.</w:t>
      </w:r>
    </w:p>
    <w:p xmlns:wp14="http://schemas.microsoft.com/office/word/2010/wordml" w14:paraId="67AA6B04" wp14:textId="77777777">
      <w:pPr>
        <w:spacing w:after="120"/>
      </w:pPr>
      <w:r>
        <w:rPr>
          <w:rFonts w:ascii="Arial" w:hAnsi="Arial" w:eastAsia="Arial" w:cs="Arial"/>
          <w:sz w:val="22"/>
          <w:szCs w:val="22"/>
        </w:rPr>
        <w:t xml:space="preserve">The State Auditor’s Office does critical work that directly protects every Californian. Your auditors investigate fraud, waste, and mismanagement across 132 departments with limited staff and resources. This tool was built to help them do that work faster and more consistently — nothing more.</w:t>
      </w:r>
    </w:p>
    <w:p xmlns:wp14="http://schemas.microsoft.com/office/word/2010/wordml" w14:paraId="073C375D" wp14:textId="77777777">
      <w:pPr>
        <w:spacing w:after="120"/>
      </w:pPr>
      <w:r w:rsidRPr="0F92492E" w:rsidR="0F92492E">
        <w:rPr>
          <w:rFonts w:ascii="Arial" w:hAnsi="Arial" w:eastAsia="Arial" w:cs="Arial"/>
          <w:sz w:val="22"/>
          <w:szCs w:val="22"/>
          <w:lang w:val="en-US"/>
        </w:rPr>
        <w:t>Everything in this package — the IT documentation, the offline portal, the deployment code, the enforcement pathways — is yours to use, modify, rebrand, or discard as you see fit. The State Auditor’s Office owns whatever you choose to deploy. There are no strings attached.</w:t>
      </w:r>
    </w:p>
    <w:p xmlns:wp14="http://schemas.microsoft.com/office/word/2010/wordml" w14:paraId="6D792C7A" wp14:textId="77777777">
      <w:pPr>
        <w:spacing w:after="120"/>
      </w:pPr>
      <w:r>
        <w:rPr>
          <w:rFonts w:ascii="Arial" w:hAnsi="Arial" w:eastAsia="Arial" w:cs="Arial"/>
          <w:sz w:val="22"/>
          <w:szCs w:val="22"/>
          <w:i/>
        </w:rPr>
        <w:t xml:space="preserve">A gift to those helping us, from someone who believes that the people protecting public funds deserve the best tools available.</w:t>
      </w:r>
    </w:p>
    <w:sectPr>
      <w:headerReference w:type="default" r:id="rId6"/>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0F92492E" w14:paraId="3F8031B1" wp14:textId="77777777">
    <w:pPr>
      <w:jc w:val="center"/>
      <w:rPr>
        <w:lang w:val="en-US"/>
      </w:rPr>
    </w:pPr>
    <w:r w:rsidRPr="0F92492E" w:rsidR="0F92492E">
      <w:rPr>
        <w:rFonts w:ascii="Arial" w:hAnsi="Arial" w:eastAsia="Arial" w:cs="Arial"/>
        <w:color w:val="999999"/>
        <w:sz w:val="16"/>
        <w:szCs w:val="16"/>
        <w:lang w:val="en-US"/>
      </w:rPr>
      <w:t xml:space="preserve">CASAER  |  CA State Auditor  |  Official Audit Enforcement Report  |  Page </w:t>
    </w:r>
    <w:r w:rsidRPr="0F92492E">
      <w:rPr>
        <w:rFonts w:ascii="Arial" w:hAnsi="Arial" w:eastAsia="Arial" w:cs="Arial"/>
        <w:color w:val="999999"/>
        <w:sz w:val="16"/>
        <w:szCs w:val="16"/>
        <w:lang w:val="en-US"/>
      </w:rPr>
      <w:fldChar w:fldCharType="begin"/>
    </w:r>
    <w:r w:rsidRPr="0F92492E">
      <w:rPr>
        <w:rFonts w:ascii="Arial" w:hAnsi="Arial" w:eastAsia="Arial" w:cs="Arial"/>
        <w:color w:val="999999"/>
        <w:sz w:val="16"/>
        <w:szCs w:val="16"/>
      </w:rPr>
      <w:instrText xml:space="preserve">PAGE</w:instrText>
    </w:r>
    <w:r w:rsidRPr="0F92492E">
      <w:rPr>
        <w:rFonts w:ascii="Arial" w:hAnsi="Arial" w:eastAsia="Arial" w:cs="Arial"/>
        <w:color w:val="999999"/>
        <w:sz w:val="16"/>
        <w:szCs w:val="16"/>
      </w:rPr>
      <w:fldChar w:fldCharType="separate"/>
    </w:r>
    <w:r w:rsidRPr="0F92492E">
      <w:rPr>
        <w:rFonts w:ascii="Arial" w:hAnsi="Arial" w:eastAsia="Arial" w:cs="Arial"/>
        <w:color w:val="999999"/>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2B7DD6D" wp14:textId="77777777">
    <w:pPr>
      <w:jc w:val="right"/>
    </w:pPr>
    <w:r w:rsidRPr="0F92492E" w:rsidR="0F92492E">
      <w:rPr>
        <w:rFonts w:ascii="Arial" w:hAnsi="Arial" w:eastAsia="Arial" w:cs="Arial"/>
        <w:i w:val="1"/>
        <w:iCs w:val="1"/>
        <w:color w:val="999999"/>
        <w:sz w:val="16"/>
        <w:szCs w:val="16"/>
        <w:lang w:val="en-US"/>
      </w:rPr>
      <w:t>CASAER  |  A Gift to the People of California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c4b380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ceb34c"/>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037EA2D"/>
  <w15:docId w15:val="{3BC47854-87F6-4DDE-AD08-E985A3B93342}"/>
  <w:rsids>
    <w:rsidRoot w:val="0F92492E"/>
    <w:rsid w:val="0F92492E"/>
    <w:rsid w:val="457512D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0F1B2D"/>
      <w:sz w:val="36"/>
      <w:szCs w:val="36"/>
    </w:rPr>
  </w:style>
  <w:style w:type="paragraph" w:styleId="Heading2">
    <w:name w:val="heading 20"/>
    <w:basedOn w:val="Normal"/>
    <w:next w:val="Normal"/>
    <w:qFormat/>
    <w:pPr>
      <w:spacing w:before="240" w:after="160"/>
      <w:outlineLvl w:val="1"/>
    </w:pPr>
    <w:rPr>
      <w:rFonts w:ascii="Arial" w:hAnsi="Arial" w:eastAsia="Arial" w:cs="Arial"/>
      <w:b/>
      <w:bCs/>
      <w:color w:val="0F766E"/>
      <w:sz w:val="28"/>
      <w:szCs w:val="28"/>
    </w:rPr>
  </w:style>
  <w:style w:type="paragraph" w:styleId="Heading3">
    <w:name w:val="heading 30"/>
    <w:basedOn w:val="Normal"/>
    <w:next w:val="Normal"/>
    <w:qFormat/>
    <w:pPr>
      <w:spacing w:before="200" w:after="120"/>
      <w:outlineLvl w:val="2"/>
    </w:pPr>
    <w:rPr>
      <w:rFonts w:ascii="Arial" w:hAnsi="Arial" w:eastAsia="Arial" w:cs="Arial"/>
      <w:b/>
      <w:bCs/>
      <w:color w:val="0F1B2D"/>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Julio Umanzor</lastModifiedBy>
  <revision>2</revision>
  <dcterms:created xsi:type="dcterms:W3CDTF">2026-02-12T20:45:10.4090000Z</dcterms:created>
  <dcterms:modified xsi:type="dcterms:W3CDTF">2026-06-23T22:34:24.3728064Z</dcterms:modified>
</coreProperties>
</file>

<file path=docProps/custom.xml><?xml version="1.0" encoding="utf-8"?>
<Properties xmlns="http://schemas.openxmlformats.org/officeDocument/2006/custom-properties" xmlns:vt="http://schemas.openxmlformats.org/officeDocument/2006/docPropsVTypes"/>
</file>