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JULIO UMANZOR</w:t>
      </w:r>
    </w:p>
    <w:p>
      <w:pPr>
        <w:pStyle w:val="Heading2"/>
      </w:pPr>
      <w:r>
        <w:t xml:space="preserve">FOUNDER | ZEV LOGISTICS &amp; ENERGY BANKING</w:t>
      </w:r>
    </w:p>
    <w:p>
      <w:pPr>
        <w:pStyle w:val="Contact"/>
      </w:pPr>
      <w:r>
        <w:t xml:space="preserve">Sacramento, California, United States</w:t>
      </w:r>
      <w:r>
        <w:t xml:space="preserve"> | </w:t>
      </w:r>
      <w:r>
        <w:t xml:space="preserve">2095347635</w:t>
      </w:r>
      <w:r>
        <w:t xml:space="preserve"> | </w:t>
      </w:r>
      <w:hyperlink w:history="1" r:id="rIdtylt61a55clem4rrnsd7s">
        <w:r>
          <w:rPr>
            <w:rStyle w:val="Hyperlink"/>
          </w:rPr>
          <w:t xml:space="preserve">juliomanaging@gmail.com</w:t>
        </w:r>
        <w:r>
          <w:t xml:space="preserve"> </w:t>
        </w:r>
      </w:hyperlink>
    </w:p>
    <w:p>
      <w:pPr>
        <w:pStyle w:val="AfterSectionPadding"/>
      </w:pPr>
    </w:p>
    <w:p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Architecting a 300,000-unit ZEV logistics ecosystem powered by Carbon Carry valuations and decentralized energy banking to redefine industrial hauling and grid stability </w:t>
      </w:r>
    </w:p>
    <w:p>
      <w:pPr>
        <w:pStyle w:val="AfterSectionPadding"/>
      </w:pPr>
    </w:p>
    <w:tbl>
      <w:tblPr>
        <w:tblW w:type="auto" w:w="10800"/>
        <w:tblBorders>
          <w:top w:val="single" w:color="2163ca" w:sz="1"/>
          <w:left w:val="none"/>
          <w:bottom w:val="single" w:color="2163ca" w:sz="1"/>
          <w:right w:val="none"/>
          <w:insideH w:val="none"/>
          <w:insideV w:val="none"/>
        </w:tblBorders>
        <w:tblLayout w:type="fixed"/>
      </w:tblPr>
      <w:tblGrid>
        <w:gridCol w:w="10800"/>
      </w:tblGrid>
      <w:tr>
        <w:tc>
          <w:tcPr>
            <w:tcMar>
              <w:left w:type="dxa" w:w="0"/>
            </w:tcMar>
          </w:tcPr>
          <w:p>
            <w:pPr>
              <w:pStyle w:val="Heading3"/>
            </w:pPr>
            <w:r>
              <w:t xml:space="preserve">PROFILE</w:t>
            </w:r>
          </w:p>
        </w:tc>
      </w:tr>
    </w:tbl>
    <w:p>
      <w:pPr>
        <w:pStyle w:val="AfterSectionNamePadding"/>
      </w:pPr>
    </w:p>
    <w:p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Strategic systems architect with 12+ years in financial services, specializing in the modernization of investment data through automated Python/Node.js frameworks and carbon-backed asset valuation models </w:t>
      </w:r>
    </w:p>
    <w:p>
      <w:pPr>
        <w:pStyle w:val="AfterSectionPadding"/>
      </w:pPr>
    </w:p>
    <w:tbl>
      <w:tblPr>
        <w:tblW w:type="auto" w:w="10800"/>
        <w:tblBorders>
          <w:top w:val="single" w:color="2163ca" w:sz="1"/>
          <w:left w:val="none"/>
          <w:bottom w:val="single" w:color="2163ca" w:sz="1"/>
          <w:right w:val="none"/>
          <w:insideH w:val="none"/>
          <w:insideV w:val="none"/>
        </w:tblBorders>
        <w:tblLayout w:type="fixed"/>
      </w:tblPr>
      <w:tblGrid>
        <w:gridCol w:w="10800"/>
      </w:tblGrid>
      <w:tr>
        <w:tc>
          <w:tcPr>
            <w:tcMar>
              <w:left w:type="dxa" w:w="0"/>
            </w:tcMar>
          </w:tcPr>
          <w:p>
            <w:pPr>
              <w:pStyle w:val="Heading3"/>
            </w:pPr>
            <w:r>
              <w:t xml:space="preserve">SKILLS</w:t>
            </w:r>
          </w:p>
        </w:tc>
      </w:tr>
    </w:tbl>
    <w:p>
      <w:pPr>
        <w:pStyle w:val="AfterSectionNamePadding"/>
      </w:pPr>
    </w:p>
    <w:tbl>
      <w:tblPr>
        <w:tblW w:type="auto" w:w="10800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2700"/>
        <w:gridCol w:w="2700"/>
        <w:gridCol w:w="2700"/>
      </w:tblGrid>
      <w:tr>
        <w:tc>
          <w:p>
            <w:pPr>
              <w:pStyle w:val="Normal"/>
            </w:pPr>
            <w:r>
              <w:t xml:space="preserve">Systems Engineering &amp; AI: Python, Node.js, PostgreSQL, AI Agent Development, Financial Automation Scripting.</w:t>
            </w:r>
          </w:p>
        </w:tc>
        <w:tc>
          <w:p>
            <w:pPr>
              <w:pStyle w:val="Normal"/>
            </w:pPr>
            <w:r>
              <w:t xml:space="preserve">Industrial Infrastructure: ZEV Fleet Deployment, V2G Technology, Carbon Carry Valuation, UC System Modular Housing.</w:t>
            </w:r>
          </w:p>
        </w:tc>
        <w:tc>
          <w:p>
            <w:pPr>
              <w:pStyle w:val="Normal"/>
            </w:pPr>
            <w:r>
              <w:t xml:space="preserve">Operational Strategy: Six Sigma (Green Belt), Agile Project Management, SAP ERP, Decision Intelligence.</w:t>
            </w:r>
          </w:p>
        </w:tc>
        <w:tc>
          <w:p>
            <w:pPr>
              <w:pStyle w:val="Normal"/>
            </w:pPr>
            <w:r>
              <w:t xml:space="preserve">Financial Leadership: $13M+ Portfolio Management, Strategic CEO Vetting, Non-Profit Governance (SALSA).</w:t>
            </w:r>
          </w:p>
        </w:tc>
      </w:tr>
    </w:tbl>
    <w:p>
      <w:pPr>
        <w:pStyle w:val="AfterSectionPadding"/>
      </w:pPr>
    </w:p>
    <w:tbl>
      <w:tblPr>
        <w:tblW w:type="auto" w:w="10800"/>
        <w:tblBorders>
          <w:top w:val="single" w:color="2163ca" w:sz="1"/>
          <w:left w:val="none"/>
          <w:bottom w:val="single" w:color="2163ca" w:sz="1"/>
          <w:right w:val="none"/>
          <w:insideH w:val="none"/>
          <w:insideV w:val="none"/>
        </w:tblBorders>
        <w:tblLayout w:type="fixed"/>
      </w:tblPr>
      <w:tblGrid>
        <w:gridCol w:w="10800"/>
      </w:tblGrid>
      <w:tr>
        <w:tc>
          <w:tcPr>
            <w:tcMar>
              <w:left w:type="dxa" w:w="0"/>
            </w:tcMar>
          </w:tcPr>
          <w:p>
            <w:pPr>
              <w:pStyle w:val="Heading3"/>
            </w:pPr>
            <w:r>
              <w:t xml:space="preserve">CERTIFICATIONS</w:t>
            </w:r>
          </w:p>
        </w:tc>
      </w:tr>
    </w:tbl>
    <w:p>
      <w:pPr>
        <w:pStyle w:val="AfterSectionNamePadding"/>
      </w:pPr>
    </w:p>
    <w:p>
      <w:pPr>
        <w:pStyle w:val="Heading4"/>
        <w:tabs>
          <w:tab w:val="right" w:pos="10800"/>
        </w:tabs>
      </w:pPr>
      <w:r>
        <w:t xml:space="preserve">AI &amp; Automation: Generative AI for Business Leaders, AI Agents for Business, and Sales Automation</w:t>
      </w:r>
      <w:r>
        <w:t xml:space="preserve"> </w:t>
        <w:tab/>
        <w:t xml:space="preserve"> </w:t>
      </w:r>
      <w:r>
        <w:t xml:space="preserve"/>
      </w:r>
    </w:p>
    <w:p>
      <w:pPr>
        <w:pStyle w:val="AfterCardPadding"/>
      </w:pPr>
    </w:p>
    <w:p>
      <w:pPr>
        <w:pStyle w:val="Heading4"/>
        <w:tabs>
          <w:tab w:val="right" w:pos="10800"/>
        </w:tabs>
      </w:pPr>
      <w:r>
        <w:t xml:space="preserve">Leadership: Change Leadership, Strategic Thinking, Storytelling for Influence.</w:t>
      </w:r>
      <w:r>
        <w:t xml:space="preserve"> </w:t>
        <w:tab/>
        <w:t xml:space="preserve"> </w:t>
      </w:r>
      <w:r>
        <w:t xml:space="preserve"/>
      </w:r>
    </w:p>
    <w:p>
      <w:pPr>
        <w:pStyle w:val="AfterCardPadding"/>
      </w:pPr>
    </w:p>
    <w:p>
      <w:pPr>
        <w:pStyle w:val="Heading4"/>
        <w:tabs>
          <w:tab w:val="right" w:pos="10800"/>
        </w:tabs>
      </w:pPr>
      <w:r>
        <w:t xml:space="preserve">Methodology: Six Sigma Green Belt, Agile Project Management, Lean Six Sigma White Belt.</w:t>
      </w:r>
      <w:r>
        <w:t xml:space="preserve"> </w:t>
        <w:tab/>
        <w:t xml:space="preserve"> </w:t>
      </w:r>
      <w:r>
        <w:t xml:space="preserve"/>
      </w:r>
    </w:p>
    <w:p>
      <w:pPr>
        <w:pStyle w:val="AfterSectionPadding"/>
      </w:pPr>
    </w:p>
    <w:tbl>
      <w:tblPr>
        <w:tblW w:type="auto" w:w="10800"/>
        <w:tblBorders>
          <w:top w:val="single" w:color="2163ca" w:sz="1"/>
          <w:left w:val="none"/>
          <w:bottom w:val="single" w:color="2163ca" w:sz="1"/>
          <w:right w:val="none"/>
          <w:insideH w:val="none"/>
          <w:insideV w:val="none"/>
        </w:tblBorders>
        <w:tblLayout w:type="fixed"/>
      </w:tblPr>
      <w:tblGrid>
        <w:gridCol w:w="10800"/>
      </w:tblGrid>
      <w:tr>
        <w:tc>
          <w:tcPr>
            <w:tcMar>
              <w:left w:type="dxa" w:w="0"/>
            </w:tcMar>
          </w:tcPr>
          <w:p>
            <w:pPr>
              <w:pStyle w:val="Heading3"/>
            </w:pPr>
            <w:r>
              <w:t xml:space="preserve">EXPERIENCE</w:t>
            </w:r>
          </w:p>
        </w:tc>
      </w:tr>
    </w:tbl>
    <w:p>
      <w:pPr>
        <w:pStyle w:val="AfterSectionNamePadding"/>
      </w:pPr>
    </w:p>
    <w:p>
      <w:pPr>
        <w:pStyle w:val="Heading4"/>
        <w:tabs>
          <w:tab w:val="right" w:pos="10800"/>
        </w:tabs>
      </w:pPr>
      <w:r>
        <w:t xml:space="preserve">Founder &amp; Principal Architect, ZEV Master Strategy &amp; Sacramento Auto Wholesale Group</w:t>
      </w:r>
      <w:r>
        <w:t xml:space="preserve"> </w:t>
        <w:tab/>
        <w:t xml:space="preserve"> </w:t>
      </w:r>
      <w:r>
        <w:t xml:space="preserve">Dec 2025</w:t>
      </w:r>
    </w:p>
    <w:p>
      <w:pPr>
        <w:pStyle w:val="Normal"/>
      </w:pPr>
      <w:r>
        <w:t xml:space="preserve">Sacramento</w:t>
      </w:r>
    </w:p>
    <w:p>
      <w:pPr>
        <w:spacing w:after="100"/>
        <w:rPr>
          <w:sz w:val="2"/>
          <w:szCs w:val="2"/>
        </w:rPr>
      </w:pPr>
    </w:p>
    <w:p>
      <w:pPr>
        <w:pStyle w:val="Normal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Directing Project Vanguard, utilizing advanced </w:t>
      </w: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10% Carbon Carry valuations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to optimize industrial transportation efficiency and environmental impact </w:t>
      </w:r>
    </w:p>
    <w:p>
      <w:pPr>
        <w:pStyle w:val="Normal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Architecting a zero-emission logistics framework to deploy 300,000 hauling units, utilizing V2G energy storage to support regional </w:t>
      </w: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grid stability, while optimizing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industrial transportation and carbon efficiency. </w:t>
      </w:r>
    </w:p>
    <w:p>
      <w:pPr>
        <w:pStyle w:val="Normal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Automating business intelligence through custom Python and Node.js agents to parse financial data and simulate complex logistics and aviation scenarios. </w:t>
      </w:r>
    </w:p>
    <w:p>
      <w:pPr>
        <w:pStyle w:val="Normal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Designing modular housing solutions for the </w:t>
      </w: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UC System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, integrating industrial-scale logistics with sustainable residential infrastructure </w:t>
      </w:r>
    </w:p>
    <w:p>
      <w:pPr>
        <w:pStyle w:val="AfterCardPadding"/>
      </w:pPr>
    </w:p>
    <w:p>
      <w:pPr>
        <w:pStyle w:val="Heading4"/>
        <w:tabs>
          <w:tab w:val="right" w:pos="10800"/>
        </w:tabs>
      </w:pPr>
      <w:r>
        <w:t xml:space="preserve">Founder, | Sacramento Auto Leaders Supporting Alliance (SALSA)</w:t>
      </w:r>
      <w:r>
        <w:t xml:space="preserve"> </w:t>
        <w:tab/>
        <w:t xml:space="preserve"> </w:t>
      </w:r>
      <w:r>
        <w:t xml:space="preserve">Feb 2026</w:t>
      </w:r>
    </w:p>
    <w:p>
      <w:pPr>
        <w:pStyle w:val="Normal"/>
      </w:pPr>
      <w:r>
        <w:t xml:space="preserve">Sacramento</w:t>
      </w:r>
    </w:p>
    <w:p>
      <w:pPr>
        <w:spacing w:after="100"/>
        <w:rPr>
          <w:sz w:val="2"/>
          <w:szCs w:val="2"/>
        </w:rPr>
      </w:pPr>
    </w:p>
    <w:p>
      <w:pPr>
        <w:pStyle w:val="Normal"/>
        <w:numPr>
          <w:ilvl w:val="0"/>
          <w:numId w:val="3"/>
        </w:numPr>
      </w:pP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Established a community-focused non-profit providing proprietary software to independent auto dealers in exchange for direct funding of local youth programs. Architecting vocational training pipelines through </w:t>
      </w: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UC System modular housing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projects to provide at-risk youth with technical skills, professional mentorship, and sustainable career paths </w:t>
      </w:r>
    </w:p>
    <w:p>
      <w:pPr>
        <w:pStyle w:val="AfterCardPadding"/>
      </w:pPr>
    </w:p>
    <w:p>
      <w:pPr>
        <w:pStyle w:val="Heading4"/>
        <w:tabs>
          <w:tab w:val="right" w:pos="10800"/>
        </w:tabs>
      </w:pPr>
      <w:r>
        <w:t xml:space="preserve">Portfolio Manager, NextGear Capital</w:t>
      </w:r>
      <w:r>
        <w:t xml:space="preserve"> </w:t>
        <w:tab/>
        <w:t xml:space="preserve"> </w:t>
      </w:r>
      <w:r>
        <w:t xml:space="preserve">Apr 2024 to Sep 2025</w:t>
      </w:r>
    </w:p>
    <w:p>
      <w:pPr>
        <w:pStyle w:val="Normal"/>
      </w:pPr>
      <w:r>
        <w:t xml:space="preserve">Sacramento</w:t>
      </w:r>
    </w:p>
    <w:p>
      <w:pPr>
        <w:spacing w:after="100"/>
        <w:rPr>
          <w:sz w:val="2"/>
          <w:szCs w:val="2"/>
        </w:rPr>
      </w:pPr>
    </w:p>
    <w:p>
      <w:pPr>
        <w:pStyle w:val="Normal"/>
        <w:numPr>
          <w:ilvl w:val="0"/>
          <w:numId w:val="4"/>
        </w:numPr>
      </w:pP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Selected for high-impact pilot programs, including Remote Audit and Flex programs, applying early-stage automation to decrease risk costs. </w:t>
      </w:r>
    </w:p>
    <w:p>
      <w:pPr>
        <w:pStyle w:val="Normal"/>
        <w:numPr>
          <w:ilvl w:val="0"/>
          <w:numId w:val="4"/>
        </w:numPr>
      </w:pP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Increased monthly revenue by 300% (from $40k to $120k) through strategic upselling of Cox Automotive products. </w:t>
      </w:r>
    </w:p>
    <w:p>
      <w:pPr>
        <w:pStyle w:val="Normal"/>
        <w:numPr>
          <w:ilvl w:val="0"/>
          <w:numId w:val="4"/>
        </w:numPr>
      </w:pP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Managed and expanded an outstanding account portfolio from $9M to $13M within 12 months. </w:t>
      </w:r>
    </w:p>
    <w:p>
      <w:pPr>
        <w:pStyle w:val="AfterCardPadding"/>
      </w:pPr>
    </w:p>
    <w:p>
      <w:pPr>
        <w:pStyle w:val="Heading4"/>
        <w:tabs>
          <w:tab w:val="right" w:pos="10800"/>
        </w:tabs>
      </w:pPr>
      <w:r>
        <w:t xml:space="preserve">Area Sales Manager, Westlake Flooring Services</w:t>
      </w:r>
      <w:r>
        <w:t xml:space="preserve"> </w:t>
        <w:tab/>
        <w:t xml:space="preserve"> </w:t>
      </w:r>
      <w:r>
        <w:t xml:space="preserve">Sep 2022 to Apr 2024</w:t>
      </w:r>
    </w:p>
    <w:p>
      <w:pPr>
        <w:pStyle w:val="Normal"/>
      </w:pPr>
      <w:r>
        <w:t xml:space="preserve">Sacramento</w:t>
      </w:r>
    </w:p>
    <w:p>
      <w:pPr>
        <w:spacing w:after="100"/>
        <w:rPr>
          <w:sz w:val="2"/>
          <w:szCs w:val="2"/>
        </w:rPr>
      </w:pPr>
    </w:p>
    <w:p>
      <w:pPr>
        <w:pStyle w:val="Normal"/>
        <w:numPr>
          <w:ilvl w:val="0"/>
          <w:numId w:val="5"/>
        </w:numPr>
      </w:pP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Orchestrated the oversight of a $10M portfolio while maintaining a delinquency rate consistently below 1%. </w:t>
      </w:r>
    </w:p>
    <w:p>
      <w:pPr>
        <w:pStyle w:val="Normal"/>
        <w:numPr>
          <w:ilvl w:val="0"/>
          <w:numId w:val="5"/>
        </w:numPr>
      </w:pP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Spearheaded strategic financial planning initiatives that boosted portfolio value and overall investment performance. </w:t>
      </w:r>
    </w:p>
    <w:p>
      <w:pPr>
        <w:pStyle w:val="AfterCardPadding"/>
      </w:pPr>
    </w:p>
    <w:p>
      <w:pPr>
        <w:pStyle w:val="Heading4"/>
        <w:tabs>
          <w:tab w:val="right" w:pos="10800"/>
        </w:tabs>
      </w:pPr>
      <w:r>
        <w:t xml:space="preserve">Account Executive, Polly(Auto Insurance)</w:t>
      </w:r>
      <w:r>
        <w:t xml:space="preserve"> </w:t>
        <w:tab/>
        <w:t xml:space="preserve"> </w:t>
      </w:r>
      <w:r>
        <w:t xml:space="preserve">Aug 2021 to Jun 2022</w:t>
      </w:r>
    </w:p>
    <w:p>
      <w:pPr>
        <w:spacing w:after="100"/>
        <w:rPr>
          <w:sz w:val="2"/>
          <w:szCs w:val="2"/>
        </w:rPr>
      </w:pPr>
    </w:p>
    <w:p>
      <w:pPr>
        <w:pStyle w:val="Normal"/>
        <w:numPr>
          <w:ilvl w:val="0"/>
          <w:numId w:val="6"/>
        </w:numPr>
      </w:pP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Systems Integration: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Spearheaded the seamless implementation of cutting-edge Polly insurance technology within dealership networks, optimizing operational efficiency and digital transformation. </w:t>
      </w:r>
    </w:p>
    <w:p>
      <w:pPr>
        <w:pStyle w:val="Normal"/>
        <w:numPr>
          <w:ilvl w:val="0"/>
          <w:numId w:val="6"/>
        </w:numPr>
      </w:pP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Strategic Partnerships: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Developed collaborative field partnerships with vendor networks to ensure robust support systems for multi-site dealership initiatives. </w:t>
      </w:r>
    </w:p>
    <w:p>
      <w:pPr>
        <w:pStyle w:val="Normal"/>
        <w:numPr>
          <w:ilvl w:val="0"/>
          <w:numId w:val="6"/>
        </w:numPr>
      </w:pP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Utilization Strategy: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Orchestrated a product utilization campaign that achieved </w:t>
      </w: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40% month-over-month growth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within existing accounts by analyzing end-user data and refining engagement protocols. </w:t>
      </w:r>
    </w:p>
    <w:p>
      <w:pPr>
        <w:pStyle w:val="Normal"/>
        <w:numPr>
          <w:ilvl w:val="0"/>
          <w:numId w:val="6"/>
        </w:numPr>
      </w:pP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Operational Intelligence: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Directed monthly data collection and cross-functional analysis with Dealer Performance units to identify and capture quarterly market expansion opportunities. </w:t>
      </w:r>
    </w:p>
    <w:p>
      <w:pPr>
        <w:pStyle w:val="AfterCardPadding"/>
      </w:pPr>
    </w:p>
    <w:p>
      <w:pPr>
        <w:pStyle w:val="Heading4"/>
        <w:tabs>
          <w:tab w:val="right" w:pos="10800"/>
        </w:tabs>
      </w:pPr>
      <w:r>
        <w:t xml:space="preserve">Area Sales Manager, Flagship Credit Acceptance</w:t>
      </w:r>
      <w:r>
        <w:t xml:space="preserve"> </w:t>
        <w:tab/>
        <w:t xml:space="preserve"> </w:t>
      </w:r>
      <w:r>
        <w:t xml:space="preserve">Jul 2019 to Jul 2021</w:t>
      </w:r>
    </w:p>
    <w:p>
      <w:pPr>
        <w:pStyle w:val="Normal"/>
      </w:pPr>
      <w:r>
        <w:t xml:space="preserve">Modesto</w:t>
      </w:r>
    </w:p>
    <w:p>
      <w:pPr>
        <w:spacing w:after="100"/>
        <w:rPr>
          <w:sz w:val="2"/>
          <w:szCs w:val="2"/>
        </w:rPr>
      </w:pPr>
    </w:p>
    <w:p>
      <w:pPr>
        <w:pStyle w:val="Normal"/>
        <w:numPr>
          <w:ilvl w:val="0"/>
          <w:numId w:val="7"/>
        </w:numPr>
      </w:pP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Strategic Data Analysis: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Leveraged complex dealer sales data to architect targeted engagement strategies, aligning corporate volume goals with individual dealership performance metrics. </w:t>
      </w:r>
    </w:p>
    <w:p>
      <w:pPr>
        <w:pStyle w:val="Normal"/>
        <w:numPr>
          <w:ilvl w:val="0"/>
          <w:numId w:val="7"/>
        </w:numPr>
      </w:pP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Cross-Functional Coordination: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Synchronized operations across Sales, Credit, and Funding departments to streamline the registration and onboarding cycle for new high-volume partners. </w:t>
      </w:r>
    </w:p>
    <w:p>
      <w:pPr>
        <w:pStyle w:val="Normal"/>
        <w:numPr>
          <w:ilvl w:val="0"/>
          <w:numId w:val="7"/>
        </w:numPr>
      </w:pP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Territory Analytics: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Authored comprehensive performance reports and market analyses for senior management, utilizing data-driven insights to guide territory growth and risk mitigation. </w:t>
      </w:r>
    </w:p>
    <w:p>
      <w:pPr>
        <w:pStyle w:val="AfterCardPadding"/>
      </w:pPr>
    </w:p>
    <w:p>
      <w:pPr>
        <w:pStyle w:val="Heading4"/>
        <w:tabs>
          <w:tab w:val="right" w:pos="10800"/>
        </w:tabs>
      </w:pPr>
      <w:r>
        <w:t xml:space="preserve">Sales Manager, Auto World</w:t>
      </w:r>
      <w:r>
        <w:t xml:space="preserve"> </w:t>
        <w:tab/>
        <w:t xml:space="preserve"> </w:t>
      </w:r>
      <w:r>
        <w:t xml:space="preserve">Jan 2016 to Jul 2019</w:t>
      </w:r>
    </w:p>
    <w:p>
      <w:pPr>
        <w:pStyle w:val="Normal"/>
      </w:pPr>
      <w:r>
        <w:t xml:space="preserve">Modesto</w:t>
      </w:r>
    </w:p>
    <w:p>
      <w:pPr>
        <w:spacing w:after="100"/>
        <w:rPr>
          <w:sz w:val="2"/>
          <w:szCs w:val="2"/>
        </w:rPr>
      </w:pPr>
    </w:p>
    <w:p>
      <w:pPr>
        <w:pStyle w:val="Normal"/>
        <w:numPr>
          <w:ilvl w:val="0"/>
          <w:numId w:val="8"/>
        </w:numPr>
      </w:pP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Capital Management: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Executed strategic oversight of multiple high-value lines of credit (including NextGear, AFC, and Westlake), ensuring optimal liquidity and financial stewardship for a $750k average monthly financing volume. </w:t>
      </w:r>
    </w:p>
    <w:p>
      <w:pPr>
        <w:pStyle w:val="Normal"/>
        <w:numPr>
          <w:ilvl w:val="0"/>
          <w:numId w:val="8"/>
        </w:numPr>
      </w:pP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Reporting Architecture: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Engineered a custom reporting system aligned with corporate KPIs to provide actionable intelligence for inventory acquisition and margin optimization. </w:t>
      </w:r>
    </w:p>
    <w:p>
      <w:pPr>
        <w:pStyle w:val="Normal"/>
        <w:numPr>
          <w:ilvl w:val="0"/>
          <w:numId w:val="8"/>
        </w:numPr>
      </w:pP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Strategic Procurement: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Developed a diverse inventory acquisition strategy targeting high-margin units from both private party sources and national auction platforms. </w:t>
      </w:r>
    </w:p>
    <w:p>
      <w:pPr>
        <w:pStyle w:val="AfterCardPadding"/>
      </w:pPr>
    </w:p>
    <w:p>
      <w:pPr>
        <w:pStyle w:val="Heading4"/>
        <w:tabs>
          <w:tab w:val="right" w:pos="10800"/>
        </w:tabs>
      </w:pPr>
      <w:r>
        <w:t xml:space="preserve">Ripalda Transport, Manager</w:t>
      </w:r>
      <w:r>
        <w:t xml:space="preserve"> </w:t>
        <w:tab/>
        <w:t xml:space="preserve"> </w:t>
      </w:r>
      <w:r>
        <w:t xml:space="preserve">Jun 2012 to Nov 2016</w:t>
      </w:r>
    </w:p>
    <w:p>
      <w:pPr>
        <w:spacing w:after="100"/>
        <w:rPr>
          <w:sz w:val="2"/>
          <w:szCs w:val="2"/>
        </w:rPr>
      </w:pPr>
    </w:p>
    <w:p>
      <w:pPr>
        <w:pStyle w:val="Normal"/>
      </w:pP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Directed comprehensive last-mile delivery operations for major retail contracts (Macy’s, Ashley Furniture, Mancini’s Sleep World), ensuring high-standard execution through engineered </w:t>
      </w: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route optimization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and scheduling protocols. Architected and implemented rigorous employee training programs focused on safety and logistical precision, establishing a foundation for current large-scale ZEV fleet infrastructure development. </w:t>
      </w:r>
    </w:p>
    <w:p>
      <w:pPr>
        <w:pStyle w:val="AfterCardPadding"/>
      </w:pPr>
    </w:p>
    <w:p>
      <w:pPr>
        <w:pStyle w:val="Heading4"/>
        <w:tabs>
          <w:tab w:val="right" w:pos="10800"/>
        </w:tabs>
      </w:pPr>
      <w:r>
        <w:t xml:space="preserve">Used Car Manager, Best Price Auto Sales</w:t>
      </w:r>
      <w:r>
        <w:t xml:space="preserve"> </w:t>
        <w:tab/>
        <w:t xml:space="preserve"> </w:t>
      </w:r>
      <w:r>
        <w:t xml:space="preserve">Jun 2011 to Dec 2015</w:t>
      </w:r>
    </w:p>
    <w:p>
      <w:pPr>
        <w:pStyle w:val="Normal"/>
      </w:pPr>
      <w:r>
        <w:t xml:space="preserve">Turlock</w:t>
      </w:r>
    </w:p>
    <w:p>
      <w:pPr>
        <w:spacing w:after="100"/>
        <w:rPr>
          <w:sz w:val="2"/>
          <w:szCs w:val="2"/>
        </w:rPr>
      </w:pPr>
    </w:p>
    <w:p>
      <w:pPr>
        <w:pStyle w:val="Normal"/>
        <w:numPr>
          <w:ilvl w:val="0"/>
          <w:numId w:val="9"/>
        </w:numPr>
      </w:pP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Supply Chain Optimization: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Directed a multi-channel inventory acquisition strategy across premier auctions (Manheim, Adesa) and private party markets to maintain a dynamic, high-demand selection. </w:t>
      </w:r>
    </w:p>
    <w:p>
      <w:pPr>
        <w:pStyle w:val="Normal"/>
        <w:numPr>
          <w:ilvl w:val="0"/>
          <w:numId w:val="9"/>
        </w:numPr>
      </w:pP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Operational Excellence: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Oversaw the end-to-end reconditioning lifecycle, implementing cost-effective mechanical and cosmetic standards to maximize vehicle marketability and profit margins. </w:t>
      </w:r>
    </w:p>
    <w:p>
      <w:pPr>
        <w:pStyle w:val="Normal"/>
        <w:numPr>
          <w:ilvl w:val="0"/>
          <w:numId w:val="9"/>
        </w:numPr>
      </w:pP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Financial Modeling: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Meticulously analyzed auction purchase data versus trade-in performance to forecast wholesale profitability and optimize asset allocation. </w:t>
      </w:r>
    </w:p>
    <w:p>
      <w:pPr>
        <w:pStyle w:val="AfterSectionPadding"/>
      </w:pPr>
    </w:p>
    <w:tbl>
      <w:tblPr>
        <w:tblW w:type="auto" w:w="10800"/>
        <w:tblBorders>
          <w:top w:val="single" w:color="2163ca" w:sz="1"/>
          <w:left w:val="none"/>
          <w:bottom w:val="single" w:color="2163ca" w:sz="1"/>
          <w:right w:val="none"/>
          <w:insideH w:val="none"/>
          <w:insideV w:val="none"/>
        </w:tblBorders>
        <w:tblLayout w:type="fixed"/>
      </w:tblPr>
      <w:tblGrid>
        <w:gridCol w:w="10800"/>
      </w:tblGrid>
      <w:tr>
        <w:tc>
          <w:tcPr>
            <w:tcMar>
              <w:left w:type="dxa" w:w="0"/>
            </w:tcMar>
          </w:tcPr>
          <w:p>
            <w:pPr>
              <w:pStyle w:val="Heading3"/>
            </w:pPr>
            <w:r>
              <w:t xml:space="preserve">EDUCATION</w:t>
            </w:r>
          </w:p>
        </w:tc>
      </w:tr>
    </w:tbl>
    <w:p>
      <w:pPr>
        <w:pStyle w:val="AfterSectionNamePadding"/>
      </w:pPr>
    </w:p>
    <w:p>
      <w:pPr>
        <w:pStyle w:val="Heading4"/>
        <w:tabs>
          <w:tab w:val="right" w:pos="10800"/>
        </w:tabs>
      </w:pPr>
      <w:r>
        <w:t xml:space="preserve">Modesto High School</w:t>
      </w:r>
      <w:r>
        <w:t xml:space="preserve"> </w:t>
        <w:tab/>
        <w:t xml:space="preserve"> </w:t>
      </w:r>
      <w:r>
        <w:t xml:space="preserve"/>
      </w:r>
    </w:p>
    <w:p>
      <w:pPr>
        <w:pStyle w:val="Normal"/>
      </w:pPr>
      <w:r>
        <w:t xml:space="preserve">Diploma</w:t>
      </w:r>
    </w:p>
    <w:p>
      <w:pPr>
        <w:pStyle w:val="AfterSectionPadding"/>
      </w:pPr>
    </w:p>
    <w:tbl>
      <w:tblPr>
        <w:tblW w:type="auto" w:w="10800"/>
        <w:tblBorders>
          <w:top w:val="single" w:color="2163ca" w:sz="1"/>
          <w:left w:val="none"/>
          <w:bottom w:val="single" w:color="2163ca" w:sz="1"/>
          <w:right w:val="none"/>
          <w:insideH w:val="none"/>
          <w:insideV w:val="none"/>
        </w:tblBorders>
        <w:tblLayout w:type="fixed"/>
      </w:tblPr>
      <w:tblGrid>
        <w:gridCol w:w="10800"/>
      </w:tblGrid>
      <w:tr>
        <w:tc>
          <w:tcPr>
            <w:tcMar>
              <w:left w:type="dxa" w:w="0"/>
            </w:tcMar>
          </w:tcPr>
          <w:p>
            <w:pPr>
              <w:pStyle w:val="Heading3"/>
            </w:pPr>
            <w:r>
              <w:t xml:space="preserve">TECHNICAL PROFICIENCIES</w:t>
            </w:r>
          </w:p>
        </w:tc>
      </w:tr>
    </w:tbl>
    <w:p>
      <w:pPr>
        <w:pStyle w:val="AfterSectionNamePadding"/>
      </w:pPr>
    </w:p>
    <w:p>
      <w:pPr>
        <w:spacing/>
        <w:rPr>
          <w:sz w:val="2"/>
          <w:szCs w:val="2"/>
        </w:rPr>
      </w:pPr>
    </w:p>
    <w:tbl>
      <w:tblPr>
        <w:tblW w:type="auto" w:w="10800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160"/>
        <w:gridCol w:w="8640"/>
      </w:tblGrid>
      <w:tr>
        <w:tc>
          <w:p>
            <w:r>
              <w:rPr>
                <w:b/>
                <w:bCs/>
              </w:rPr>
              <w:t xml:space="preserve">Capital Markets Tech::</w:t>
            </w:r>
          </w:p>
        </w:tc>
        <w:tc>
          <w:p>
            <w:r>
              <w:t xml:space="preserve">Portfolio Management Systems (PMS), Trading Platform Integration, Carbon Carry Valuation, UCC Filing</w:t>
            </w:r>
          </w:p>
        </w:tc>
      </w:tr>
      <w:tr>
        <w:tc>
          <w:p>
            <w:r>
              <w:rPr>
                <w:b/>
                <w:bCs/>
              </w:rPr>
              <w:t xml:space="preserve">Frameworks &amp; Governance::</w:t>
            </w:r>
          </w:p>
        </w:tc>
        <w:tc>
          <w:p>
            <w:r>
              <w:t xml:space="preserve">Agile Project Management, SAP ERP, Decision Intelligence, Six Sigma Green Belt</w:t>
            </w:r>
          </w:p>
        </w:tc>
      </w:tr>
      <w:tr>
        <w:tc>
          <w:p>
            <w:r>
              <w:rPr>
                <w:b/>
                <w:bCs/>
              </w:rPr>
              <w:t xml:space="preserve">Modernization &amp; Data:</w:t>
            </w:r>
          </w:p>
        </w:tc>
        <w:tc>
          <w:p>
            <w:r>
              <w:t xml:space="preserve">Python, PostgreSQL, AI Agent Development, Financial Automation Scripting., Node.js</w:t>
            </w:r>
          </w:p>
        </w:tc>
      </w:tr>
      <w:tr>
        <w:tc>
          <w:p>
            <w:r>
              <w:rPr>
                <w:b/>
                <w:bCs/>
              </w:rPr>
              <w:t xml:space="preserve">:</w:t>
            </w:r>
          </w:p>
        </w:tc>
        <w:tc>
          <w:p/>
        </w:tc>
      </w:tr>
      <w:tr>
        <w:tc>
          <w:p>
            <w:r>
              <w:rPr>
                <w:b/>
                <w:bCs/>
              </w:rPr>
              <w:t xml:space="preserve">Energy &amp; Infrastructure:</w:t>
            </w:r>
          </w:p>
        </w:tc>
        <w:tc>
          <w:p>
            <w:r>
              <w:t xml:space="preserve">Vehicle-to-Grid (V2G) Systems, ZEV Fleet Management,, Carbon Carry Valuation Modeling</w:t>
            </w:r>
          </w:p>
        </w:tc>
      </w:tr>
    </w:tbl>
    <w:p>
      <w:pPr>
        <w:pStyle w:val="AfterSectionPadding"/>
      </w:pPr>
    </w:p>
    <w:tbl>
      <w:tblPr>
        <w:tblW w:type="auto" w:w="10800"/>
        <w:tblBorders>
          <w:top w:val="single" w:color="2163ca" w:sz="1"/>
          <w:left w:val="none"/>
          <w:bottom w:val="single" w:color="2163ca" w:sz="1"/>
          <w:right w:val="none"/>
          <w:insideH w:val="none"/>
          <w:insideV w:val="none"/>
        </w:tblBorders>
        <w:tblLayout w:type="fixed"/>
      </w:tblPr>
      <w:tblGrid>
        <w:gridCol w:w="10800"/>
      </w:tblGrid>
      <w:tr>
        <w:tc>
          <w:tcPr>
            <w:tcMar>
              <w:left w:type="dxa" w:w="0"/>
            </w:tcMar>
          </w:tcPr>
          <w:p>
            <w:pPr>
              <w:pStyle w:val="Heading3"/>
            </w:pPr>
            <w:r>
              <w:t xml:space="preserve">VOLUNTEERING</w:t>
            </w:r>
          </w:p>
        </w:tc>
      </w:tr>
    </w:tbl>
    <w:p>
      <w:pPr>
        <w:pStyle w:val="AfterSectionNamePadding"/>
      </w:pPr>
    </w:p>
    <w:p>
      <w:pPr>
        <w:pStyle w:val="Heading4"/>
        <w:tabs>
          <w:tab w:val="right" w:pos="10800"/>
        </w:tabs>
      </w:pPr>
      <w:r>
        <w:t xml:space="preserve">Tree Planter, Sacramento Tree Foundation</w:t>
      </w:r>
      <w:r>
        <w:t xml:space="preserve"> </w:t>
        <w:tab/>
        <w:t xml:space="preserve"> </w:t>
      </w:r>
      <w:r>
        <w:t xml:space="preserve"/>
      </w:r>
    </w:p>
    <w:p>
      <w:pPr>
        <w:spacing w:after="100"/>
        <w:rPr>
          <w:sz w:val="2"/>
          <w:szCs w:val="2"/>
        </w:rPr>
      </w:pPr>
    </w:p>
    <w:p>
      <w:pPr>
        <w:pStyle w:val="Normal"/>
      </w:pP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Help plant trees throughout Sacramento at Tree Planting events </w:t>
      </w:r>
    </w:p>
    <w:p>
      <w:pPr>
        <w:pStyle w:val="AfterCardPadding"/>
      </w:pPr>
    </w:p>
    <w:p>
      <w:pPr>
        <w:pStyle w:val="Heading4"/>
        <w:tabs>
          <w:tab w:val="right" w:pos="10800"/>
        </w:tabs>
      </w:pPr>
      <w:r>
        <w:t xml:space="preserve">Volunteer Swim Coach, Modesto High School</w:t>
      </w:r>
      <w:r>
        <w:t xml:space="preserve"> </w:t>
        <w:tab/>
        <w:t xml:space="preserve"> </w:t>
      </w:r>
      <w:r>
        <w:t xml:space="preserve"/>
      </w:r>
    </w:p>
    <w:p>
      <w:pPr>
        <w:spacing w:after="100"/>
        <w:rPr>
          <w:sz w:val="2"/>
          <w:szCs w:val="2"/>
        </w:rPr>
      </w:pPr>
    </w:p>
    <w:p>
      <w:pPr>
        <w:pStyle w:val="Normal"/>
      </w:pP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Helped develop new swimmers by introducing them to different strokes and ensuring a safe environment for learning. </w:t>
      </w:r>
    </w:p>
    <w:p>
      <w:pPr>
        <w:pStyle w:val="AfterSectionPadding"/>
      </w:pPr>
    </w:p>
    <w:sectPr>
      <w:headerReference w:type="default" r:id="rId6"/>
      <w:headerReference w:type="first" r:id="rId7"/>
      <w:footerReference w:type="default" r:id="rId8"/>
      <w:footerReference w:type="first" r:id="rId9"/>
      <w:pgSz w:w="12240" w:h="15840" w:orient="portrait"/>
      <w:pgMar w:top="1440" w:right="720" w:bottom="1440" w:left="720" w:header="720" w:footer="720" w:gutter="0"/>
      <w:pgNumType w:start="1" w:fmt="decimal"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800"/>
      </w:tabs>
      <w:spacing/>
      <w:rPr>
        <w:sz w:val="20"/>
        <w:szCs w:val="20"/>
      </w:rPr>
    </w:pPr>
    <w:r>
      <w:rPr>
        <w:sz w:val="20"/>
        <w:szCs w:val="20"/>
      </w:rPr>
      <w:tab/>
    </w:r>
    <w:r>
      <w:rPr>
        <w:color w:val="2163ca"/>
        <w:rStyle w:val="PageNumber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800"/>
      </w:tabs>
      <w:spacing/>
      <w:rPr>
        <w:sz w:val="20"/>
        <w:szCs w:val="20"/>
      </w:rPr>
    </w:pPr>
    <w:r>
      <w:rPr>
        <w:sz w:val="20"/>
        <w:szCs w:val="20"/>
      </w:rPr>
      <w:tab/>
    </w:r>
    <w:r>
      <w:rPr>
        <w:color w:val="2163ca"/>
        <w:rStyle w:val="PageNumber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Investment Technology Lead | Systems Architect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31" w:hanging="215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144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line="240"/>
    </w:pPr>
    <w:rPr>
      <w:b w:val="false"/>
      <w:bCs w:val="false"/>
      <w:color w:val="1E2532"/>
      <w:sz w:val="20"/>
      <w:szCs w:val="20"/>
      <w:rFonts w:ascii="Arial" w:cs="Arial" w:eastAsia="Arial" w:hAnsi="Arial"/>
    </w:rPr>
  </w:style>
  <w:style w:type="paragraph" w:styleId="Heading1">
    <w:name w:val="Heading 1"/>
    <w:basedOn w:val="Normal"/>
    <w:pPr>
      <w:jc w:val="left"/>
    </w:pPr>
    <w:rPr>
      <w:b/>
      <w:bCs/>
      <w:color w:val="2163ca"/>
      <w:sz w:val="48"/>
      <w:szCs w:val="48"/>
    </w:rPr>
  </w:style>
  <w:style w:type="paragraph" w:styleId="Heading2">
    <w:name w:val="Heading 2"/>
    <w:basedOn w:val="Normal"/>
    <w:pPr>
      <w:jc w:val="left"/>
    </w:pPr>
    <w:rPr>
      <w:b/>
      <w:bCs/>
      <w:sz w:val="32"/>
      <w:szCs w:val="32"/>
    </w:rPr>
  </w:style>
  <w:style w:type="paragraph" w:styleId="Heading3">
    <w:name w:val="Heading 3"/>
    <w:basedOn w:val="Normal"/>
    <w:pPr>
      <w:spacing w:before="40"/>
    </w:pPr>
    <w:rPr>
      <w:b/>
      <w:bCs/>
      <w:color w:val="2163ca"/>
      <w:sz w:val="24"/>
      <w:szCs w:val="24"/>
    </w:rPr>
  </w:style>
  <w:style w:type="paragraph" w:styleId="Heading4">
    <w:name w:val="Heading 4"/>
    <w:basedOn w:val="Normal"/>
    <w:rPr>
      <w:b/>
      <w:bCs/>
      <w:sz w:val="20"/>
      <w:szCs w:val="20"/>
    </w:rPr>
  </w:style>
  <w:style w:type="paragraph" w:styleId="Contact">
    <w:name w:val="Contact"/>
    <w:basedOn w:val="Normal"/>
    <w:pPr>
      <w:jc w:val="left"/>
    </w:pPr>
  </w:style>
  <w:style w:type="paragraph" w:styleId="CardText">
    <w:name w:val="Card Text"/>
    <w:basedOn w:val="Normal"/>
    <w:rPr>
      <w:sz w:val="20"/>
      <w:szCs w:val="20"/>
    </w:rPr>
  </w:style>
  <w:style w:type="paragraph" w:styleId="AfterSectionNamePadding">
    <w:name w:val="After Section Name Padding"/>
    <w:basedOn w:val="Normal"/>
    <w:rPr>
      <w:sz w:val="6"/>
      <w:szCs w:val="6"/>
    </w:rPr>
  </w:style>
  <w:style w:type="paragraph" w:styleId="AfterSectionPadding">
    <w:name w:val="After Section Padding"/>
    <w:basedOn w:val="Normal"/>
    <w:rPr>
      <w:sz w:val="16"/>
      <w:szCs w:val="16"/>
    </w:rPr>
  </w:style>
  <w:style w:type="paragraph" w:styleId="AfterCardPadding">
    <w:name w:val="After Card Padding"/>
    <w:basedOn w:val="Normal"/>
    <w:rPr>
      <w:sz w:val="6"/>
      <w:szCs w:val="6"/>
    </w:rPr>
  </w:style>
  <w:style w:type="character" w:styleId="Hyperlink">
    <w:name w:val="Hyperlink"/>
    <w:basedOn w:val="Normal"/>
    <w:uiPriority w:val="99"/>
    <w:unhideWhenUsed/>
    <w:rPr>
      <w:u w:val="single"/>
      <w:color w:val="0066CC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tylt61a55clem4rrnsd7s" Type="http://schemas.openxmlformats.org/officeDocument/2006/relationships/hyperlink" Target="mailto:juliomanaging@gmail.com" TargetMode="External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2026-02-16T21:58:31.476Z</dcterms:created>
  <dcterms:modified xsi:type="dcterms:W3CDTF">2026-02-16T21:58:31.476Z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