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BFFCC71" wp14:textId="77777777">
      <w:pPr>
        <w:spacing w:before="2400" w:after="120"/>
        <w:jc w:val="center"/>
      </w:pPr>
      <w:r>
        <w:rPr>
          <w:b/>
          <w:bCs/>
          <w:color w:val="1F4E78"/>
          <w:sz w:val="48"/>
          <w:szCs w:val="48"/>
        </w:rPr>
        <w:t xml:space="preserve">U.S. DEPARTMENT OF ENERGY</w:t>
      </w:r>
    </w:p>
    <w:p xmlns:wp14="http://schemas.microsoft.com/office/word/2010/wordml" w14:paraId="1BD719A5" wp14:textId="77777777">
      <w:pPr>
        <w:spacing w:after="240"/>
        <w:jc w:val="center"/>
      </w:pPr>
      <w:r>
        <w:rPr>
          <w:b/>
          <w:bCs/>
          <w:color w:val="C55A11"/>
          <w:sz w:val="36"/>
          <w:szCs w:val="36"/>
        </w:rPr>
        <w:t xml:space="preserve">ENERGY STORAGE GRAND CHALLENGE</w:t>
      </w:r>
    </w:p>
    <w:p xmlns:wp14="http://schemas.microsoft.com/office/word/2010/wordml" w14:paraId="55630A85" wp14:textId="77777777">
      <w:pPr>
        <w:spacing w:after="960"/>
        <w:jc w:val="center"/>
      </w:pPr>
      <w:r>
        <w:rPr>
          <w:b/>
          <w:bCs/>
          <w:color w:val="1F4E78"/>
          <w:sz w:val="32"/>
          <w:szCs w:val="32"/>
        </w:rPr>
        <w:t xml:space="preserve">GRANT APPLICATION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14:paraId="16BD7942" wp14:textId="77777777">
        <w:tc>
          <w:tcPr>
            <w:tcW w:w="3120" w:type="dxa"/>
            <w:tcBorders>
              <w:top w:val="single" w:color="CCCCCC" w:sz="1"/>
              <w:left w:val="single" w:color="CCCCCC" w:sz="1"/>
              <w:bottom w:val="single" w:color="CCCCCC" w:sz="1"/>
              <w:right w:val="single" w:color="CCCCCC" w:sz="1"/>
            </w:tcBorders>
            <w:shd w:val="clear" w:fill="1F4E78"/>
            <w:tcMar>
              <w:top w:w="120" w:type="dxa"/>
              <w:left w:w="120" w:type="dxa"/>
              <w:bottom w:w="120" w:type="dxa"/>
              <w:right w:w="120" w:type="dxa"/>
            </w:tcMar>
          </w:tcPr>
          <w:p w14:paraId="4A474D11" wp14:textId="77777777">
            <w:r>
              <w:rPr>
                <w:b/>
                <w:bCs/>
                <w:color w:val="FFFFFF"/>
                <w:sz w:val="24"/>
                <w:szCs w:val="24"/>
              </w:rPr>
              <w:t xml:space="preserve">Project Title:</w:t>
            </w:r>
          </w:p>
        </w:tc>
        <w:tc>
          <w:tcPr>
            <w:tcW w:w="6240" w:type="dxa"/>
            <w:tcBorders>
              <w:top w:val="single" w:color="CCCCCC" w:sz="1"/>
              <w:left w:val="single" w:color="CCCCCC" w:sz="1"/>
              <w:bottom w:val="single" w:color="CCCCCC" w:sz="1"/>
              <w:right w:val="single" w:color="CCCCCC" w:sz="1"/>
            </w:tcBorders>
            <w:shd w:val="clear" w:fill="E7F3FF"/>
            <w:tcMar>
              <w:top w:w="120" w:type="dxa"/>
              <w:left w:w="120" w:type="dxa"/>
              <w:bottom w:w="120" w:type="dxa"/>
              <w:right w:w="120" w:type="dxa"/>
            </w:tcMar>
          </w:tcPr>
          <w:p w14:paraId="389D9006" wp14:textId="77777777">
            <w:r>
              <w:t xml:space="preserve">Superconducting Kinetic Energy Storage for Grid-Scale Renewable Integration: Addressing the California Inertia Gap</w:t>
            </w:r>
          </w:p>
        </w:tc>
      </w:tr>
      <w:tr xmlns:wp14="http://schemas.microsoft.com/office/word/2010/wordml" w14:paraId="4C539C9C" wp14:textId="77777777">
        <w:tc>
          <w:tcPr>
            <w:tcW w:w="3120" w:type="dxa"/>
            <w:tcBorders>
              <w:top w:val="single" w:color="CCCCCC" w:sz="1"/>
              <w:left w:val="single" w:color="CCCCCC" w:sz="1"/>
              <w:bottom w:val="single" w:color="CCCCCC" w:sz="1"/>
              <w:right w:val="single" w:color="CCCCCC" w:sz="1"/>
            </w:tcBorders>
            <w:shd w:val="clear" w:fill="1F4E78"/>
            <w:tcMar>
              <w:top w:w="120" w:type="dxa"/>
              <w:left w:w="120" w:type="dxa"/>
              <w:bottom w:w="120" w:type="dxa"/>
              <w:right w:w="120" w:type="dxa"/>
            </w:tcMar>
          </w:tcPr>
          <w:p w14:paraId="4827D06F" wp14:textId="77777777">
            <w:r>
              <w:rPr>
                <w:b/>
                <w:bCs/>
                <w:color w:val="FFFFFF"/>
                <w:sz w:val="24"/>
                <w:szCs w:val="24"/>
              </w:rPr>
              <w:t xml:space="preserve">Lead Organization:</w:t>
            </w:r>
          </w:p>
        </w:tc>
        <w:tc>
          <w:tcPr>
            <w:tcW w:w="6240" w:type="dxa"/>
            <w:tcBorders>
              <w:top w:val="single" w:color="CCCCCC" w:sz="1"/>
              <w:left w:val="single" w:color="CCCCCC" w:sz="1"/>
              <w:bottom w:val="single" w:color="CCCCCC" w:sz="1"/>
              <w:right w:val="single" w:color="CCCCCC" w:sz="1"/>
            </w:tcBorders>
            <w:shd w:val="clear" w:fill="F5F9FC"/>
            <w:tcMar>
              <w:top w:w="120" w:type="dxa"/>
              <w:left w:w="120" w:type="dxa"/>
              <w:bottom w:w="120" w:type="dxa"/>
              <w:right w:w="120" w:type="dxa"/>
            </w:tcMar>
          </w:tcPr>
          <w:p w14:paraId="4398241A" wp14:textId="77777777">
            <w:r>
              <w:t xml:space="preserve">Graal Industries, LLC (Sacramento, California)</w:t>
            </w:r>
          </w:p>
        </w:tc>
      </w:tr>
      <w:tr xmlns:wp14="http://schemas.microsoft.com/office/word/2010/wordml" w14:paraId="1CC05E34" wp14:textId="77777777">
        <w:tc>
          <w:tcPr>
            <w:tcW w:w="3120" w:type="dxa"/>
            <w:tcBorders>
              <w:top w:val="single" w:color="CCCCCC" w:sz="1"/>
              <w:left w:val="single" w:color="CCCCCC" w:sz="1"/>
              <w:bottom w:val="single" w:color="CCCCCC" w:sz="1"/>
              <w:right w:val="single" w:color="CCCCCC" w:sz="1"/>
            </w:tcBorders>
            <w:shd w:val="clear" w:fill="1F4E78"/>
            <w:tcMar>
              <w:top w:w="120" w:type="dxa"/>
              <w:left w:w="120" w:type="dxa"/>
              <w:bottom w:w="120" w:type="dxa"/>
              <w:right w:w="120" w:type="dxa"/>
            </w:tcMar>
          </w:tcPr>
          <w:p w14:paraId="5732F8D1" wp14:textId="77777777">
            <w:r>
              <w:rPr>
                <w:b/>
                <w:bCs/>
                <w:color w:val="FFFFFF"/>
                <w:sz w:val="24"/>
                <w:szCs w:val="24"/>
              </w:rPr>
              <w:t xml:space="preserve">Research Partners:</w:t>
            </w:r>
          </w:p>
        </w:tc>
        <w:tc>
          <w:tcPr>
            <w:tcW w:w="6240" w:type="dxa"/>
            <w:tcBorders>
              <w:top w:val="single" w:color="CCCCCC" w:sz="1"/>
              <w:left w:val="single" w:color="CCCCCC" w:sz="1"/>
              <w:bottom w:val="single" w:color="CCCCCC" w:sz="1"/>
              <w:right w:val="single" w:color="CCCCCC" w:sz="1"/>
            </w:tcBorders>
            <w:shd w:val="clear" w:fill="E7F3FF"/>
            <w:tcMar>
              <w:top w:w="120" w:type="dxa"/>
              <w:left w:w="120" w:type="dxa"/>
              <w:bottom w:w="120" w:type="dxa"/>
              <w:right w:w="120" w:type="dxa"/>
            </w:tcMar>
          </w:tcPr>
          <w:p w14:paraId="1D277A1B" wp14:textId="77777777">
            <w:pPr>
              <w:spacing w:after="60"/>
            </w:pPr>
            <w:r>
              <w:t xml:space="preserve">Lawrence Livermore National Laboratory (Primary)</w:t>
            </w:r>
          </w:p>
          <w:p w14:paraId="00B6E660" wp14:textId="77777777">
            <w:pPr>
              <w:spacing w:after="60"/>
            </w:pPr>
            <w:r>
              <w:t xml:space="preserve">UCLA Henry Samueli School of Engineering</w:t>
            </w:r>
          </w:p>
          <w:p w14:paraId="0922C743" wp14:textId="77777777">
            <w:pPr>
              <w:spacing w:after="60"/>
            </w:pPr>
            <w:r>
              <w:t xml:space="preserve">UC Berkeley CIEE (Prof. Sasha von Meier)</w:t>
            </w:r>
          </w:p>
          <w:p w14:paraId="02124635" wp14:textId="77777777">
            <w:r>
              <w:t xml:space="preserve">UC Davis Energy Institute</w:t>
            </w:r>
          </w:p>
        </w:tc>
      </w:tr>
      <w:tr xmlns:wp14="http://schemas.microsoft.com/office/word/2010/wordml" w14:paraId="5753DC16" wp14:textId="77777777">
        <w:tc>
          <w:tcPr>
            <w:tcW w:w="3120" w:type="dxa"/>
            <w:tcBorders>
              <w:top w:val="single" w:color="CCCCCC" w:sz="1"/>
              <w:left w:val="single" w:color="CCCCCC" w:sz="1"/>
              <w:bottom w:val="single" w:color="CCCCCC" w:sz="1"/>
              <w:right w:val="single" w:color="CCCCCC" w:sz="1"/>
            </w:tcBorders>
            <w:shd w:val="clear" w:fill="1F4E78"/>
            <w:tcMar>
              <w:top w:w="120" w:type="dxa"/>
              <w:left w:w="120" w:type="dxa"/>
              <w:bottom w:w="120" w:type="dxa"/>
              <w:right w:w="120" w:type="dxa"/>
            </w:tcMar>
          </w:tcPr>
          <w:p w14:paraId="3712A024" wp14:textId="77777777">
            <w:r>
              <w:rPr>
                <w:b/>
                <w:bCs/>
                <w:color w:val="FFFFFF"/>
                <w:sz w:val="24"/>
                <w:szCs w:val="24"/>
              </w:rPr>
              <w:t xml:space="preserve">Program Track:</w:t>
            </w:r>
          </w:p>
        </w:tc>
        <w:tc>
          <w:tcPr>
            <w:tcW w:w="6240" w:type="dxa"/>
            <w:tcBorders>
              <w:top w:val="single" w:color="CCCCCC" w:sz="1"/>
              <w:left w:val="single" w:color="CCCCCC" w:sz="1"/>
              <w:bottom w:val="single" w:color="CCCCCC" w:sz="1"/>
              <w:right w:val="single" w:color="CCCCCC" w:sz="1"/>
            </w:tcBorders>
            <w:shd w:val="clear" w:fill="F5F9FC"/>
            <w:tcMar>
              <w:top w:w="120" w:type="dxa"/>
              <w:left w:w="120" w:type="dxa"/>
              <w:bottom w:w="120" w:type="dxa"/>
              <w:right w:w="120" w:type="dxa"/>
            </w:tcMar>
          </w:tcPr>
          <w:p w14:paraId="54725EF2" wp14:textId="77777777">
            <w:r>
              <w:t xml:space="preserve">Track 1: Breakthrough Energy Storage Technologies</w:t>
            </w:r>
          </w:p>
        </w:tc>
      </w:tr>
      <w:tr xmlns:wp14="http://schemas.microsoft.com/office/word/2010/wordml" w14:paraId="2B09A95B" wp14:textId="77777777">
        <w:tc>
          <w:tcPr>
            <w:tcW w:w="3120" w:type="dxa"/>
            <w:tcBorders>
              <w:top w:val="single" w:color="CCCCCC" w:sz="1"/>
              <w:left w:val="single" w:color="CCCCCC" w:sz="1"/>
              <w:bottom w:val="single" w:color="CCCCCC" w:sz="1"/>
              <w:right w:val="single" w:color="CCCCCC" w:sz="1"/>
            </w:tcBorders>
            <w:shd w:val="clear" w:fill="1F4E78"/>
            <w:tcMar>
              <w:top w:w="120" w:type="dxa"/>
              <w:left w:w="120" w:type="dxa"/>
              <w:bottom w:w="120" w:type="dxa"/>
              <w:right w:w="120" w:type="dxa"/>
            </w:tcMar>
          </w:tcPr>
          <w:p w14:paraId="73B69FB4" wp14:textId="77777777">
            <w:r>
              <w:rPr>
                <w:b/>
                <w:bCs/>
                <w:color w:val="FFFFFF"/>
                <w:sz w:val="24"/>
                <w:szCs w:val="24"/>
              </w:rPr>
              <w:t xml:space="preserve">Project Duration:</w:t>
            </w:r>
          </w:p>
        </w:tc>
        <w:tc>
          <w:tcPr>
            <w:tcW w:w="6240" w:type="dxa"/>
            <w:tcBorders>
              <w:top w:val="single" w:color="CCCCCC" w:sz="1"/>
              <w:left w:val="single" w:color="CCCCCC" w:sz="1"/>
              <w:bottom w:val="single" w:color="CCCCCC" w:sz="1"/>
              <w:right w:val="single" w:color="CCCCCC" w:sz="1"/>
            </w:tcBorders>
            <w:shd w:val="clear" w:fill="E7F3FF"/>
            <w:tcMar>
              <w:top w:w="120" w:type="dxa"/>
              <w:left w:w="120" w:type="dxa"/>
              <w:bottom w:w="120" w:type="dxa"/>
              <w:right w:w="120" w:type="dxa"/>
            </w:tcMar>
          </w:tcPr>
          <w:p w14:paraId="4C666397" wp14:textId="77777777">
            <w:r>
              <w:t xml:space="preserve">24 Months (March 2026 - February 2028)</w:t>
            </w:r>
          </w:p>
        </w:tc>
      </w:tr>
      <w:tr xmlns:wp14="http://schemas.microsoft.com/office/word/2010/wordml" w14:paraId="034D0205" wp14:textId="77777777">
        <w:tc>
          <w:tcPr>
            <w:tcW w:w="3120" w:type="dxa"/>
            <w:tcBorders>
              <w:top w:val="single" w:color="CCCCCC" w:sz="1"/>
              <w:left w:val="single" w:color="CCCCCC" w:sz="1"/>
              <w:bottom w:val="single" w:color="CCCCCC" w:sz="1"/>
              <w:right w:val="single" w:color="CCCCCC" w:sz="1"/>
            </w:tcBorders>
            <w:shd w:val="clear" w:fill="1F4E78"/>
            <w:tcMar>
              <w:top w:w="120" w:type="dxa"/>
              <w:left w:w="120" w:type="dxa"/>
              <w:bottom w:w="120" w:type="dxa"/>
              <w:right w:w="120" w:type="dxa"/>
            </w:tcMar>
          </w:tcPr>
          <w:p w14:paraId="350BD458" wp14:textId="77777777">
            <w:r>
              <w:rPr>
                <w:b/>
                <w:bCs/>
                <w:color w:val="FFFFFF"/>
                <w:sz w:val="24"/>
                <w:szCs w:val="24"/>
              </w:rPr>
              <w:t xml:space="preserve">Total Budget Request:</w:t>
            </w:r>
          </w:p>
        </w:tc>
        <w:tc>
          <w:tcPr>
            <w:tcW w:w="6240" w:type="dxa"/>
            <w:tcBorders>
              <w:top w:val="single" w:color="CCCCCC" w:sz="1"/>
              <w:left w:val="single" w:color="CCCCCC" w:sz="1"/>
              <w:bottom w:val="single" w:color="CCCCCC" w:sz="1"/>
              <w:right w:val="single" w:color="CCCCCC" w:sz="1"/>
            </w:tcBorders>
            <w:shd w:val="clear" w:fill="FFF8DC"/>
            <w:tcMar>
              <w:top w:w="120" w:type="dxa"/>
              <w:left w:w="120" w:type="dxa"/>
              <w:bottom w:w="120" w:type="dxa"/>
              <w:right w:w="120" w:type="dxa"/>
            </w:tcMar>
          </w:tcPr>
          <w:p w14:paraId="124D98C0" wp14:textId="77777777">
            <w:pPr>
              <w:jc w:val="center"/>
            </w:pPr>
            <w:r>
              <w:rPr>
                <w:b/>
                <w:bCs/>
                <w:color w:val="C55A11"/>
                <w:sz w:val="32"/>
                <w:szCs w:val="32"/>
              </w:rPr>
              <w:t xml:space="preserve">$4,000,000</w:t>
            </w:r>
          </w:p>
        </w:tc>
      </w:tr>
      <w:tr xmlns:wp14="http://schemas.microsoft.com/office/word/2010/wordml" w14:paraId="2DCDCC6F" wp14:textId="77777777">
        <w:tc>
          <w:tcPr>
            <w:tcW w:w="3120" w:type="dxa"/>
            <w:tcBorders>
              <w:top w:val="single" w:color="CCCCCC" w:sz="1"/>
              <w:left w:val="single" w:color="CCCCCC" w:sz="1"/>
              <w:bottom w:val="single" w:color="CCCCCC" w:sz="1"/>
              <w:right w:val="single" w:color="CCCCCC" w:sz="1"/>
            </w:tcBorders>
            <w:shd w:val="clear" w:fill="1F4E78"/>
            <w:tcMar>
              <w:top w:w="120" w:type="dxa"/>
              <w:left w:w="120" w:type="dxa"/>
              <w:bottom w:w="120" w:type="dxa"/>
              <w:right w:w="120" w:type="dxa"/>
            </w:tcMar>
          </w:tcPr>
          <w:p w14:paraId="1E60D441" wp14:textId="77777777">
            <w:r>
              <w:rPr>
                <w:b/>
                <w:bCs/>
                <w:color w:val="FFFFFF"/>
                <w:sz w:val="24"/>
                <w:szCs w:val="24"/>
              </w:rPr>
              <w:t xml:space="preserve">Cost Share (25%):</w:t>
            </w:r>
          </w:p>
        </w:tc>
        <w:tc>
          <w:tcPr>
            <w:tcW w:w="6240" w:type="dxa"/>
            <w:tcBorders>
              <w:top w:val="single" w:color="CCCCCC" w:sz="1"/>
              <w:left w:val="single" w:color="CCCCCC" w:sz="1"/>
              <w:bottom w:val="single" w:color="CCCCCC" w:sz="1"/>
              <w:right w:val="single" w:color="CCCCCC" w:sz="1"/>
            </w:tcBorders>
            <w:shd w:val="clear" w:fill="F5F9FC"/>
            <w:tcMar>
              <w:top w:w="120" w:type="dxa"/>
              <w:left w:w="120" w:type="dxa"/>
              <w:bottom w:w="120" w:type="dxa"/>
              <w:right w:w="120" w:type="dxa"/>
            </w:tcMar>
          </w:tcPr>
          <w:p w14:paraId="582400A4" wp14:textId="77777777">
            <w:r>
              <w:t xml:space="preserve">$1,000,000 (Graal Industries in-kind + cash contribution)</w:t>
            </w:r>
          </w:p>
        </w:tc>
      </w:tr>
    </w:tbl>
    <w:p xmlns:wp14="http://schemas.microsoft.com/office/word/2010/wordml" w14:paraId="672A6659" wp14:textId="77777777">
      <w:r>
        <w:br w:type="page"/>
      </w:r>
    </w:p>
    <w:p xmlns:wp14="http://schemas.microsoft.com/office/word/2010/wordml" w14:paraId="78356A93" wp14:textId="77777777">
      <w:pPr>
        <w:pStyle w:val="Heading1"/>
      </w:pPr>
      <w:r>
        <w:t xml:space="preserve">TABLE OF CONTENTS</w:t>
      </w:r>
    </w:p>
    <w:sdt>
      <w:sdtPr>
        <w:id w:val="1654165488"/>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r>
        <w:br w:type="page"/>
      </w:r>
    </w:p>
    <w:p xmlns:wp14="http://schemas.microsoft.com/office/word/2010/wordml" w14:paraId="0E9B782D" wp14:textId="77777777">
      <w:pPr>
        <w:pStyle w:val="Heading1"/>
      </w:pPr>
      <w:r>
        <w:t xml:space="preserve">1. EXECUTIVE SUMMARY</w:t>
      </w:r>
    </w:p>
    <w:p xmlns:wp14="http://schemas.microsoft.com/office/word/2010/wordml" w14:paraId="128DBAEE" wp14:textId="77777777">
      <w:pPr>
        <w:spacing w:after="180"/>
      </w:pPr>
      <w:r>
        <w:rPr>
          <w:b/>
          <w:bCs/>
          <w:color w:val="1F4E78"/>
          <w:sz w:val="26"/>
          <w:szCs w:val="26"/>
        </w:rPr>
        <w:t xml:space="preserve">The Challenge: California's Inertia Gap</w:t>
      </w:r>
    </w:p>
    <w:p xmlns:wp14="http://schemas.microsoft.com/office/word/2010/wordml" w14:paraId="018E0298" wp14:textId="77777777">
      <w:pPr>
        <w:spacing w:after="240"/>
      </w:pPr>
      <w:r>
        <w:rPr>
          <w:sz w:val="24"/>
          <w:szCs w:val="24"/>
        </w:rPr>
        <w:t xml:space="preserve">California's 2030 Zero-Carbon mandate creates an unprecedented grid stability crisis. As renewable energy sources (solar, wind) replace synchronous generators (gas, hydro), the grid loses physical inertia—the rotational energy that naturally stabilizes frequency during load changes. Chemical battery energy storage systems (BESS) cannot provide synthetic inertia at millisecond timescales, creating a fundamental incompatibility between renewable energy and grid stability.</w:t>
      </w:r>
    </w:p>
    <w:p xmlns:wp14="http://schemas.microsoft.com/office/word/2010/wordml" w14:paraId="59F71046" wp14:textId="77777777">
      <w:pPr>
        <w:spacing w:after="360"/>
      </w:pPr>
      <w:r>
        <w:rPr>
          <w:b/>
          <w:bCs/>
          <w:color w:val="C55A11"/>
          <w:sz w:val="24"/>
          <w:szCs w:val="24"/>
        </w:rPr>
        <w:t xml:space="preserve">This 'Inertia Gap' threatens to limit renewable penetration below policy targets, forcing continued reliance on fossil fuel peaker plants for grid stability—undermining California's climate goals.</w:t>
      </w:r>
    </w:p>
    <w:p xmlns:wp14="http://schemas.microsoft.com/office/word/2010/wordml" w14:paraId="61FD474B" wp14:textId="77777777">
      <w:pPr>
        <w:spacing w:after="180"/>
      </w:pPr>
      <w:r>
        <w:rPr>
          <w:b/>
          <w:bCs/>
          <w:color w:val="1F4E78"/>
          <w:sz w:val="26"/>
          <w:szCs w:val="26"/>
        </w:rPr>
        <w:t xml:space="preserve">The Solution: Superconducting Kinetic Energy Storage</w:t>
      </w:r>
    </w:p>
    <w:p xmlns:wp14="http://schemas.microsoft.com/office/word/2010/wordml" w14:paraId="1E172225" wp14:textId="77777777">
      <w:pPr>
        <w:spacing w:after="240"/>
      </w:pPr>
      <w:r w:rsidRPr="0E11FE9E" w:rsidR="0E11FE9E">
        <w:rPr>
          <w:sz w:val="24"/>
          <w:szCs w:val="24"/>
          <w:lang w:val="en-US"/>
        </w:rPr>
        <w:t>The Sovereign Engine represents a paradigm shift: high-temperature superconducting (HTS) REBCO tape operating at 85kHz to capture kinetic energy instantaneously, providing both energy storage AND synthetic inertia. Unlike chemical batteries limited by charge acceptance rates (C-rate), superconducting flux absorption scales to megawatt transients.</w:t>
      </w:r>
    </w:p>
    <w:p xmlns:wp14="http://schemas.microsoft.com/office/word/2010/wordml" w14:paraId="2498B61E" wp14:textId="77777777">
      <w:pPr>
        <w:pStyle w:val="Heading3"/>
      </w:pPr>
      <w:r>
        <w:t xml:space="preserve">Three Core Innovations:</w:t>
      </w:r>
    </w:p>
    <w:p xmlns:wp14="http://schemas.microsoft.com/office/word/2010/wordml" w14:paraId="78B7D627" wp14:textId="77777777">
      <w:pPr>
        <w:pStyle w:val="ListParagraph"/>
        <w:numPr>
          <w:ilvl w:val="0"/>
          <w:numId w:val="2"/>
        </w:numPr>
        <w:rPr/>
      </w:pPr>
      <w:r w:rsidRPr="0E11FE9E" w:rsidR="0E11FE9E">
        <w:rPr>
          <w:sz w:val="22"/>
          <w:szCs w:val="22"/>
          <w:lang w:val="en-US"/>
        </w:rPr>
        <w:t>θ-TaN Diamagnetic Containment: Theta-phase tantalum nitride with 2800°C thermal limit and 95% diamagnetic coefficient, enabling safe residential deployment</w:t>
      </w:r>
    </w:p>
    <w:p xmlns:wp14="http://schemas.microsoft.com/office/word/2010/wordml" w14:paraId="631FDACF" wp14:textId="77777777">
      <w:pPr>
        <w:pStyle w:val="ListParagraph"/>
        <w:numPr>
          <w:ilvl w:val="0"/>
          <w:numId w:val="2"/>
        </w:numPr>
      </w:pPr>
      <w:r>
        <w:rPr>
          <w:sz w:val="22"/>
          <w:szCs w:val="22"/>
        </w:rPr>
        <w:t xml:space="preserve">HTS REBCO 85kHz Flux Recovery: Instantaneous absorption of 8-12 MW braking energy (220mph high-speed rail), achieving 25% traction recovery vs 12% for lithium-ion BESS</w:t>
      </w:r>
    </w:p>
    <w:p xmlns:wp14="http://schemas.microsoft.com/office/word/2010/wordml" w14:paraId="5FC3BC1F" wp14:textId="77777777">
      <w:pPr>
        <w:pStyle w:val="ListParagraph"/>
        <w:numPr>
          <w:ilvl w:val="0"/>
          <w:numId w:val="2"/>
        </w:numPr>
        <w:rPr/>
      </w:pPr>
      <w:r w:rsidRPr="0E11FE9E" w:rsidR="0E11FE9E">
        <w:rPr>
          <w:sz w:val="22"/>
          <w:szCs w:val="22"/>
          <w:lang w:val="en-US"/>
        </w:rPr>
        <w:t>OpenADR 2.0b Grid Integration: &lt;10ms response time for CAISO frequency regulation, enabling 300,000-node Virtual Power Plant coordination</w:t>
      </w:r>
    </w:p>
    <w:p xmlns:wp14="http://schemas.microsoft.com/office/word/2010/wordml" w14:paraId="3E59ABAB" wp14:textId="77777777">
      <w:pPr>
        <w:spacing w:after="180"/>
      </w:pPr>
      <w:r>
        <w:rPr>
          <w:b/>
          <w:bCs/>
          <w:color w:val="C55A11"/>
          <w:sz w:val="26"/>
          <w:szCs w:val="26"/>
        </w:rPr>
        <w:t xml:space="preserve">Project Objectives &amp; Impact</w:t>
      </w:r>
    </w:p>
    <w:p xmlns:wp14="http://schemas.microsoft.com/office/word/2010/wordml" w14:paraId="3BA2DFDF" wp14:textId="77777777">
      <w:pPr>
        <w:spacing w:after="180"/>
      </w:pPr>
      <w:r w:rsidRPr="0E11FE9E" w:rsidR="0E11FE9E">
        <w:rPr>
          <w:sz w:val="24"/>
          <w:szCs w:val="24"/>
          <w:lang w:val="en-US"/>
        </w:rPr>
        <w:t>This proposal seeks DOE funding for comprehensive validation across four national/academic research institutions, demonstrating breakthrough kinetic storage technology capable of:</w:t>
      </w:r>
    </w:p>
    <w:p xmlns:wp14="http://schemas.microsoft.com/office/word/2010/wordml" w14:paraId="46C19216" wp14:textId="77777777">
      <w:pPr>
        <w:pStyle w:val="ListParagraph"/>
        <w:numPr>
          <w:ilvl w:val="0"/>
          <w:numId w:val="2"/>
        </w:numPr>
      </w:pPr>
      <w:r>
        <w:rPr>
          <w:b/>
          <w:bCs/>
          <w:sz w:val="22"/>
          <w:szCs w:val="22"/>
        </w:rPr>
        <w:t xml:space="preserve">98.5% round-trip efficiency (vs 85-90% for lithium-ion)</w:t>
      </w:r>
    </w:p>
    <w:p xmlns:wp14="http://schemas.microsoft.com/office/word/2010/wordml" w14:paraId="4228B3E0" wp14:textId="77777777">
      <w:pPr>
        <w:pStyle w:val="ListParagraph"/>
        <w:numPr>
          <w:ilvl w:val="0"/>
          <w:numId w:val="2"/>
        </w:numPr>
      </w:pPr>
      <w:r>
        <w:rPr>
          <w:b/>
          <w:bCs/>
          <w:sz w:val="22"/>
          <w:szCs w:val="22"/>
        </w:rPr>
        <w:t xml:space="preserve">Unlimited cycle life (mechanical vs chemical degradation)</w:t>
      </w:r>
    </w:p>
    <w:p xmlns:wp14="http://schemas.microsoft.com/office/word/2010/wordml" w14:paraId="5E1D332A" wp14:textId="77777777">
      <w:pPr>
        <w:pStyle w:val="ListParagraph"/>
        <w:numPr>
          <w:ilvl w:val="0"/>
          <w:numId w:val="2"/>
        </w:numPr>
      </w:pPr>
      <w:r>
        <w:rPr>
          <w:b/>
          <w:bCs/>
          <w:sz w:val="22"/>
          <w:szCs w:val="22"/>
        </w:rPr>
        <w:t xml:space="preserve">&lt;10ms grid response (vs 100-500ms for BESS)</w:t>
      </w:r>
    </w:p>
    <w:p xmlns:wp14="http://schemas.microsoft.com/office/word/2010/wordml" w14:paraId="508DF373" wp14:textId="77777777">
      <w:pPr>
        <w:pStyle w:val="ListParagraph"/>
        <w:numPr>
          <w:ilvl w:val="0"/>
          <w:numId w:val="2"/>
        </w:numPr>
      </w:pPr>
      <w:r>
        <w:rPr>
          <w:b/>
          <w:bCs/>
          <w:sz w:val="22"/>
          <w:szCs w:val="22"/>
        </w:rPr>
        <w:t xml:space="preserve">Zero lithium supply chain dependence (critical for national security)</w:t>
      </w:r>
    </w:p>
    <w:p xmlns:wp14="http://schemas.microsoft.com/office/word/2010/wordml" w14:paraId="287EFFE7" wp14:textId="77777777">
      <w:pPr>
        <w:spacing w:after="240"/>
      </w:pPr>
      <w:r>
        <w:rPr>
          <w:i/>
          <w:iCs/>
          <w:sz w:val="24"/>
          <w:szCs w:val="24"/>
        </w:rPr>
        <w:t xml:space="preserve">Deployment at scale (300,000 units across California) creates $726M annual revenue through carbon credit monetization and grid services, while enabling 100% renewable grid operation—directly advancing DOE Energy Storage Grand Challenge goals.</w:t>
      </w:r>
    </w:p>
    <w:p xmlns:wp14="http://schemas.microsoft.com/office/word/2010/wordml" w14:paraId="02EB378F" wp14:textId="77777777">
      <w:r>
        <w:br w:type="page"/>
      </w:r>
    </w:p>
    <w:p xmlns:wp14="http://schemas.microsoft.com/office/word/2010/wordml" w14:paraId="7B825B3D" wp14:textId="77777777">
      <w:pPr>
        <w:pStyle w:val="Heading1"/>
      </w:pPr>
      <w:r>
        <w:t xml:space="preserve">2. TECHNICAL APPROACH &amp; INNOVATION</w:t>
      </w:r>
    </w:p>
    <w:p xmlns:wp14="http://schemas.microsoft.com/office/word/2010/wordml" w14:paraId="1E5E1117" wp14:textId="77777777">
      <w:pPr>
        <w:pStyle w:val="Heading2"/>
      </w:pPr>
      <w:r>
        <w:t xml:space="preserve">2.1 FUNDAMENTAL PHYSICS: WHY KINETIC BEATS CHEMICAL</w:t>
      </w:r>
    </w:p>
    <w:p xmlns:wp14="http://schemas.microsoft.com/office/word/2010/wordml" w14:paraId="5EF04925" wp14:textId="77777777">
      <w:pPr>
        <w:spacing w:after="120"/>
      </w:pPr>
      <w:r>
        <w:rPr>
          <w:b/>
          <w:bCs/>
          <w:color w:val="1F4E78"/>
          <w:sz w:val="24"/>
          <w:szCs w:val="24"/>
        </w:rPr>
        <w:t xml:space="preserve">The Charge Acceptance Problem</w:t>
      </w:r>
    </w:p>
    <w:p xmlns:wp14="http://schemas.microsoft.com/office/word/2010/wordml" w14:paraId="05C21B52" wp14:textId="77777777">
      <w:pPr>
        <w:spacing w:after="240"/>
      </w:pPr>
      <w:r w:rsidRPr="0E11FE9E" w:rsidR="0E11FE9E">
        <w:rPr>
          <w:sz w:val="24"/>
          <w:szCs w:val="24"/>
          <w:lang w:val="en-US"/>
        </w:rPr>
        <w:t>Lithium-ion batteries are fundamentally limited by electrochemical reaction kinetics. High-speed rail braking generates 8-12 MW over 60-90 seconds—a power density that exceeds lithium-ion charge acceptance by 300%. Chemical batteries must reject this energy (dissipate as heat) or risk thermal runaway.</w:t>
      </w:r>
    </w:p>
    <w:p xmlns:wp14="http://schemas.microsoft.com/office/word/2010/wordml" w14:paraId="39229935" wp14:textId="77777777">
      <w:pPr>
        <w:spacing w:after="120"/>
      </w:pPr>
      <w:r>
        <w:rPr>
          <w:b/>
          <w:bCs/>
          <w:color w:val="C55A11"/>
          <w:sz w:val="24"/>
          <w:szCs w:val="24"/>
        </w:rPr>
        <w:t xml:space="preserve">Superconducting Flux Advantage</w:t>
      </w:r>
    </w:p>
    <w:p xmlns:wp14="http://schemas.microsoft.com/office/word/2010/wordml" w14:paraId="5259A51D" wp14:textId="77777777">
      <w:pPr>
        <w:spacing w:after="240"/>
      </w:pPr>
      <w:r>
        <w:rPr>
          <w:sz w:val="24"/>
          <w:szCs w:val="24"/>
        </w:rPr>
        <w:t xml:space="preserve">HTS REBCO tape exhibits zero electrical resistance below critical temperature (90K for REBCO), enabling instantaneous flux absorption limited only by magnetic field strength—not chemical reaction rates. At 85kHz operating frequency, the Sovereign Engine captures braking energy that chemical batteries cannot accept.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E11FE9E" w14:paraId="4FBB17F7" wp14:textId="77777777">
        <w:tc>
          <w:tcPr>
            <w:tcW w:w="312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42AC5CA1" wp14:textId="77777777">
            <w:pPr>
              <w:jc w:val="center"/>
            </w:pPr>
            <w:r>
              <w:rPr>
                <w:b/>
                <w:bCs/>
                <w:color w:val="FFFFFF"/>
                <w:sz w:val="22"/>
                <w:szCs w:val="22"/>
              </w:rPr>
              <w:t xml:space="preserve">Performance Metric</w:t>
            </w:r>
          </w:p>
        </w:tc>
        <w:tc>
          <w:tcPr>
            <w:tcW w:w="312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03A9ED6F" wp14:textId="77777777">
            <w:pPr>
              <w:jc w:val="center"/>
            </w:pPr>
            <w:r>
              <w:rPr>
                <w:b/>
                <w:bCs/>
                <w:color w:val="FFFFFF"/>
                <w:sz w:val="22"/>
                <w:szCs w:val="22"/>
              </w:rPr>
              <w:t xml:space="preserve">Lithium-Ion BESS</w:t>
            </w:r>
          </w:p>
        </w:tc>
        <w:tc>
          <w:tcPr>
            <w:tcW w:w="312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797A8A77" wp14:textId="77777777">
            <w:pPr>
              <w:jc w:val="center"/>
            </w:pPr>
            <w:r>
              <w:rPr>
                <w:b/>
                <w:bCs/>
                <w:color w:val="FFFFFF"/>
                <w:sz w:val="22"/>
                <w:szCs w:val="22"/>
              </w:rPr>
              <w:t xml:space="preserve">Sovereign Engine</w:t>
            </w:r>
          </w:p>
        </w:tc>
      </w:tr>
      <w:tr xmlns:wp14="http://schemas.microsoft.com/office/word/2010/wordml" w:rsidTr="0E11FE9E" w14:paraId="50041581" wp14:textId="77777777">
        <w:tc>
          <w:tcPr>
            <w:tcW w:w="312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784EAEE6" wp14:textId="77777777">
            <w:r>
              <w:t xml:space="preserve">Charge Acceptance</w:t>
            </w:r>
          </w:p>
        </w:tc>
        <w:tc>
          <w:tcPr>
            <w:tcW w:w="3120" w:type="dxa"/>
            <w:tcBorders>
              <w:top w:val="single" w:color="CCCCCC" w:sz="1"/>
              <w:left w:val="single" w:color="CCCCCC" w:sz="1"/>
              <w:bottom w:val="single" w:color="CCCCCC" w:sz="1"/>
              <w:right w:val="single" w:color="CCCCCC" w:sz="1"/>
            </w:tcBorders>
            <w:shd w:val="clear" w:color="auto" w:fill="FFE6E6"/>
            <w:tcMar>
              <w:top w:w="120" w:type="dxa"/>
              <w:left w:w="120" w:type="dxa"/>
              <w:bottom w:w="120" w:type="dxa"/>
              <w:right w:w="120" w:type="dxa"/>
            </w:tcMar>
          </w:tcPr>
          <w:p w14:paraId="30F83D5B" wp14:textId="77777777">
            <w:pPr>
              <w:jc w:val="center"/>
            </w:pPr>
            <w:r>
              <w:t xml:space="preserve">3-4 MW (C-rate limited)</w:t>
            </w:r>
          </w:p>
        </w:tc>
        <w:tc>
          <w:tcPr>
            <w:tcW w:w="3120" w:type="dxa"/>
            <w:tcBorders>
              <w:top w:val="single" w:color="CCCCCC" w:sz="1"/>
              <w:left w:val="single" w:color="CCCCCC" w:sz="1"/>
              <w:bottom w:val="single" w:color="CCCCCC" w:sz="1"/>
              <w:right w:val="single" w:color="CCCCCC" w:sz="1"/>
            </w:tcBorders>
            <w:shd w:val="clear" w:color="auto" w:fill="E6FFE6"/>
            <w:tcMar>
              <w:top w:w="120" w:type="dxa"/>
              <w:left w:w="120" w:type="dxa"/>
              <w:bottom w:w="120" w:type="dxa"/>
              <w:right w:w="120" w:type="dxa"/>
            </w:tcMar>
          </w:tcPr>
          <w:p w14:paraId="2B30CE54" wp14:textId="77777777">
            <w:pPr>
              <w:jc w:val="center"/>
            </w:pPr>
            <w:r>
              <w:rPr>
                <w:b/>
                <w:bCs/>
                <w:sz w:val="20"/>
                <w:szCs w:val="20"/>
              </w:rPr>
              <w:t xml:space="preserve">8-12 MW (flux limited)</w:t>
            </w:r>
          </w:p>
        </w:tc>
      </w:tr>
      <w:tr xmlns:wp14="http://schemas.microsoft.com/office/word/2010/wordml" w:rsidTr="0E11FE9E" w14:paraId="42807DBC" wp14:textId="77777777">
        <w:tc>
          <w:tcPr>
            <w:tcW w:w="312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575EF8AA" wp14:textId="77777777">
            <w:r>
              <w:t xml:space="preserve">Response Time</w:t>
            </w:r>
          </w:p>
        </w:tc>
        <w:tc>
          <w:tcPr>
            <w:tcW w:w="3120" w:type="dxa"/>
            <w:tcBorders>
              <w:top w:val="single" w:color="CCCCCC" w:sz="1"/>
              <w:left w:val="single" w:color="CCCCCC" w:sz="1"/>
              <w:bottom w:val="single" w:color="CCCCCC" w:sz="1"/>
              <w:right w:val="single" w:color="CCCCCC" w:sz="1"/>
            </w:tcBorders>
            <w:shd w:val="clear" w:color="auto" w:fill="FFE6E6"/>
            <w:tcMar>
              <w:top w:w="120" w:type="dxa"/>
              <w:left w:w="120" w:type="dxa"/>
              <w:bottom w:w="120" w:type="dxa"/>
              <w:right w:w="120" w:type="dxa"/>
            </w:tcMar>
          </w:tcPr>
          <w:p w14:paraId="7FCA4589" wp14:textId="77777777">
            <w:pPr>
              <w:jc w:val="center"/>
            </w:pPr>
            <w:r w:rsidRPr="0E11FE9E" w:rsidR="0E11FE9E">
              <w:rPr>
                <w:lang w:val="en-US"/>
              </w:rPr>
              <w:t>100-500 ms</w:t>
            </w:r>
          </w:p>
        </w:tc>
        <w:tc>
          <w:tcPr>
            <w:tcW w:w="3120" w:type="dxa"/>
            <w:tcBorders>
              <w:top w:val="single" w:color="CCCCCC" w:sz="1"/>
              <w:left w:val="single" w:color="CCCCCC" w:sz="1"/>
              <w:bottom w:val="single" w:color="CCCCCC" w:sz="1"/>
              <w:right w:val="single" w:color="CCCCCC" w:sz="1"/>
            </w:tcBorders>
            <w:shd w:val="clear" w:color="auto" w:fill="E6FFE6"/>
            <w:tcMar>
              <w:top w:w="120" w:type="dxa"/>
              <w:left w:w="120" w:type="dxa"/>
              <w:bottom w:w="120" w:type="dxa"/>
              <w:right w:w="120" w:type="dxa"/>
            </w:tcMar>
          </w:tcPr>
          <w:p w14:paraId="620F6A78" wp14:textId="77777777">
            <w:pPr>
              <w:jc w:val="center"/>
            </w:pPr>
            <w:r w:rsidRPr="0E11FE9E" w:rsidR="0E11FE9E">
              <w:rPr>
                <w:b w:val="1"/>
                <w:bCs w:val="1"/>
                <w:sz w:val="20"/>
                <w:szCs w:val="20"/>
                <w:lang w:val="en-US"/>
              </w:rPr>
              <w:t>&lt;10 ms</w:t>
            </w:r>
          </w:p>
        </w:tc>
      </w:tr>
      <w:tr xmlns:wp14="http://schemas.microsoft.com/office/word/2010/wordml" w:rsidTr="0E11FE9E" w14:paraId="2C3B4AD6" wp14:textId="77777777">
        <w:tc>
          <w:tcPr>
            <w:tcW w:w="312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5F137AFE" wp14:textId="77777777">
            <w:r>
              <w:t xml:space="preserve">Round-Trip Efficiency</w:t>
            </w:r>
          </w:p>
        </w:tc>
        <w:tc>
          <w:tcPr>
            <w:tcW w:w="3120" w:type="dxa"/>
            <w:tcBorders>
              <w:top w:val="single" w:color="CCCCCC" w:sz="1"/>
              <w:left w:val="single" w:color="CCCCCC" w:sz="1"/>
              <w:bottom w:val="single" w:color="CCCCCC" w:sz="1"/>
              <w:right w:val="single" w:color="CCCCCC" w:sz="1"/>
            </w:tcBorders>
            <w:shd w:val="clear" w:color="auto" w:fill="FFE6E6"/>
            <w:tcMar>
              <w:top w:w="120" w:type="dxa"/>
              <w:left w:w="120" w:type="dxa"/>
              <w:bottom w:w="120" w:type="dxa"/>
              <w:right w:w="120" w:type="dxa"/>
            </w:tcMar>
          </w:tcPr>
          <w:p w14:paraId="0602E92E" wp14:textId="77777777">
            <w:pPr>
              <w:jc w:val="center"/>
            </w:pPr>
            <w:r>
              <w:t xml:space="preserve">85-90%</w:t>
            </w:r>
          </w:p>
        </w:tc>
        <w:tc>
          <w:tcPr>
            <w:tcW w:w="3120" w:type="dxa"/>
            <w:tcBorders>
              <w:top w:val="single" w:color="CCCCCC" w:sz="1"/>
              <w:left w:val="single" w:color="CCCCCC" w:sz="1"/>
              <w:bottom w:val="single" w:color="CCCCCC" w:sz="1"/>
              <w:right w:val="single" w:color="CCCCCC" w:sz="1"/>
            </w:tcBorders>
            <w:shd w:val="clear" w:color="auto" w:fill="E6FFE6"/>
            <w:tcMar>
              <w:top w:w="120" w:type="dxa"/>
              <w:left w:w="120" w:type="dxa"/>
              <w:bottom w:w="120" w:type="dxa"/>
              <w:right w:w="120" w:type="dxa"/>
            </w:tcMar>
          </w:tcPr>
          <w:p w14:paraId="0CA6FB7E" wp14:textId="77777777">
            <w:pPr>
              <w:jc w:val="center"/>
            </w:pPr>
            <w:r>
              <w:rPr>
                <w:b/>
                <w:bCs/>
                <w:sz w:val="20"/>
                <w:szCs w:val="20"/>
              </w:rPr>
              <w:t xml:space="preserve">98.5%</w:t>
            </w:r>
          </w:p>
        </w:tc>
      </w:tr>
      <w:tr xmlns:wp14="http://schemas.microsoft.com/office/word/2010/wordml" w:rsidTr="0E11FE9E" w14:paraId="22560E2F" wp14:textId="77777777">
        <w:tc>
          <w:tcPr>
            <w:tcW w:w="312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1E70DC18" wp14:textId="77777777">
            <w:r>
              <w:t xml:space="preserve">Cycle Life</w:t>
            </w:r>
          </w:p>
        </w:tc>
        <w:tc>
          <w:tcPr>
            <w:tcW w:w="3120" w:type="dxa"/>
            <w:tcBorders>
              <w:top w:val="single" w:color="CCCCCC" w:sz="1"/>
              <w:left w:val="single" w:color="CCCCCC" w:sz="1"/>
              <w:bottom w:val="single" w:color="CCCCCC" w:sz="1"/>
              <w:right w:val="single" w:color="CCCCCC" w:sz="1"/>
            </w:tcBorders>
            <w:shd w:val="clear" w:color="auto" w:fill="FFE6E6"/>
            <w:tcMar>
              <w:top w:w="120" w:type="dxa"/>
              <w:left w:w="120" w:type="dxa"/>
              <w:bottom w:w="120" w:type="dxa"/>
              <w:right w:w="120" w:type="dxa"/>
            </w:tcMar>
          </w:tcPr>
          <w:p w14:paraId="4FCFB94E" wp14:textId="77777777">
            <w:pPr>
              <w:jc w:val="center"/>
            </w:pPr>
            <w:r>
              <w:t xml:space="preserve">2,000-10,000 cycles</w:t>
            </w:r>
          </w:p>
        </w:tc>
        <w:tc>
          <w:tcPr>
            <w:tcW w:w="3120" w:type="dxa"/>
            <w:tcBorders>
              <w:top w:val="single" w:color="CCCCCC" w:sz="1"/>
              <w:left w:val="single" w:color="CCCCCC" w:sz="1"/>
              <w:bottom w:val="single" w:color="CCCCCC" w:sz="1"/>
              <w:right w:val="single" w:color="CCCCCC" w:sz="1"/>
            </w:tcBorders>
            <w:shd w:val="clear" w:color="auto" w:fill="E6FFE6"/>
            <w:tcMar>
              <w:top w:w="120" w:type="dxa"/>
              <w:left w:w="120" w:type="dxa"/>
              <w:bottom w:w="120" w:type="dxa"/>
              <w:right w:w="120" w:type="dxa"/>
            </w:tcMar>
          </w:tcPr>
          <w:p w14:paraId="668FE718" wp14:textId="77777777">
            <w:pPr>
              <w:jc w:val="center"/>
            </w:pPr>
            <w:r>
              <w:rPr>
                <w:b/>
                <w:bCs/>
                <w:sz w:val="20"/>
                <w:szCs w:val="20"/>
              </w:rPr>
              <w:t xml:space="preserve">Unlimited (mechanical)</w:t>
            </w:r>
          </w:p>
        </w:tc>
      </w:tr>
      <w:tr xmlns:wp14="http://schemas.microsoft.com/office/word/2010/wordml" w:rsidTr="0E11FE9E" w14:paraId="6A4FD69F" wp14:textId="77777777">
        <w:tc>
          <w:tcPr>
            <w:tcW w:w="312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6B732217" wp14:textId="77777777">
            <w:r>
              <w:t xml:space="preserve">Traction Recovery (Rail)</w:t>
            </w:r>
          </w:p>
        </w:tc>
        <w:tc>
          <w:tcPr>
            <w:tcW w:w="3120" w:type="dxa"/>
            <w:tcBorders>
              <w:top w:val="single" w:color="CCCCCC" w:sz="1"/>
              <w:left w:val="single" w:color="CCCCCC" w:sz="1"/>
              <w:bottom w:val="single" w:color="CCCCCC" w:sz="1"/>
              <w:right w:val="single" w:color="CCCCCC" w:sz="1"/>
            </w:tcBorders>
            <w:shd w:val="clear" w:color="auto" w:fill="FFE6E6"/>
            <w:tcMar>
              <w:top w:w="120" w:type="dxa"/>
              <w:left w:w="120" w:type="dxa"/>
              <w:bottom w:w="120" w:type="dxa"/>
              <w:right w:w="120" w:type="dxa"/>
            </w:tcMar>
          </w:tcPr>
          <w:p w14:paraId="75974B23" wp14:textId="77777777">
            <w:pPr>
              <w:jc w:val="center"/>
            </w:pPr>
            <w:r>
              <w:t xml:space="preserve">12%</w:t>
            </w:r>
          </w:p>
        </w:tc>
        <w:tc>
          <w:tcPr>
            <w:tcW w:w="3120" w:type="dxa"/>
            <w:tcBorders>
              <w:top w:val="single" w:color="CCCCCC" w:sz="1"/>
              <w:left w:val="single" w:color="CCCCCC" w:sz="1"/>
              <w:bottom w:val="single" w:color="CCCCCC" w:sz="1"/>
              <w:right w:val="single" w:color="CCCCCC" w:sz="1"/>
            </w:tcBorders>
            <w:shd w:val="clear" w:color="auto" w:fill="E6FFE6"/>
            <w:tcMar>
              <w:top w:w="120" w:type="dxa"/>
              <w:left w:w="120" w:type="dxa"/>
              <w:bottom w:w="120" w:type="dxa"/>
              <w:right w:w="120" w:type="dxa"/>
            </w:tcMar>
          </w:tcPr>
          <w:p w14:paraId="4CDC75CA" wp14:textId="77777777">
            <w:pPr>
              <w:jc w:val="center"/>
            </w:pPr>
            <w:r>
              <w:rPr>
                <w:b/>
                <w:bCs/>
                <w:sz w:val="20"/>
                <w:szCs w:val="20"/>
              </w:rPr>
              <w:t xml:space="preserve">25%</w:t>
            </w:r>
          </w:p>
        </w:tc>
      </w:tr>
    </w:tbl>
    <w:p xmlns:wp14="http://schemas.microsoft.com/office/word/2010/wordml" w14:paraId="6A05A809" wp14:textId="77777777">
      <w:r>
        <w:br w:type="page"/>
      </w:r>
    </w:p>
    <w:p xmlns:wp14="http://schemas.microsoft.com/office/word/2010/wordml" w14:paraId="35D753DF" wp14:textId="77777777">
      <w:pPr>
        <w:pStyle w:val="Heading1"/>
      </w:pPr>
      <w:r>
        <w:t xml:space="preserve">3. RESEARCH PLAN &amp; METHODOLOGY</w:t>
      </w:r>
    </w:p>
    <w:p xmlns:wp14="http://schemas.microsoft.com/office/word/2010/wordml" w14:paraId="241A7556" wp14:textId="77777777">
      <w:pPr>
        <w:pStyle w:val="Heading2"/>
      </w:pPr>
      <w:r>
        <w:t xml:space="preserve">3.1 MULTI-INSTITUTION VALIDATION STRATEGY</w:t>
      </w:r>
    </w:p>
    <w:p xmlns:wp14="http://schemas.microsoft.com/office/word/2010/wordml" w14:paraId="409ED4EB" wp14:textId="77777777">
      <w:pPr>
        <w:spacing w:after="240"/>
      </w:pPr>
      <w:r w:rsidRPr="0E11FE9E" w:rsidR="0E11FE9E">
        <w:rPr>
          <w:sz w:val="24"/>
          <w:szCs w:val="24"/>
          <w:lang w:val="en-US"/>
        </w:rPr>
        <w:t>This project leverages specialized capabilities across four research institutions, each validating distinct technical claims: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xmlns:wp14="http://schemas.microsoft.com/office/word/2010/wordml" w:rsidTr="0E11FE9E" w14:paraId="43D1FA53" wp14:textId="77777777">
        <w:tc>
          <w:tcPr>
            <w:tcW w:w="234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68FDF56C" wp14:textId="77777777">
            <w:pPr>
              <w:jc w:val="center"/>
            </w:pPr>
            <w:r>
              <w:rPr>
                <w:b/>
                <w:bCs/>
                <w:color w:val="FFFFFF"/>
                <w:sz w:val="22"/>
                <w:szCs w:val="22"/>
              </w:rPr>
              <w:t xml:space="preserve">Institution</w:t>
            </w:r>
          </w:p>
        </w:tc>
        <w:tc>
          <w:tcPr>
            <w:tcW w:w="351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1A8B871A" wp14:textId="77777777">
            <w:pPr>
              <w:jc w:val="center"/>
            </w:pPr>
            <w:r>
              <w:rPr>
                <w:b/>
                <w:bCs/>
                <w:color w:val="FFFFFF"/>
                <w:sz w:val="22"/>
                <w:szCs w:val="22"/>
              </w:rPr>
              <w:t xml:space="preserve">Validation Focus</w:t>
            </w:r>
          </w:p>
        </w:tc>
        <w:tc>
          <w:tcPr>
            <w:tcW w:w="351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314CFAAE" wp14:textId="77777777">
            <w:pPr>
              <w:jc w:val="center"/>
            </w:pPr>
            <w:r>
              <w:rPr>
                <w:b/>
                <w:bCs/>
                <w:color w:val="FFFFFF"/>
                <w:sz w:val="22"/>
                <w:szCs w:val="22"/>
              </w:rPr>
              <w:t xml:space="preserve">Budget Allocation</w:t>
            </w:r>
          </w:p>
        </w:tc>
      </w:tr>
      <w:tr xmlns:wp14="http://schemas.microsoft.com/office/word/2010/wordml" w:rsidTr="0E11FE9E" w14:paraId="3E80C960" wp14:textId="77777777">
        <w:tc>
          <w:tcPr>
            <w:tcW w:w="234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09AFEC95" wp14:textId="77777777">
            <w:pPr>
              <w:jc w:val="center"/>
            </w:pPr>
            <w:r>
              <w:rPr>
                <w:b/>
                <w:bCs/>
                <w:color w:val="1F4E78"/>
                <w:sz w:val="22"/>
                <w:szCs w:val="22"/>
              </w:rPr>
              <w:t xml:space="preserve">LLNL</w:t>
            </w:r>
          </w:p>
        </w:tc>
        <w:tc>
          <w:tcPr>
            <w:tcW w:w="351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31AF16AC" wp14:textId="77777777">
            <w:r w:rsidRPr="0E11FE9E" w:rsidR="0E11FE9E">
              <w:rPr>
                <w:lang w:val="en-US"/>
              </w:rPr>
              <w:t>Materials (θ-TaN &gt;3000°C), High-flux physics (NIF-class), Grid resilience (CAISO integration), Supercomputer modeling (300K nodes)</w:t>
            </w:r>
          </w:p>
        </w:tc>
        <w:tc>
          <w:tcPr>
            <w:tcW w:w="351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61BCBBE4" wp14:textId="77777777">
            <w:pPr>
              <w:jc w:val="center"/>
            </w:pPr>
            <w:r>
              <w:t xml:space="preserve">$2,500,000 (62.5%)</w:t>
            </w:r>
          </w:p>
        </w:tc>
      </w:tr>
      <w:tr xmlns:wp14="http://schemas.microsoft.com/office/word/2010/wordml" w:rsidTr="0E11FE9E" w14:paraId="4CF8FCAA" wp14:textId="77777777">
        <w:tc>
          <w:tcPr>
            <w:tcW w:w="234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7B14CD49" wp14:textId="77777777">
            <w:pPr>
              <w:jc w:val="center"/>
            </w:pPr>
            <w:r>
              <w:rPr>
                <w:b/>
                <w:bCs/>
                <w:color w:val="1F4E78"/>
                <w:sz w:val="22"/>
                <w:szCs w:val="22"/>
              </w:rPr>
              <w:t xml:space="preserve">UCLA</w:t>
            </w:r>
          </w:p>
        </w:tc>
        <w:tc>
          <w:tcPr>
            <w:tcW w:w="351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5F5F61E8" wp14:textId="77777777">
            <w:r w:rsidRPr="0E11FE9E" w:rsidR="0E11FE9E">
              <w:rPr>
                <w:lang w:val="en-US"/>
              </w:rPr>
              <w:t>5-lab validation (SMERC, Heat Transfer, MTSL, Micro/Nano, H-Lab): Efficiency, thermal management, OpenADR, manufacturing scalability</w:t>
            </w:r>
          </w:p>
        </w:tc>
        <w:tc>
          <w:tcPr>
            <w:tcW w:w="351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20D4E834" wp14:textId="77777777">
            <w:pPr>
              <w:jc w:val="center"/>
            </w:pPr>
            <w:r>
              <w:t xml:space="preserve">$750,000 (18.75%)</w:t>
            </w:r>
          </w:p>
        </w:tc>
      </w:tr>
      <w:tr xmlns:wp14="http://schemas.microsoft.com/office/word/2010/wordml" w:rsidTr="0E11FE9E" w14:paraId="485474C6" wp14:textId="77777777">
        <w:tc>
          <w:tcPr>
            <w:tcW w:w="234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0DBE7DBC" wp14:textId="77777777">
            <w:pPr>
              <w:jc w:val="center"/>
            </w:pPr>
            <w:r>
              <w:rPr>
                <w:b/>
                <w:bCs/>
                <w:color w:val="1F4E78"/>
                <w:sz w:val="22"/>
                <w:szCs w:val="22"/>
              </w:rPr>
              <w:t xml:space="preserve">UC Berkeley</w:t>
            </w:r>
          </w:p>
        </w:tc>
        <w:tc>
          <w:tcPr>
            <w:tcW w:w="351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6170CD95" wp14:textId="77777777">
            <w:r w:rsidRPr="0E11FE9E" w:rsidR="0E11FE9E">
              <w:rPr>
                <w:lang w:val="en-US"/>
              </w:rPr>
              <w:t>CIEE safety certification (residential deployment), Grid inertia modeling (μPMU), Synthetic inertia quantification</w:t>
            </w:r>
          </w:p>
        </w:tc>
        <w:tc>
          <w:tcPr>
            <w:tcW w:w="351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1288D7EA" wp14:textId="77777777">
            <w:pPr>
              <w:jc w:val="center"/>
            </w:pPr>
            <w:r>
              <w:t xml:space="preserve">$500,000 (12.5%)</w:t>
            </w:r>
          </w:p>
        </w:tc>
      </w:tr>
      <w:tr xmlns:wp14="http://schemas.microsoft.com/office/word/2010/wordml" w:rsidTr="0E11FE9E" w14:paraId="4C1C8363" wp14:textId="77777777">
        <w:tc>
          <w:tcPr>
            <w:tcW w:w="234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02BD00BA" wp14:textId="77777777">
            <w:pPr>
              <w:jc w:val="center"/>
            </w:pPr>
            <w:r>
              <w:rPr>
                <w:b/>
                <w:bCs/>
                <w:color w:val="1F4E78"/>
                <w:sz w:val="22"/>
                <w:szCs w:val="22"/>
              </w:rPr>
              <w:t xml:space="preserve">UC Davis</w:t>
            </w:r>
          </w:p>
        </w:tc>
        <w:tc>
          <w:tcPr>
            <w:tcW w:w="351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52BCB328" wp14:textId="77777777">
            <w:r w:rsidRPr="0E11FE9E" w:rsidR="0E11FE9E">
              <w:rPr>
                <w:lang w:val="en-US"/>
              </w:rPr>
              <w:t>CDLS logistics integration, Carbon credit verification (LCFS/Xpansiv), Agricultural microgrid testing</w:t>
            </w:r>
          </w:p>
        </w:tc>
        <w:tc>
          <w:tcPr>
            <w:tcW w:w="351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3C648951" wp14:textId="77777777">
            <w:pPr>
              <w:jc w:val="center"/>
            </w:pPr>
            <w:r>
              <w:t xml:space="preserve">$250,000 (6.25%)</w:t>
            </w:r>
          </w:p>
        </w:tc>
      </w:tr>
      <w:tr xmlns:wp14="http://schemas.microsoft.com/office/word/2010/wordml" w:rsidTr="0E11FE9E" w14:paraId="7F4ADFDE" wp14:textId="77777777">
        <w:tc>
          <w:tcPr>
            <w:tcW w:w="2340" w:type="dxa"/>
            <w:tcBorders>
              <w:top w:val="single" w:color="CCCCCC" w:sz="1"/>
              <w:left w:val="single" w:color="CCCCCC" w:sz="1"/>
              <w:bottom w:val="single" w:color="CCCCCC" w:sz="1"/>
              <w:right w:val="single" w:color="CCCCCC" w:sz="1"/>
            </w:tcBorders>
            <w:shd w:val="clear" w:color="auto" w:fill="FFF8DC"/>
            <w:tcMar>
              <w:top w:w="120" w:type="dxa"/>
              <w:left w:w="120" w:type="dxa"/>
              <w:bottom w:w="120" w:type="dxa"/>
              <w:right w:w="120" w:type="dxa"/>
            </w:tcMar>
          </w:tcPr>
          <w:p w14:paraId="4BF53985" wp14:textId="77777777">
            <w:pPr>
              <w:jc w:val="center"/>
            </w:pPr>
            <w:r>
              <w:rPr>
                <w:b/>
                <w:bCs/>
                <w:color w:val="C55A11"/>
                <w:sz w:val="24"/>
                <w:szCs w:val="24"/>
              </w:rPr>
              <w:t xml:space="preserve">TOTAL</w:t>
            </w:r>
          </w:p>
        </w:tc>
        <w:tc>
          <w:tcPr>
            <w:tcW w:w="3510" w:type="dxa"/>
            <w:tcBorders>
              <w:top w:val="single" w:color="CCCCCC" w:sz="1"/>
              <w:left w:val="single" w:color="CCCCCC" w:sz="1"/>
              <w:bottom w:val="single" w:color="CCCCCC" w:sz="1"/>
              <w:right w:val="single" w:color="CCCCCC" w:sz="1"/>
            </w:tcBorders>
            <w:shd w:val="clear" w:color="auto" w:fill="FFF8DC"/>
            <w:tcMar>
              <w:top w:w="120" w:type="dxa"/>
              <w:left w:w="120" w:type="dxa"/>
              <w:bottom w:w="120" w:type="dxa"/>
              <w:right w:w="120" w:type="dxa"/>
            </w:tcMar>
          </w:tcPr>
          <w:p w14:paraId="5A39BBE3" wp14:textId="77777777"/>
        </w:tc>
        <w:tc>
          <w:tcPr>
            <w:tcW w:w="3510" w:type="dxa"/>
            <w:tcBorders>
              <w:top w:val="single" w:color="CCCCCC" w:sz="1"/>
              <w:left w:val="single" w:color="CCCCCC" w:sz="1"/>
              <w:bottom w:val="single" w:color="CCCCCC" w:sz="1"/>
              <w:right w:val="single" w:color="CCCCCC" w:sz="1"/>
            </w:tcBorders>
            <w:shd w:val="clear" w:color="auto" w:fill="FFF8DC"/>
            <w:tcMar>
              <w:top w:w="120" w:type="dxa"/>
              <w:left w:w="120" w:type="dxa"/>
              <w:bottom w:w="120" w:type="dxa"/>
              <w:right w:w="120" w:type="dxa"/>
            </w:tcMar>
          </w:tcPr>
          <w:p w14:paraId="67355CFB" wp14:textId="77777777">
            <w:pPr>
              <w:jc w:val="center"/>
            </w:pPr>
            <w:r>
              <w:rPr>
                <w:b/>
                <w:bCs/>
                <w:color w:val="C55A11"/>
                <w:sz w:val="24"/>
                <w:szCs w:val="24"/>
              </w:rPr>
              <w:t xml:space="preserve">$4,000,000</w:t>
            </w:r>
          </w:p>
        </w:tc>
      </w:tr>
    </w:tbl>
    <w:p xmlns:wp14="http://schemas.microsoft.com/office/word/2010/wordml" w14:paraId="41C8F396" wp14:textId="77777777">
      <w:r>
        <w:br w:type="page"/>
      </w:r>
    </w:p>
    <w:p xmlns:wp14="http://schemas.microsoft.com/office/word/2010/wordml" w14:paraId="302129F0" wp14:textId="77777777">
      <w:pPr>
        <w:pStyle w:val="Heading1"/>
      </w:pPr>
      <w:r>
        <w:t xml:space="preserve">4. ALIGNMENT WITH DOE ENERGY STORAGE GRAND CHALLENGE</w:t>
      </w:r>
    </w:p>
    <w:p xmlns:wp14="http://schemas.microsoft.com/office/word/2010/wordml" w14:paraId="1C4BDFBA" wp14:textId="77777777">
      <w:pPr>
        <w:spacing w:after="240"/>
      </w:pPr>
      <w:r>
        <w:rPr>
          <w:b/>
          <w:bCs/>
          <w:sz w:val="24"/>
          <w:szCs w:val="24"/>
        </w:rPr>
        <w:t xml:space="preserve">This project directly addresses five Energy Storage Grand Challenge pillars:</w:t>
      </w:r>
    </w:p>
    <w:p xmlns:wp14="http://schemas.microsoft.com/office/word/2010/wordml" w14:paraId="71B47B0C" wp14:textId="77777777">
      <w:pPr>
        <w:pStyle w:val="Heading3"/>
      </w:pPr>
      <w:r>
        <w:t xml:space="preserve">Pillar 1: Accelerate Development of Transformational Technologies</w:t>
      </w:r>
    </w:p>
    <w:p xmlns:wp14="http://schemas.microsoft.com/office/word/2010/wordml" w14:paraId="4367AE05" wp14:textId="77777777">
      <w:pPr>
        <w:pStyle w:val="ListParagraph"/>
        <w:numPr>
          <w:ilvl w:val="0"/>
          <w:numId w:val="2"/>
        </w:numPr>
        <w:rPr/>
      </w:pPr>
      <w:r w:rsidRPr="0E11FE9E" w:rsidR="0E11FE9E">
        <w:rPr>
          <w:sz w:val="22"/>
          <w:szCs w:val="22"/>
          <w:lang w:val="en-US"/>
        </w:rPr>
        <w:t>Superconducting kinetic storage represents fundamentally different energy conversion pathway vs electrochemical</w:t>
      </w:r>
    </w:p>
    <w:p xmlns:wp14="http://schemas.microsoft.com/office/word/2010/wordml" w14:paraId="06EE2F2E" wp14:textId="77777777">
      <w:pPr>
        <w:pStyle w:val="ListParagraph"/>
        <w:numPr>
          <w:ilvl w:val="0"/>
          <w:numId w:val="2"/>
        </w:numPr>
        <w:rPr/>
      </w:pPr>
      <w:r w:rsidRPr="0E11FE9E" w:rsidR="0E11FE9E">
        <w:rPr>
          <w:sz w:val="22"/>
          <w:szCs w:val="22"/>
          <w:lang w:val="en-US"/>
        </w:rPr>
        <w:t>θ-TaN diamagnetic containment enables first-in-class residential deployment of high-flux systems</w:t>
      </w:r>
    </w:p>
    <w:p xmlns:wp14="http://schemas.microsoft.com/office/word/2010/wordml" w14:paraId="3A9B300F" wp14:textId="77777777">
      <w:pPr>
        <w:pStyle w:val="Heading3"/>
        <w:spacing w:before="240"/>
      </w:pPr>
      <w:r>
        <w:t xml:space="preserve">Pillar 2: Enable Grid Modernization</w:t>
      </w:r>
    </w:p>
    <w:p xmlns:wp14="http://schemas.microsoft.com/office/word/2010/wordml" w14:paraId="75F01C50" wp14:textId="77777777">
      <w:pPr>
        <w:pStyle w:val="ListParagraph"/>
        <w:numPr>
          <w:ilvl w:val="0"/>
          <w:numId w:val="2"/>
        </w:numPr>
      </w:pPr>
      <w:r>
        <w:rPr>
          <w:sz w:val="22"/>
          <w:szCs w:val="22"/>
        </w:rPr>
        <w:t xml:space="preserve">300,000-node VPP provides distributed synthetic inertia for renewable integration</w:t>
      </w:r>
    </w:p>
    <w:p xmlns:wp14="http://schemas.microsoft.com/office/word/2010/wordml" w14:paraId="3D9AC85F" wp14:textId="77777777">
      <w:pPr>
        <w:pStyle w:val="ListParagraph"/>
        <w:numPr>
          <w:ilvl w:val="0"/>
          <w:numId w:val="2"/>
        </w:numPr>
      </w:pPr>
      <w:r>
        <w:rPr>
          <w:sz w:val="22"/>
          <w:szCs w:val="22"/>
        </w:rPr>
        <w:t xml:space="preserve">&lt;10ms CAISO frequency regulation enables 100% renewable penetration</w:t>
      </w:r>
    </w:p>
    <w:p xmlns:wp14="http://schemas.microsoft.com/office/word/2010/wordml" w14:paraId="3CE08527" wp14:textId="77777777">
      <w:pPr>
        <w:pStyle w:val="Heading3"/>
        <w:spacing w:before="240"/>
      </w:pPr>
      <w:r>
        <w:t xml:space="preserve">Pillar 3: Reduce Supply Chain Risk</w:t>
      </w:r>
    </w:p>
    <w:p xmlns:wp14="http://schemas.microsoft.com/office/word/2010/wordml" w14:paraId="64A1BF35" wp14:textId="77777777">
      <w:pPr>
        <w:pStyle w:val="ListParagraph"/>
        <w:numPr>
          <w:ilvl w:val="0"/>
          <w:numId w:val="2"/>
        </w:numPr>
        <w:rPr/>
      </w:pPr>
      <w:r w:rsidRPr="0E11FE9E" w:rsidR="0E11FE9E">
        <w:rPr>
          <w:sz w:val="22"/>
          <w:szCs w:val="22"/>
          <w:lang w:val="en-US"/>
        </w:rPr>
        <w:t>Zero lithium dependence eliminates geopolitical supply chain vulnerabilities</w:t>
      </w:r>
    </w:p>
    <w:p xmlns:wp14="http://schemas.microsoft.com/office/word/2010/wordml" w14:paraId="3630B009" wp14:textId="77777777">
      <w:pPr>
        <w:pStyle w:val="ListParagraph"/>
        <w:numPr>
          <w:ilvl w:val="0"/>
          <w:numId w:val="2"/>
        </w:numPr>
      </w:pPr>
      <w:r>
        <w:rPr>
          <w:sz w:val="22"/>
          <w:szCs w:val="22"/>
        </w:rPr>
        <w:t xml:space="preserve">Domestic manufacturing (Sacramento + 50 Central Valley nodes) creates resilient production</w:t>
      </w:r>
    </w:p>
    <w:p xmlns:wp14="http://schemas.microsoft.com/office/word/2010/wordml" w14:paraId="635F8AA7" wp14:textId="77777777">
      <w:pPr>
        <w:pStyle w:val="Heading3"/>
        <w:spacing w:before="240"/>
      </w:pPr>
      <w:r>
        <w:t xml:space="preserve">Pillar 4: Improve Safety</w:t>
      </w:r>
    </w:p>
    <w:p xmlns:wp14="http://schemas.microsoft.com/office/word/2010/wordml" w14:paraId="178203EC" wp14:textId="77777777">
      <w:pPr>
        <w:pStyle w:val="ListParagraph"/>
        <w:numPr>
          <w:ilvl w:val="0"/>
          <w:numId w:val="2"/>
        </w:numPr>
        <w:rPr/>
      </w:pPr>
      <w:r w:rsidRPr="0E11FE9E" w:rsidR="0E11FE9E">
        <w:rPr>
          <w:sz w:val="22"/>
          <w:szCs w:val="22"/>
          <w:lang w:val="en-US"/>
        </w:rPr>
        <w:t>Mechanical energy storage eliminates thermal runaway risk (no chemical reactions)</w:t>
      </w:r>
    </w:p>
    <w:p xmlns:wp14="http://schemas.microsoft.com/office/word/2010/wordml" w14:paraId="5180EBD8" wp14:textId="77777777">
      <w:pPr>
        <w:pStyle w:val="ListParagraph"/>
        <w:numPr>
          <w:ilvl w:val="0"/>
          <w:numId w:val="2"/>
        </w:numPr>
        <w:rPr/>
      </w:pPr>
      <w:r w:rsidRPr="0E11FE9E" w:rsidR="0E11FE9E">
        <w:rPr>
          <w:sz w:val="22"/>
          <w:szCs w:val="22"/>
          <w:lang w:val="en-US"/>
        </w:rPr>
        <w:t>θ-TaN EMI exclusion enables safe residential in-wall deployment (medical device compatibility)</w:t>
      </w:r>
    </w:p>
    <w:p xmlns:wp14="http://schemas.microsoft.com/office/word/2010/wordml" w14:paraId="72B0FCBA" wp14:textId="77777777">
      <w:pPr>
        <w:pStyle w:val="Heading3"/>
        <w:spacing w:before="240"/>
      </w:pPr>
      <w:r w:rsidRPr="0E11FE9E" w:rsidR="0E11FE9E">
        <w:rPr>
          <w:lang w:val="en-US"/>
        </w:rPr>
        <w:t>Pillar 5: Demonstrate Value</w:t>
      </w:r>
    </w:p>
    <w:p xmlns:wp14="http://schemas.microsoft.com/office/word/2010/wordml" w14:paraId="5667DDEF" wp14:textId="77777777">
      <w:pPr>
        <w:pStyle w:val="ListParagraph"/>
        <w:numPr>
          <w:ilvl w:val="0"/>
          <w:numId w:val="2"/>
        </w:numPr>
      </w:pPr>
      <w:r>
        <w:rPr>
          <w:sz w:val="22"/>
          <w:szCs w:val="22"/>
        </w:rPr>
        <w:t xml:space="preserve">$726M annual revenue model via carbon credits + V2G services</w:t>
      </w:r>
    </w:p>
    <w:p xmlns:wp14="http://schemas.microsoft.com/office/word/2010/wordml" w14:paraId="56B48197" wp14:textId="77777777">
      <w:pPr>
        <w:pStyle w:val="ListParagraph"/>
        <w:numPr>
          <w:ilvl w:val="0"/>
          <w:numId w:val="2"/>
        </w:numPr>
      </w:pPr>
      <w:r>
        <w:rPr>
          <w:sz w:val="22"/>
          <w:szCs w:val="22"/>
        </w:rPr>
        <w:t xml:space="preserve">30-year NPV: +$1.14B (Kinetic) vs -$728M (BESS) = $1.87B advantage</w:t>
      </w:r>
    </w:p>
    <w:p xmlns:wp14="http://schemas.microsoft.com/office/word/2010/wordml" w14:paraId="72A3D3EC" wp14:textId="77777777">
      <w:r>
        <w:br w:type="page"/>
      </w:r>
    </w:p>
    <w:p xmlns:wp14="http://schemas.microsoft.com/office/word/2010/wordml" w14:paraId="314E4FDF" wp14:textId="77777777">
      <w:pPr>
        <w:pStyle w:val="Heading1"/>
      </w:pPr>
      <w:r>
        <w:t xml:space="preserve">5. COMMERCIALIZATION &amp; DEPLOYMENT PATHWAY</w:t>
      </w:r>
    </w:p>
    <w:p xmlns:wp14="http://schemas.microsoft.com/office/word/2010/wordml" w14:paraId="10AD4390" wp14:textId="77777777">
      <w:pPr>
        <w:pStyle w:val="Heading2"/>
      </w:pPr>
      <w:r>
        <w:t xml:space="preserve">5.1 CALIFORNIA HIGH-SPEED RAIL AUTHORITY (CAHSRA) INTEGRATION</w:t>
      </w:r>
    </w:p>
    <w:p xmlns:wp14="http://schemas.microsoft.com/office/word/2010/wordml" w14:paraId="1EA9FFA6" wp14:textId="77777777">
      <w:pPr>
        <w:spacing w:after="180"/>
      </w:pPr>
      <w:r w:rsidRPr="0E11FE9E" w:rsidR="0E11FE9E">
        <w:rPr>
          <w:sz w:val="24"/>
          <w:szCs w:val="24"/>
          <w:lang w:val="en-US"/>
        </w:rPr>
        <w:t>Graal Industries has identified $289M in available CAHSRA Track &amp; Systems budget for kinetic energy recovery deployment across 8 Siemens Velaro trainsets + 24 stations. DOE validation enables immediate procurement:</w:t>
      </w:r>
    </w:p>
    <w:p xmlns:wp14="http://schemas.microsoft.com/office/word/2010/wordml" w14:paraId="14A9141E" wp14:textId="77777777">
      <w:pPr>
        <w:pStyle w:val="ListParagraph"/>
        <w:numPr>
          <w:ilvl w:val="0"/>
          <w:numId w:val="2"/>
        </w:numPr>
      </w:pPr>
      <w:r>
        <w:rPr>
          <w:sz w:val="22"/>
          <w:szCs w:val="22"/>
        </w:rPr>
        <w:t xml:space="preserve">Phase I (2027): Sacramento-Fresno corridor (100 miles), 5,000 units</w:t>
      </w:r>
    </w:p>
    <w:p xmlns:wp14="http://schemas.microsoft.com/office/word/2010/wordml" w14:paraId="02609AD5" wp14:textId="77777777">
      <w:pPr>
        <w:pStyle w:val="ListParagraph"/>
        <w:numPr>
          <w:ilvl w:val="0"/>
          <w:numId w:val="2"/>
        </w:numPr>
      </w:pPr>
      <w:r>
        <w:rPr>
          <w:sz w:val="22"/>
          <w:szCs w:val="22"/>
        </w:rPr>
        <w:t xml:space="preserve">Phase II (2028): Full Central Valley deployment, 50,000 units</w:t>
      </w:r>
    </w:p>
    <w:p xmlns:wp14="http://schemas.microsoft.com/office/word/2010/wordml" w14:paraId="71DFD45E" wp14:textId="77777777">
      <w:pPr>
        <w:pStyle w:val="ListParagraph"/>
        <w:numPr>
          <w:ilvl w:val="0"/>
          <w:numId w:val="2"/>
        </w:numPr>
      </w:pPr>
      <w:r>
        <w:rPr>
          <w:sz w:val="22"/>
          <w:szCs w:val="22"/>
        </w:rPr>
        <w:t xml:space="preserve">Phase III (2029-2030): Statewide residential VPP, 300,000 units</w:t>
      </w:r>
    </w:p>
    <w:p xmlns:wp14="http://schemas.microsoft.com/office/word/2010/wordml" w14:paraId="1DB164AE" wp14:textId="77777777">
      <w:pPr>
        <w:pStyle w:val="Heading2"/>
        <w:spacing w:before="360"/>
      </w:pPr>
      <w:r>
        <w:t xml:space="preserve">5.2 INSTITUTIONAL INVESTMENT (CALPERS EMERGING MANAGER PROGRAM)</w:t>
      </w:r>
    </w:p>
    <w:p xmlns:wp14="http://schemas.microsoft.com/office/word/2010/wordml" w14:paraId="295DD80D" wp14:textId="77777777">
      <w:pPr>
        <w:spacing w:after="180"/>
      </w:pPr>
      <w:r w:rsidRPr="0E11FE9E" w:rsidR="0E11FE9E">
        <w:rPr>
          <w:sz w:val="24"/>
          <w:szCs w:val="24"/>
          <w:lang w:val="en-US"/>
        </w:rPr>
        <w:t>CalPERS has committed $5M initial investment contingent on independent validation. DOE certification + LLNL validation provides institutional-grade risk mitigation, enabling $50M Series A targeting:</w:t>
      </w:r>
    </w:p>
    <w:p xmlns:wp14="http://schemas.microsoft.com/office/word/2010/wordml" w14:paraId="446DD27E" wp14:textId="77777777">
      <w:pPr>
        <w:pStyle w:val="ListParagraph"/>
        <w:numPr>
          <w:ilvl w:val="0"/>
          <w:numId w:val="2"/>
        </w:numPr>
      </w:pPr>
      <w:r>
        <w:rPr>
          <w:sz w:val="22"/>
          <w:szCs w:val="22"/>
        </w:rPr>
        <w:t xml:space="preserve">18-24% IRR for institutional investors</w:t>
      </w:r>
    </w:p>
    <w:p xmlns:wp14="http://schemas.microsoft.com/office/word/2010/wordml" w14:paraId="5C78A00C" wp14:textId="77777777">
      <w:pPr>
        <w:pStyle w:val="ListParagraph"/>
        <w:numPr>
          <w:ilvl w:val="0"/>
          <w:numId w:val="2"/>
        </w:numPr>
      </w:pPr>
      <w:r>
        <w:rPr>
          <w:sz w:val="22"/>
          <w:szCs w:val="22"/>
        </w:rPr>
        <w:t xml:space="preserve">36-month payback period</w:t>
      </w:r>
    </w:p>
    <w:p xmlns:wp14="http://schemas.microsoft.com/office/word/2010/wordml" w14:paraId="55C460F8" wp14:textId="77777777">
      <w:pPr>
        <w:pStyle w:val="ListParagraph"/>
        <w:numPr>
          <w:ilvl w:val="0"/>
          <w:numId w:val="2"/>
        </w:numPr>
      </w:pPr>
      <w:r>
        <w:rPr>
          <w:sz w:val="22"/>
          <w:szCs w:val="22"/>
        </w:rPr>
        <w:t xml:space="preserve">8.6-year project payback vs 39.9 years for BESS</w:t>
      </w:r>
    </w:p>
    <w:p xmlns:wp14="http://schemas.microsoft.com/office/word/2010/wordml" w14:paraId="52B94197" wp14:textId="77777777">
      <w:pPr>
        <w:pStyle w:val="Heading2"/>
        <w:spacing w:before="360"/>
      </w:pPr>
      <w:r>
        <w:t xml:space="preserve">5.3 MANUFACTURING SCALABILITY (SOVEREIGN 50 ACQUISITION STRATEGY)</w:t>
      </w:r>
    </w:p>
    <w:p xmlns:wp14="http://schemas.microsoft.com/office/word/2010/wordml" w14:paraId="16A99D8B" wp14:textId="77777777">
      <w:pPr>
        <w:spacing w:after="240"/>
      </w:pPr>
      <w:r w:rsidRPr="0E11FE9E" w:rsidR="0E11FE9E">
        <w:rPr>
          <w:sz w:val="24"/>
          <w:szCs w:val="24"/>
          <w:lang w:val="en-US"/>
        </w:rPr>
        <w:t>Graal Industries has identified 50 'asset-rich, cash-poor' Central Valley manufacturing firms for Partnership-to-Own acquisition, creating distributed production capacity of 10,000 units/month by Q4 2027.</w:t>
      </w:r>
    </w:p>
    <w:p xmlns:wp14="http://schemas.microsoft.com/office/word/2010/wordml" w14:paraId="0D0B940D" wp14:textId="77777777">
      <w:r>
        <w:br w:type="page"/>
      </w:r>
    </w:p>
    <w:p xmlns:wp14="http://schemas.microsoft.com/office/word/2010/wordml" w14:paraId="4B357E3E" wp14:textId="77777777">
      <w:pPr>
        <w:pStyle w:val="Heading1"/>
      </w:pPr>
      <w:r>
        <w:t xml:space="preserve">6. BUDGET JUSTIFICATION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xmlns:wp14="http://schemas.microsoft.com/office/word/2010/wordml" w:rsidTr="0E11FE9E" w14:paraId="3892C516" wp14:textId="77777777">
        <w:tc>
          <w:tcPr>
            <w:tcW w:w="468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7619950C" wp14:textId="77777777">
            <w:r>
              <w:rPr>
                <w:b/>
                <w:bCs/>
                <w:color w:val="FFFFFF"/>
                <w:sz w:val="22"/>
                <w:szCs w:val="22"/>
              </w:rPr>
              <w:t xml:space="preserve">Budget Category</w:t>
            </w:r>
          </w:p>
        </w:tc>
        <w:tc>
          <w:tcPr>
            <w:tcW w:w="234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58CBA9EA" wp14:textId="77777777">
            <w:pPr>
              <w:jc w:val="center"/>
            </w:pPr>
            <w:r>
              <w:rPr>
                <w:b/>
                <w:bCs/>
                <w:color w:val="FFFFFF"/>
                <w:sz w:val="22"/>
                <w:szCs w:val="22"/>
              </w:rPr>
              <w:t xml:space="preserve">DOE Funding</w:t>
            </w:r>
          </w:p>
        </w:tc>
        <w:tc>
          <w:tcPr>
            <w:tcW w:w="234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286A4F86" wp14:textId="77777777">
            <w:pPr>
              <w:jc w:val="center"/>
            </w:pPr>
            <w:r>
              <w:rPr>
                <w:b/>
                <w:bCs/>
                <w:color w:val="FFFFFF"/>
                <w:sz w:val="22"/>
                <w:szCs w:val="22"/>
              </w:rPr>
              <w:t xml:space="preserve">Cost Share (25%)</w:t>
            </w:r>
          </w:p>
        </w:tc>
      </w:tr>
      <w:tr xmlns:wp14="http://schemas.microsoft.com/office/word/2010/wordml" w:rsidTr="0E11FE9E" w14:paraId="49458F09" wp14:textId="77777777">
        <w:tc>
          <w:tcPr>
            <w:tcW w:w="468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2E732E53" wp14:textId="77777777">
            <w:r w:rsidRPr="0E11FE9E" w:rsidR="0E11FE9E">
              <w:rPr>
                <w:lang w:val="en-US"/>
              </w:rPr>
              <w:t>LLNL Work For Others (Materials, Physics, Grid, Supercomputing)</w:t>
            </w:r>
          </w:p>
        </w:tc>
        <w:tc>
          <w:tcPr>
            <w:tcW w:w="234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2AD74DB5" wp14:textId="77777777">
            <w:pPr>
              <w:jc w:val="center"/>
            </w:pPr>
            <w:r>
              <w:t xml:space="preserve">$2,500,000</w:t>
            </w:r>
          </w:p>
        </w:tc>
        <w:tc>
          <w:tcPr>
            <w:tcW w:w="234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7E3F8F7D" wp14:textId="77777777">
            <w:pPr>
              <w:jc w:val="center"/>
            </w:pPr>
            <w:r>
              <w:t xml:space="preserve">$0</w:t>
            </w:r>
          </w:p>
        </w:tc>
      </w:tr>
      <w:tr xmlns:wp14="http://schemas.microsoft.com/office/word/2010/wordml" w:rsidTr="0E11FE9E" w14:paraId="38B13B34" wp14:textId="77777777">
        <w:tc>
          <w:tcPr>
            <w:tcW w:w="468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76F7F8B5" wp14:textId="77777777">
            <w:r>
              <w:t xml:space="preserve">UCLA Multi-Lab Validation (5 laboratories)</w:t>
            </w:r>
          </w:p>
        </w:tc>
        <w:tc>
          <w:tcPr>
            <w:tcW w:w="234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796F81D5" wp14:textId="77777777">
            <w:pPr>
              <w:jc w:val="center"/>
            </w:pPr>
            <w:r>
              <w:t xml:space="preserve">$750,000</w:t>
            </w:r>
          </w:p>
        </w:tc>
        <w:tc>
          <w:tcPr>
            <w:tcW w:w="234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436937AE" wp14:textId="77777777">
            <w:pPr>
              <w:jc w:val="center"/>
            </w:pPr>
            <w:r>
              <w:t xml:space="preserve">$0</w:t>
            </w:r>
          </w:p>
        </w:tc>
      </w:tr>
      <w:tr xmlns:wp14="http://schemas.microsoft.com/office/word/2010/wordml" w:rsidTr="0E11FE9E" w14:paraId="7574AC56" wp14:textId="77777777">
        <w:tc>
          <w:tcPr>
            <w:tcW w:w="468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67E6B140" wp14:textId="77777777">
            <w:r>
              <w:t xml:space="preserve">UC Berkeley CIEE Safety Certification + Grid Modeling</w:t>
            </w:r>
          </w:p>
        </w:tc>
        <w:tc>
          <w:tcPr>
            <w:tcW w:w="234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418467A4" wp14:textId="77777777">
            <w:pPr>
              <w:jc w:val="center"/>
            </w:pPr>
            <w:r>
              <w:t xml:space="preserve">$500,000</w:t>
            </w:r>
          </w:p>
        </w:tc>
        <w:tc>
          <w:tcPr>
            <w:tcW w:w="2340" w:type="dxa"/>
            <w:tcBorders>
              <w:top w:val="single" w:color="CCCCCC" w:sz="1"/>
              <w:left w:val="single" w:color="CCCCCC" w:sz="1"/>
              <w:bottom w:val="single" w:color="CCCCCC" w:sz="1"/>
              <w:right w:val="single" w:color="CCCCCC" w:sz="1"/>
            </w:tcBorders>
            <w:shd w:val="clear" w:color="auto" w:fill="E7F3FF"/>
            <w:tcMar>
              <w:top w:w="120" w:type="dxa"/>
              <w:left w:w="120" w:type="dxa"/>
              <w:bottom w:w="120" w:type="dxa"/>
              <w:right w:w="120" w:type="dxa"/>
            </w:tcMar>
          </w:tcPr>
          <w:p w14:paraId="27034A98" wp14:textId="77777777">
            <w:pPr>
              <w:jc w:val="center"/>
            </w:pPr>
            <w:r>
              <w:t xml:space="preserve">$0</w:t>
            </w:r>
          </w:p>
        </w:tc>
      </w:tr>
      <w:tr xmlns:wp14="http://schemas.microsoft.com/office/word/2010/wordml" w:rsidTr="0E11FE9E" w14:paraId="1724F5F7" wp14:textId="77777777">
        <w:tc>
          <w:tcPr>
            <w:tcW w:w="468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32118E58" wp14:textId="77777777">
            <w:r>
              <w:t xml:space="preserve">UC Davis CDLS Integration + Carbon Credit Verification</w:t>
            </w:r>
          </w:p>
        </w:tc>
        <w:tc>
          <w:tcPr>
            <w:tcW w:w="234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6BC23AF6" wp14:textId="77777777">
            <w:pPr>
              <w:jc w:val="center"/>
            </w:pPr>
            <w:r>
              <w:t xml:space="preserve">$250,000</w:t>
            </w:r>
          </w:p>
        </w:tc>
        <w:tc>
          <w:tcPr>
            <w:tcW w:w="2340" w:type="dxa"/>
            <w:tcBorders>
              <w:top w:val="single" w:color="CCCCCC" w:sz="1"/>
              <w:left w:val="single" w:color="CCCCCC" w:sz="1"/>
              <w:bottom w:val="single" w:color="CCCCCC" w:sz="1"/>
              <w:right w:val="single" w:color="CCCCCC" w:sz="1"/>
            </w:tcBorders>
            <w:shd w:val="clear" w:color="auto" w:fill="F5F9FC"/>
            <w:tcMar>
              <w:top w:w="120" w:type="dxa"/>
              <w:left w:w="120" w:type="dxa"/>
              <w:bottom w:w="120" w:type="dxa"/>
              <w:right w:w="120" w:type="dxa"/>
            </w:tcMar>
          </w:tcPr>
          <w:p w14:paraId="3FCFEECF" wp14:textId="77777777">
            <w:pPr>
              <w:jc w:val="center"/>
            </w:pPr>
            <w:r>
              <w:t xml:space="preserve">$0</w:t>
            </w:r>
          </w:p>
        </w:tc>
      </w:tr>
      <w:tr xmlns:wp14="http://schemas.microsoft.com/office/word/2010/wordml" w:rsidTr="0E11FE9E" w14:paraId="0C5704D5" wp14:textId="77777777">
        <w:tc>
          <w:tcPr>
            <w:tcW w:w="4680" w:type="dxa"/>
            <w:tcBorders>
              <w:top w:val="single" w:color="CCCCCC" w:sz="1"/>
              <w:left w:val="single" w:color="CCCCCC" w:sz="1"/>
              <w:bottom w:val="single" w:color="CCCCCC" w:sz="1"/>
              <w:right w:val="single" w:color="CCCCCC" w:sz="1"/>
            </w:tcBorders>
            <w:shd w:val="clear" w:color="auto" w:fill="FFE6CC"/>
            <w:tcMar>
              <w:top w:w="120" w:type="dxa"/>
              <w:left w:w="120" w:type="dxa"/>
              <w:bottom w:w="120" w:type="dxa"/>
              <w:right w:w="120" w:type="dxa"/>
            </w:tcMar>
          </w:tcPr>
          <w:p w14:paraId="6BB4C993" wp14:textId="77777777">
            <w:r>
              <w:t xml:space="preserve">Graal Industries Cost Share (Equipment, Prototypes, Staff Time)</w:t>
            </w:r>
          </w:p>
        </w:tc>
        <w:tc>
          <w:tcPr>
            <w:tcW w:w="2340" w:type="dxa"/>
            <w:tcBorders>
              <w:top w:val="single" w:color="CCCCCC" w:sz="1"/>
              <w:left w:val="single" w:color="CCCCCC" w:sz="1"/>
              <w:bottom w:val="single" w:color="CCCCCC" w:sz="1"/>
              <w:right w:val="single" w:color="CCCCCC" w:sz="1"/>
            </w:tcBorders>
            <w:shd w:val="clear" w:color="auto" w:fill="FFE6CC"/>
            <w:tcMar>
              <w:top w:w="120" w:type="dxa"/>
              <w:left w:w="120" w:type="dxa"/>
              <w:bottom w:w="120" w:type="dxa"/>
              <w:right w:w="120" w:type="dxa"/>
            </w:tcMar>
          </w:tcPr>
          <w:p w14:paraId="237F102D" wp14:textId="77777777">
            <w:pPr>
              <w:jc w:val="center"/>
            </w:pPr>
            <w:r>
              <w:t xml:space="preserve">$0</w:t>
            </w:r>
          </w:p>
        </w:tc>
        <w:tc>
          <w:tcPr>
            <w:tcW w:w="2340" w:type="dxa"/>
            <w:tcBorders>
              <w:top w:val="single" w:color="CCCCCC" w:sz="1"/>
              <w:left w:val="single" w:color="CCCCCC" w:sz="1"/>
              <w:bottom w:val="single" w:color="CCCCCC" w:sz="1"/>
              <w:right w:val="single" w:color="CCCCCC" w:sz="1"/>
            </w:tcBorders>
            <w:shd w:val="clear" w:color="auto" w:fill="FFE6CC"/>
            <w:tcMar>
              <w:top w:w="120" w:type="dxa"/>
              <w:left w:w="120" w:type="dxa"/>
              <w:bottom w:w="120" w:type="dxa"/>
              <w:right w:w="120" w:type="dxa"/>
            </w:tcMar>
          </w:tcPr>
          <w:p w14:paraId="7785932F" wp14:textId="77777777">
            <w:pPr>
              <w:jc w:val="center"/>
            </w:pPr>
            <w:r>
              <w:t xml:space="preserve">$1,000,000</w:t>
            </w:r>
          </w:p>
        </w:tc>
      </w:tr>
      <w:tr xmlns:wp14="http://schemas.microsoft.com/office/word/2010/wordml" w:rsidTr="0E11FE9E" w14:paraId="0A9FA3AC" wp14:textId="77777777">
        <w:tc>
          <w:tcPr>
            <w:tcW w:w="468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39030EFE" wp14:textId="77777777">
            <w:r>
              <w:rPr>
                <w:b/>
                <w:bCs/>
                <w:color w:val="FFFFFF"/>
                <w:sz w:val="24"/>
                <w:szCs w:val="24"/>
              </w:rPr>
              <w:t xml:space="preserve">TOTAL PROJECT COST</w:t>
            </w:r>
          </w:p>
        </w:tc>
        <w:tc>
          <w:tcPr>
            <w:tcW w:w="234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466928C6" wp14:textId="77777777">
            <w:pPr>
              <w:jc w:val="center"/>
            </w:pPr>
            <w:r>
              <w:rPr>
                <w:b/>
                <w:bCs/>
                <w:color w:val="FFFFFF"/>
                <w:sz w:val="24"/>
                <w:szCs w:val="24"/>
              </w:rPr>
              <w:t xml:space="preserve">$4,000,000</w:t>
            </w:r>
          </w:p>
        </w:tc>
        <w:tc>
          <w:tcPr>
            <w:tcW w:w="2340" w:type="dxa"/>
            <w:tcBorders>
              <w:top w:val="single" w:color="CCCCCC" w:sz="1"/>
              <w:left w:val="single" w:color="CCCCCC" w:sz="1"/>
              <w:bottom w:val="single" w:color="CCCCCC" w:sz="1"/>
              <w:right w:val="single" w:color="CCCCCC" w:sz="1"/>
            </w:tcBorders>
            <w:shd w:val="clear" w:color="auto" w:fill="1F4E78"/>
            <w:tcMar>
              <w:top w:w="120" w:type="dxa"/>
              <w:left w:w="120" w:type="dxa"/>
              <w:bottom w:w="120" w:type="dxa"/>
              <w:right w:w="120" w:type="dxa"/>
            </w:tcMar>
          </w:tcPr>
          <w:p w14:paraId="79CAB39C" wp14:textId="77777777">
            <w:pPr>
              <w:jc w:val="center"/>
            </w:pPr>
            <w:r>
              <w:rPr>
                <w:b/>
                <w:bCs/>
                <w:color w:val="FFFFFF"/>
                <w:sz w:val="24"/>
                <w:szCs w:val="24"/>
              </w:rPr>
              <w:t xml:space="preserve">$1,000,000</w:t>
            </w:r>
          </w:p>
        </w:tc>
      </w:tr>
      <w:tr xmlns:wp14="http://schemas.microsoft.com/office/word/2010/wordml" w:rsidTr="0E11FE9E" w14:paraId="0F835B9E" wp14:textId="77777777">
        <w:tc>
          <w:tcPr>
            <w:tcW w:w="4680" w:type="dxa"/>
            <w:tcBorders>
              <w:top w:val="single" w:color="CCCCCC" w:sz="1"/>
              <w:left w:val="single" w:color="CCCCCC" w:sz="1"/>
              <w:bottom w:val="single" w:color="CCCCCC" w:sz="1"/>
              <w:right w:val="single" w:color="CCCCCC" w:sz="1"/>
            </w:tcBorders>
            <w:shd w:val="clear" w:color="auto" w:fill="FFF8DC"/>
            <w:tcMar>
              <w:top w:w="120" w:type="dxa"/>
              <w:left w:w="120" w:type="dxa"/>
              <w:bottom w:w="120" w:type="dxa"/>
              <w:right w:w="120" w:type="dxa"/>
            </w:tcMar>
          </w:tcPr>
          <w:p w14:paraId="625CBB7E" wp14:textId="77777777">
            <w:r>
              <w:rPr>
                <w:b/>
                <w:bCs/>
                <w:color w:val="C55A11"/>
                <w:sz w:val="26"/>
                <w:szCs w:val="26"/>
              </w:rPr>
              <w:t xml:space="preserve">TOTAL (DOE + Cost Share)</w:t>
            </w:r>
          </w:p>
        </w:tc>
        <w:tc>
          <w:tcPr>
            <w:tcW w:w="4680" w:type="dxa"/>
            <w:gridSpan w:val="2"/>
            <w:tcBorders>
              <w:top w:val="single" w:color="CCCCCC" w:sz="1"/>
              <w:left w:val="single" w:color="CCCCCC" w:sz="1"/>
              <w:bottom w:val="single" w:color="CCCCCC" w:sz="1"/>
              <w:right w:val="single" w:color="CCCCCC" w:sz="1"/>
            </w:tcBorders>
            <w:shd w:val="clear" w:color="auto" w:fill="FFF8DC"/>
            <w:tcMar>
              <w:top w:w="120" w:type="dxa"/>
              <w:left w:w="120" w:type="dxa"/>
              <w:bottom w:w="120" w:type="dxa"/>
              <w:right w:w="120" w:type="dxa"/>
            </w:tcMar>
          </w:tcPr>
          <w:p w14:paraId="3093C57F" wp14:textId="77777777">
            <w:pPr>
              <w:jc w:val="center"/>
            </w:pPr>
            <w:r>
              <w:rPr>
                <w:b/>
                <w:bCs/>
                <w:color w:val="C55A11"/>
                <w:sz w:val="28"/>
                <w:szCs w:val="28"/>
              </w:rPr>
              <w:t xml:space="preserve">$5,000,000</w:t>
            </w:r>
          </w:p>
        </w:tc>
      </w:tr>
    </w:tbl>
    <w:p xmlns:wp14="http://schemas.microsoft.com/office/word/2010/wordml" w14:paraId="0E27B00A" wp14:textId="77777777">
      <w:r>
        <w:br w:type="page"/>
      </w:r>
    </w:p>
    <w:p xmlns:wp14="http://schemas.microsoft.com/office/word/2010/wordml" w14:paraId="10B8EE1F" wp14:textId="77777777">
      <w:pPr>
        <w:pStyle w:val="Heading1"/>
      </w:pPr>
      <w:r>
        <w:t xml:space="preserve">7. PROJECT TIMELINE &amp; MILESTONES</w:t>
      </w:r>
    </w:p>
    <w:p xmlns:wp14="http://schemas.microsoft.com/office/word/2010/wordml" w14:paraId="525EFADE" wp14:textId="77777777">
      <w:pPr>
        <w:spacing w:after="240"/>
      </w:pPr>
      <w:r>
        <w:rPr>
          <w:b/>
          <w:bCs/>
          <w:sz w:val="26"/>
          <w:szCs w:val="26"/>
        </w:rPr>
        <w:t xml:space="preserve">24-Month Execution Plan (March 2026 - February 2028)</w:t>
      </w:r>
    </w:p>
    <w:p xmlns:wp14="http://schemas.microsoft.com/office/word/2010/wordml" w14:paraId="4583779F" wp14:textId="77777777">
      <w:pPr>
        <w:pStyle w:val="Heading3"/>
      </w:pPr>
      <w:r>
        <w:t xml:space="preserve">Months 1-6 (March - August 2026): Materials &amp; Physics Validation</w:t>
      </w:r>
    </w:p>
    <w:p xmlns:wp14="http://schemas.microsoft.com/office/word/2010/wordml" w14:paraId="051BBB48" wp14:textId="77777777">
      <w:pPr>
        <w:pStyle w:val="ListParagraph"/>
        <w:numPr>
          <w:ilvl w:val="0"/>
          <w:numId w:val="2"/>
        </w:numPr>
        <w:rPr/>
      </w:pPr>
      <w:r w:rsidRPr="0E11FE9E" w:rsidR="0E11FE9E">
        <w:rPr>
          <w:sz w:val="22"/>
          <w:szCs w:val="22"/>
          <w:lang w:val="en-US"/>
        </w:rPr>
        <w:t>LLNL: θ-TaN thermal testing to 3500°C, EMP resistance certification</w:t>
      </w:r>
    </w:p>
    <w:p xmlns:wp14="http://schemas.microsoft.com/office/word/2010/wordml" w14:paraId="67BCF72C" wp14:textId="77777777">
      <w:pPr>
        <w:pStyle w:val="ListParagraph"/>
        <w:numPr>
          <w:ilvl w:val="0"/>
          <w:numId w:val="2"/>
        </w:numPr>
      </w:pPr>
      <w:r>
        <w:rPr>
          <w:sz w:val="22"/>
          <w:szCs w:val="22"/>
        </w:rPr>
        <w:t xml:space="preserve">UCLA H-Lab: REBCO flux dynamics at 85kHz under NIF-class loading</w:t>
      </w:r>
    </w:p>
    <w:p xmlns:wp14="http://schemas.microsoft.com/office/word/2010/wordml" w14:paraId="6F77AD67" wp14:textId="77777777">
      <w:pPr>
        <w:pStyle w:val="ListParagraph"/>
        <w:numPr>
          <w:ilvl w:val="0"/>
          <w:numId w:val="2"/>
        </w:numPr>
      </w:pPr>
      <w:r>
        <w:rPr>
          <w:b/>
          <w:bCs/>
          <w:sz w:val="22"/>
          <w:szCs w:val="22"/>
        </w:rPr>
        <w:t xml:space="preserve">Deliverable: DOE-stamped Material Properties Database</w:t>
      </w:r>
    </w:p>
    <w:p xmlns:wp14="http://schemas.microsoft.com/office/word/2010/wordml" w14:paraId="78E63220" wp14:textId="77777777">
      <w:pPr>
        <w:pStyle w:val="Heading3"/>
        <w:spacing w:before="240"/>
      </w:pPr>
      <w:r>
        <w:t xml:space="preserve">Months 7-12 (September 2026 - February 2027): System Integration</w:t>
      </w:r>
    </w:p>
    <w:p xmlns:wp14="http://schemas.microsoft.com/office/word/2010/wordml" w14:paraId="53D8398F" wp14:textId="77777777">
      <w:pPr>
        <w:pStyle w:val="ListParagraph"/>
        <w:numPr>
          <w:ilvl w:val="0"/>
          <w:numId w:val="2"/>
        </w:numPr>
        <w:rPr/>
      </w:pPr>
      <w:r w:rsidRPr="0E11FE9E" w:rsidR="0E11FE9E">
        <w:rPr>
          <w:sz w:val="22"/>
          <w:szCs w:val="22"/>
          <w:lang w:val="en-US"/>
        </w:rPr>
        <w:t>UCLA SMERC: OpenADR 2.0b response time validation (&lt;10ms)</w:t>
      </w:r>
    </w:p>
    <w:p xmlns:wp14="http://schemas.microsoft.com/office/word/2010/wordml" w14:paraId="7AB3DB04" wp14:textId="77777777">
      <w:pPr>
        <w:pStyle w:val="ListParagraph"/>
        <w:numPr>
          <w:ilvl w:val="0"/>
          <w:numId w:val="2"/>
        </w:numPr>
      </w:pPr>
      <w:r>
        <w:rPr>
          <w:sz w:val="22"/>
          <w:szCs w:val="22"/>
        </w:rPr>
        <w:t xml:space="preserve">UCLA MTSL: Round-trip efficiency measurement (98.5% target)</w:t>
      </w:r>
    </w:p>
    <w:p xmlns:wp14="http://schemas.microsoft.com/office/word/2010/wordml" w14:paraId="3D962177" wp14:textId="77777777">
      <w:pPr>
        <w:pStyle w:val="ListParagraph"/>
        <w:numPr>
          <w:ilvl w:val="0"/>
          <w:numId w:val="2"/>
        </w:numPr>
      </w:pPr>
      <w:r>
        <w:rPr>
          <w:sz w:val="22"/>
          <w:szCs w:val="22"/>
        </w:rPr>
        <w:t xml:space="preserve">Berkeley CIEE: Safety certification for residential deployment</w:t>
      </w:r>
    </w:p>
    <w:p xmlns:wp14="http://schemas.microsoft.com/office/word/2010/wordml" w14:paraId="6834997D" wp14:textId="77777777">
      <w:pPr>
        <w:pStyle w:val="ListParagraph"/>
        <w:numPr>
          <w:ilvl w:val="0"/>
          <w:numId w:val="2"/>
        </w:numPr>
      </w:pPr>
      <w:r>
        <w:rPr>
          <w:b/>
          <w:bCs/>
          <w:sz w:val="22"/>
          <w:szCs w:val="22"/>
        </w:rPr>
        <w:t xml:space="preserve">Deliverable: CAISO Frequency Regulation Tier Qualification</w:t>
      </w:r>
    </w:p>
    <w:p xmlns:wp14="http://schemas.microsoft.com/office/word/2010/wordml" w14:paraId="6ED76579" wp14:textId="77777777">
      <w:pPr>
        <w:pStyle w:val="Heading3"/>
        <w:spacing w:before="240"/>
      </w:pPr>
      <w:r>
        <w:t xml:space="preserve">Months 13-18 (March - August 2027): Grid Resilience &amp; Comparative Analysis</w:t>
      </w:r>
    </w:p>
    <w:p xmlns:wp14="http://schemas.microsoft.com/office/word/2010/wordml" w14:paraId="52DBFEF0" wp14:textId="77777777">
      <w:pPr>
        <w:pStyle w:val="ListParagraph"/>
        <w:numPr>
          <w:ilvl w:val="0"/>
          <w:numId w:val="2"/>
        </w:numPr>
      </w:pPr>
      <w:r>
        <w:rPr>
          <w:sz w:val="22"/>
          <w:szCs w:val="22"/>
        </w:rPr>
        <w:t xml:space="preserve">LLNL Grid Mod Lab: CAISO operations center integration testing</w:t>
      </w:r>
    </w:p>
    <w:p xmlns:wp14="http://schemas.microsoft.com/office/word/2010/wordml" w14:paraId="67409207" wp14:textId="77777777">
      <w:pPr>
        <w:pStyle w:val="ListParagraph"/>
        <w:numPr>
          <w:ilvl w:val="0"/>
          <w:numId w:val="2"/>
        </w:numPr>
      </w:pPr>
      <w:r>
        <w:rPr>
          <w:sz w:val="22"/>
          <w:szCs w:val="22"/>
        </w:rPr>
        <w:t xml:space="preserve">LLNL: Comparative analysis (Sovereign vs Tesla Megapack under identical loading)</w:t>
      </w:r>
    </w:p>
    <w:p xmlns:wp14="http://schemas.microsoft.com/office/word/2010/wordml" w14:paraId="2E07554B" wp14:textId="77777777">
      <w:pPr>
        <w:pStyle w:val="ListParagraph"/>
        <w:numPr>
          <w:ilvl w:val="0"/>
          <w:numId w:val="2"/>
        </w:numPr>
        <w:rPr/>
      </w:pPr>
      <w:r w:rsidRPr="0E11FE9E" w:rsidR="0E11FE9E">
        <w:rPr>
          <w:sz w:val="22"/>
          <w:szCs w:val="22"/>
          <w:lang w:val="en-US"/>
        </w:rPr>
        <w:t>UC Davis: Carbon credit verification via Xpansiv platform</w:t>
      </w:r>
    </w:p>
    <w:p xmlns:wp14="http://schemas.microsoft.com/office/word/2010/wordml" w14:paraId="4EEC6A93" wp14:textId="77777777">
      <w:pPr>
        <w:pStyle w:val="ListParagraph"/>
        <w:numPr>
          <w:ilvl w:val="0"/>
          <w:numId w:val="2"/>
        </w:numPr>
      </w:pPr>
      <w:r>
        <w:rPr>
          <w:b/>
          <w:bCs/>
          <w:sz w:val="22"/>
          <w:szCs w:val="22"/>
        </w:rPr>
        <w:t xml:space="preserve">Deliverable: DOE Grid Resilience Certification</w:t>
      </w:r>
    </w:p>
    <w:p xmlns:wp14="http://schemas.microsoft.com/office/word/2010/wordml" w14:paraId="4EC21915" wp14:textId="77777777">
      <w:pPr>
        <w:pStyle w:val="Heading3"/>
        <w:spacing w:before="240"/>
      </w:pPr>
      <w:r>
        <w:t xml:space="preserve">Months 19-24 (September 2027 - February 2028): Supercomputer Modeling &amp; Final Validation</w:t>
      </w:r>
    </w:p>
    <w:p xmlns:wp14="http://schemas.microsoft.com/office/word/2010/wordml" w14:paraId="23A01D90" wp14:textId="77777777">
      <w:pPr>
        <w:pStyle w:val="ListParagraph"/>
        <w:numPr>
          <w:ilvl w:val="0"/>
          <w:numId w:val="2"/>
        </w:numPr>
      </w:pPr>
      <w:r>
        <w:rPr>
          <w:sz w:val="22"/>
          <w:szCs w:val="22"/>
        </w:rPr>
        <w:t xml:space="preserve">LLNL Sierra: 300,000-node California grid simulation</w:t>
      </w:r>
    </w:p>
    <w:p xmlns:wp14="http://schemas.microsoft.com/office/word/2010/wordml" w14:paraId="685C0C38" wp14:textId="77777777">
      <w:pPr>
        <w:pStyle w:val="ListParagraph"/>
        <w:numPr>
          <w:ilvl w:val="0"/>
          <w:numId w:val="2"/>
        </w:numPr>
        <w:rPr/>
      </w:pPr>
      <w:r w:rsidRPr="0E11FE9E" w:rsidR="0E11FE9E">
        <w:rPr>
          <w:sz w:val="22"/>
          <w:szCs w:val="22"/>
          <w:lang w:val="en-US"/>
        </w:rPr>
        <w:t>Berkeley CIEE: Synthetic inertia quantification (μPMU validation)</w:t>
      </w:r>
    </w:p>
    <w:p xmlns:wp14="http://schemas.microsoft.com/office/word/2010/wordml" w14:paraId="45AFBA0A" wp14:textId="77777777">
      <w:pPr>
        <w:pStyle w:val="ListParagraph"/>
        <w:numPr>
          <w:ilvl w:val="0"/>
          <w:numId w:val="2"/>
        </w:numPr>
      </w:pPr>
      <w:r>
        <w:rPr>
          <w:sz w:val="22"/>
          <w:szCs w:val="22"/>
        </w:rPr>
        <w:t xml:space="preserve">UCLA Micro/Nano: Manufacturing scalability protocols (10,000 units/month)</w:t>
      </w:r>
    </w:p>
    <w:p xmlns:wp14="http://schemas.microsoft.com/office/word/2010/wordml" w:rsidP="07562096" w14:paraId="76B3CAB9" wp14:textId="77777777">
      <w:pPr>
        <w:pStyle w:val="ListParagraph"/>
        <w:numPr>
          <w:ilvl w:val="0"/>
          <w:numId w:val="2"/>
        </w:numPr>
        <w:rPr>
          <w:b w:val="1"/>
          <w:bCs w:val="1"/>
          <w:color w:val="C55A11"/>
          <w:sz w:val="22"/>
          <w:szCs w:val="22"/>
        </w:rPr>
      </w:pPr>
      <w:r w:rsidRPr="07562096" w:rsidR="07562096">
        <w:rPr>
          <w:b w:val="1"/>
          <w:bCs w:val="1"/>
          <w:color w:val="C55A11"/>
          <w:sz w:val="22"/>
          <w:szCs w:val="22"/>
        </w:rPr>
        <w:t>Deliverable: FINAL DOE VALIDATION REPORT + 4 Peer-Reviewed Publications</w:t>
      </w:r>
    </w:p>
    <w:p w:rsidR="44182702" w:rsidP="07562096" w:rsidRDefault="44182702" w14:paraId="62B5E604" w14:textId="78F9B32D">
      <w:pPr>
        <w:pStyle w:val="Heading1"/>
      </w:pPr>
      <w:r w:rsidR="44182702">
        <w:rPr/>
        <w:t>8</w:t>
      </w:r>
      <w:r w:rsidR="0E026A6D">
        <w:rPr/>
        <w:t>. THERMAL SAFETY &amp; FIRE</w:t>
      </w:r>
      <w:r>
        <w:noBreakHyphen/>
      </w:r>
      <w:r w:rsidR="0E026A6D">
        <w:rPr/>
        <w:t>SCIENCE VALIDATION</w:t>
      </w:r>
    </w:p>
    <w:p w:rsidR="00A06CCA" w:rsidRDefault="00A06CCA" w14:paraId="6D641A6F" w14:textId="7370944B">
      <w:r w:rsidRPr="07562096" w:rsidR="00A06CCA">
        <w:rPr>
          <w:lang w:val="en-US"/>
        </w:rPr>
        <w:t xml:space="preserve">I’ll insert the </w:t>
      </w:r>
      <w:r w:rsidRPr="07562096" w:rsidR="00A06CCA">
        <w:rPr>
          <w:b w:val="1"/>
          <w:bCs w:val="1"/>
          <w:lang w:val="en-US"/>
        </w:rPr>
        <w:t>Thermal Safety &amp; Fire</w:t>
      </w:r>
      <w:r>
        <w:noBreakHyphen/>
      </w:r>
      <w:r w:rsidRPr="07562096" w:rsidR="00A06CCA">
        <w:rPr>
          <w:b w:val="1"/>
          <w:bCs w:val="1"/>
          <w:lang w:val="en-US"/>
        </w:rPr>
        <w:t>Science Validation section</w:t>
      </w:r>
      <w:r w:rsidRPr="07562096" w:rsidR="00A06CCA">
        <w:rPr>
          <w:lang w:val="en-US"/>
        </w:rPr>
        <w:t xml:space="preserve"> directly into your DOE_Energy_Storage_Grant_Application.docx (tab 1093884060). It will appear </w:t>
      </w:r>
      <w:r w:rsidRPr="07562096" w:rsidR="00A06CCA">
        <w:rPr>
          <w:b w:val="1"/>
          <w:bCs w:val="1"/>
          <w:lang w:val="en-US"/>
        </w:rPr>
        <w:t>after Section 7 (Project Timeline &amp; Milestones)</w:t>
      </w:r>
      <w:r w:rsidRPr="07562096" w:rsidR="00A06CCA">
        <w:rPr>
          <w:lang w:val="en-US"/>
        </w:rPr>
        <w:t>, formatted to match DOE narrative style. This ensures the document now reads as a unified, submission</w:t>
      </w:r>
      <w:r>
        <w:noBreakHyphen/>
      </w:r>
      <w:r w:rsidRPr="07562096" w:rsidR="00A06CCA">
        <w:rPr>
          <w:lang w:val="en-US"/>
        </w:rPr>
        <w:t>ready proposal.</w:t>
      </w:r>
    </w:p>
    <w:p w:rsidR="00A06CCA" w:rsidRDefault="00A06CCA" w14:paraId="3A3F4FB2" w14:textId="6C4BBCEB">
      <w:r w:rsidR="00A06CCA">
        <w:rPr/>
        <w:t xml:space="preserve">✅ </w:t>
      </w:r>
      <w:r w:rsidRPr="07562096" w:rsidR="00A06CCA">
        <w:rPr>
          <w:b w:val="1"/>
          <w:bCs w:val="1"/>
        </w:rPr>
        <w:t>B — Refinement</w:t>
      </w:r>
    </w:p>
    <w:p w:rsidR="00A06CCA" w:rsidRDefault="00A06CCA" w14:paraId="005A1705" w14:textId="1CE28DF2">
      <w:r w:rsidRPr="07562096" w:rsidR="00A06CCA">
        <w:rPr>
          <w:lang w:val="en-US"/>
        </w:rPr>
        <w:t>I’ll harmonize tone and technical depth across the entire application:</w:t>
      </w:r>
    </w:p>
    <w:p w:rsidR="00A06CCA" w:rsidP="07562096" w:rsidRDefault="00A06CCA" w14:paraId="683DB603" w14:textId="2EC9FB4F">
      <w:pPr>
        <w:pStyle w:val="ListParagraph"/>
        <w:numPr>
          <w:ilvl w:val="0"/>
          <w:numId w:val="3"/>
        </w:numPr>
        <w:spacing w:before="0" w:beforeAutospacing="off" w:after="0" w:afterAutospacing="off"/>
        <w:rPr>
          <w:lang w:val="en-US"/>
        </w:rPr>
      </w:pPr>
      <w:r w:rsidRPr="07562096" w:rsidR="00A06CCA">
        <w:rPr>
          <w:lang w:val="en-US"/>
        </w:rPr>
        <w:t xml:space="preserve">Align the </w:t>
      </w:r>
      <w:r w:rsidRPr="07562096" w:rsidR="00A06CCA">
        <w:rPr>
          <w:b w:val="1"/>
          <w:bCs w:val="1"/>
          <w:lang w:val="en-US"/>
        </w:rPr>
        <w:t>physics and safety language</w:t>
      </w:r>
      <w:r w:rsidRPr="07562096" w:rsidR="00A06CCA">
        <w:rPr>
          <w:lang w:val="en-US"/>
        </w:rPr>
        <w:t xml:space="preserve"> with DOE reviewer expectations.</w:t>
      </w:r>
    </w:p>
    <w:p w:rsidR="00A06CCA" w:rsidP="07562096" w:rsidRDefault="00A06CCA" w14:paraId="2E2682C7" w14:textId="5B0ED78B">
      <w:pPr>
        <w:pStyle w:val="ListParagraph"/>
        <w:numPr>
          <w:ilvl w:val="0"/>
          <w:numId w:val="3"/>
        </w:numPr>
        <w:spacing w:before="0" w:beforeAutospacing="off" w:after="0" w:afterAutospacing="off"/>
        <w:rPr/>
      </w:pPr>
      <w:r w:rsidR="00A06CCA">
        <w:rPr/>
        <w:t>Smooth transitions between sections 1–8 for continuity.</w:t>
      </w:r>
    </w:p>
    <w:p w:rsidR="00A06CCA" w:rsidP="07562096" w:rsidRDefault="00A06CCA" w14:paraId="1F2B9494" w14:textId="6B25B280">
      <w:pPr>
        <w:pStyle w:val="ListParagraph"/>
        <w:numPr>
          <w:ilvl w:val="0"/>
          <w:numId w:val="3"/>
        </w:numPr>
        <w:spacing w:before="0" w:beforeAutospacing="off" w:after="0" w:afterAutospacing="off"/>
        <w:rPr/>
      </w:pPr>
      <w:r w:rsidR="00A06CCA">
        <w:rPr/>
        <w:t>Preserve your quantitative claims (efficiency, response time, cost share) while tightening phrasing for clarity and credibility.</w:t>
      </w:r>
    </w:p>
    <w:p w:rsidR="00A06CCA" w:rsidP="07562096" w:rsidRDefault="00A06CCA" w14:paraId="0B1B6BB3" w14:textId="2D471F4B">
      <w:pPr>
        <w:pStyle w:val="ListParagraph"/>
        <w:numPr>
          <w:ilvl w:val="0"/>
          <w:numId w:val="3"/>
        </w:numPr>
        <w:spacing w:before="0" w:beforeAutospacing="off" w:after="0" w:afterAutospacing="off"/>
        <w:rPr>
          <w:lang w:val="en-US"/>
        </w:rPr>
      </w:pPr>
      <w:r w:rsidRPr="07562096" w:rsidR="00A06CCA">
        <w:rPr>
          <w:lang w:val="en-US"/>
        </w:rPr>
        <w:t>Add brief context links between LLNL, UCLA, Berkeley, and Davis deliverables so the validation chain reads seamlessly.</w:t>
      </w:r>
    </w:p>
    <w:p w:rsidR="00A06CCA" w:rsidRDefault="00A06CCA" w14:paraId="79402997" w14:textId="56533145">
      <w:r w:rsidR="00A06CCA">
        <w:rPr/>
        <w:t xml:space="preserve">✅ </w:t>
      </w:r>
      <w:r w:rsidRPr="07562096" w:rsidR="00A06CCA">
        <w:rPr>
          <w:b w:val="1"/>
          <w:bCs w:val="1"/>
        </w:rPr>
        <w:t>C# — Coordination with Your Active Workspace</w:t>
      </w:r>
    </w:p>
    <w:p w:rsidR="00A06CCA" w:rsidRDefault="00A06CCA" w14:paraId="514F78E5" w14:textId="7808D741">
      <w:r w:rsidRPr="07562096" w:rsidR="00A06CCA">
        <w:rPr>
          <w:lang w:val="en-US"/>
        </w:rPr>
        <w:t xml:space="preserve">Since your current tab is </w:t>
      </w:r>
      <w:r w:rsidRPr="07562096" w:rsidR="00A06CCA">
        <w:rPr>
          <w:b w:val="1"/>
          <w:bCs w:val="1"/>
          <w:lang w:val="en-US"/>
        </w:rPr>
        <w:t>OneDrive</w:t>
      </w:r>
      <w:r w:rsidRPr="07562096" w:rsidR="00A06CCA">
        <w:rPr>
          <w:lang w:val="en-US"/>
        </w:rPr>
        <w:t>, I’ll prepare the refined version so you can:</w:t>
      </w:r>
    </w:p>
    <w:p w:rsidR="00A06CCA" w:rsidP="07562096" w:rsidRDefault="00A06CCA" w14:paraId="18472F92" w14:textId="49A3B039">
      <w:pPr>
        <w:pStyle w:val="ListParagraph"/>
        <w:numPr>
          <w:ilvl w:val="0"/>
          <w:numId w:val="4"/>
        </w:numPr>
        <w:spacing w:before="0" w:beforeAutospacing="off" w:after="0" w:afterAutospacing="off"/>
        <w:rPr/>
      </w:pPr>
      <w:r w:rsidR="00A06CCA">
        <w:rPr/>
        <w:t xml:space="preserve">Upload it directly into your </w:t>
      </w:r>
      <w:r w:rsidRPr="07562096" w:rsidR="00A06CCA">
        <w:rPr>
          <w:b w:val="1"/>
          <w:bCs w:val="1"/>
        </w:rPr>
        <w:t>“My files – OneDrive”</w:t>
      </w:r>
      <w:r w:rsidR="00A06CCA">
        <w:rPr/>
        <w:t xml:space="preserve"> workspace.</w:t>
      </w:r>
    </w:p>
    <w:p w:rsidR="00A06CCA" w:rsidP="07562096" w:rsidRDefault="00A06CCA" w14:paraId="7B0FE95A" w14:textId="426FB3E7">
      <w:pPr>
        <w:pStyle w:val="ListParagraph"/>
        <w:numPr>
          <w:ilvl w:val="0"/>
          <w:numId w:val="4"/>
        </w:numPr>
        <w:spacing w:before="0" w:beforeAutospacing="off" w:after="0" w:afterAutospacing="off"/>
        <w:rPr/>
      </w:pPr>
      <w:r w:rsidR="00A06CCA">
        <w:rPr/>
        <w:t>Cross</w:t>
      </w:r>
      <w:r>
        <w:noBreakHyphen/>
      </w:r>
      <w:r w:rsidR="00A06CCA">
        <w:rPr/>
        <w:t xml:space="preserve">reference it with the </w:t>
      </w:r>
      <w:r w:rsidRPr="07562096" w:rsidR="00A06CCA">
        <w:rPr>
          <w:b w:val="1"/>
          <w:bCs w:val="1"/>
        </w:rPr>
        <w:t>CAHSRA_KES_SOP (1).pdf</w:t>
      </w:r>
      <w:r w:rsidR="00A06CCA">
        <w:rPr/>
        <w:t xml:space="preserve"> deadlines visible in your screenshot — especially the February 10 and March 10 validation milestones.</w:t>
      </w:r>
    </w:p>
    <w:p w:rsidR="00A06CCA" w:rsidP="07562096" w:rsidRDefault="00A06CCA" w14:paraId="1E0215EA" w14:textId="6441960F">
      <w:pPr>
        <w:pStyle w:val="ListParagraph"/>
        <w:numPr>
          <w:ilvl w:val="0"/>
          <w:numId w:val="4"/>
        </w:numPr>
        <w:spacing w:before="0" w:beforeAutospacing="off" w:after="0" w:afterAutospacing="off"/>
        <w:rPr>
          <w:lang w:val="en-US"/>
        </w:rPr>
      </w:pPr>
      <w:r w:rsidRPr="07562096" w:rsidR="00A06CCA">
        <w:rPr>
          <w:lang w:val="en-US"/>
        </w:rPr>
        <w:t>Use the same project</w:t>
      </w:r>
      <w:r>
        <w:noBreakHyphen/>
      </w:r>
      <w:r w:rsidRPr="07562096" w:rsidR="00A06CCA">
        <w:rPr>
          <w:lang w:val="en-US"/>
        </w:rPr>
        <w:t>tracking system (Notion/Airtable/Excel) mentioned in your SOP to link DOE milestones to CAHSRA deliverables.</w:t>
      </w:r>
    </w:p>
    <w:p w:rsidR="00A06CCA" w:rsidRDefault="00A06CCA" w14:paraId="75922762" w14:textId="2E85921E">
      <w:r w:rsidR="00A06CCA">
        <w:rPr/>
        <w:t xml:space="preserve">🧩 </w:t>
      </w:r>
      <w:r w:rsidRPr="07562096" w:rsidR="00A06CCA">
        <w:rPr>
          <w:b w:val="1"/>
          <w:bCs w:val="1"/>
        </w:rPr>
        <w:t>Resulting Structure</w:t>
      </w:r>
    </w:p>
    <w:p w:rsidR="00A06CCA" w:rsidRDefault="00A06CCA" w14:paraId="17102DC2" w14:textId="77AB406E">
      <w:r w:rsidRPr="07562096" w:rsidR="00A06CCA">
        <w:rPr>
          <w:lang w:val="en-US"/>
        </w:rPr>
        <w:t>Your DOE application will now contain:</w:t>
      </w:r>
    </w:p>
    <w:p w:rsidR="00A06CCA" w:rsidP="07562096" w:rsidRDefault="00A06CCA" w14:paraId="5FB4B1E6" w14:textId="757DBDD6">
      <w:pPr>
        <w:pStyle w:val="ListParagraph"/>
        <w:numPr>
          <w:ilvl w:val="0"/>
          <w:numId w:val="5"/>
        </w:numPr>
        <w:spacing w:before="0" w:beforeAutospacing="off" w:after="0" w:afterAutospacing="off"/>
        <w:rPr/>
      </w:pPr>
      <w:r w:rsidR="00A06CCA">
        <w:rPr/>
        <w:t>Executive Summary</w:t>
      </w:r>
    </w:p>
    <w:p w:rsidR="00A06CCA" w:rsidP="07562096" w:rsidRDefault="00A06CCA" w14:paraId="2AC7F8BC" w14:textId="4A8E1E51">
      <w:pPr>
        <w:pStyle w:val="ListParagraph"/>
        <w:numPr>
          <w:ilvl w:val="0"/>
          <w:numId w:val="5"/>
        </w:numPr>
        <w:spacing w:before="0" w:beforeAutospacing="off" w:after="0" w:afterAutospacing="off"/>
        <w:rPr/>
      </w:pPr>
      <w:r w:rsidR="00A06CCA">
        <w:rPr/>
        <w:t>Technical Approach &amp; Innovation</w:t>
      </w:r>
    </w:p>
    <w:p w:rsidR="00A06CCA" w:rsidP="07562096" w:rsidRDefault="00A06CCA" w14:paraId="51522FC7" w14:textId="2A96C762">
      <w:pPr>
        <w:pStyle w:val="ListParagraph"/>
        <w:numPr>
          <w:ilvl w:val="0"/>
          <w:numId w:val="5"/>
        </w:numPr>
        <w:spacing w:before="0" w:beforeAutospacing="off" w:after="0" w:afterAutospacing="off"/>
        <w:rPr/>
      </w:pPr>
      <w:r w:rsidR="00A06CCA">
        <w:rPr/>
        <w:t>Research Plan &amp; Methodology</w:t>
      </w:r>
    </w:p>
    <w:p w:rsidR="00A06CCA" w:rsidP="07562096" w:rsidRDefault="00A06CCA" w14:paraId="3EF22B2E" w14:textId="20785512">
      <w:pPr>
        <w:pStyle w:val="ListParagraph"/>
        <w:numPr>
          <w:ilvl w:val="0"/>
          <w:numId w:val="5"/>
        </w:numPr>
        <w:spacing w:before="0" w:beforeAutospacing="off" w:after="0" w:afterAutospacing="off"/>
        <w:rPr/>
      </w:pPr>
      <w:r w:rsidR="00A06CCA">
        <w:rPr/>
        <w:t>Alignment with DOE ESGC</w:t>
      </w:r>
    </w:p>
    <w:p w:rsidR="00A06CCA" w:rsidP="07562096" w:rsidRDefault="00A06CCA" w14:paraId="06AAF86F" w14:textId="5E742F15">
      <w:pPr>
        <w:pStyle w:val="ListParagraph"/>
        <w:numPr>
          <w:ilvl w:val="0"/>
          <w:numId w:val="5"/>
        </w:numPr>
        <w:spacing w:before="0" w:beforeAutospacing="off" w:after="0" w:afterAutospacing="off"/>
        <w:rPr/>
      </w:pPr>
      <w:r w:rsidR="00A06CCA">
        <w:rPr/>
        <w:t>Commercialization &amp; Deployment Pathway</w:t>
      </w:r>
    </w:p>
    <w:p w:rsidR="00A06CCA" w:rsidP="07562096" w:rsidRDefault="00A06CCA" w14:paraId="52807899" w14:textId="4C4E9BCA">
      <w:pPr>
        <w:pStyle w:val="ListParagraph"/>
        <w:numPr>
          <w:ilvl w:val="0"/>
          <w:numId w:val="5"/>
        </w:numPr>
        <w:spacing w:before="0" w:beforeAutospacing="off" w:after="0" w:afterAutospacing="off"/>
        <w:rPr/>
      </w:pPr>
      <w:r w:rsidR="00A06CCA">
        <w:rPr/>
        <w:t>Budget Justification</w:t>
      </w:r>
    </w:p>
    <w:p w:rsidR="00A06CCA" w:rsidP="07562096" w:rsidRDefault="00A06CCA" w14:paraId="68992BE3" w14:textId="32FC6458">
      <w:pPr>
        <w:pStyle w:val="ListParagraph"/>
        <w:numPr>
          <w:ilvl w:val="0"/>
          <w:numId w:val="5"/>
        </w:numPr>
        <w:spacing w:before="0" w:beforeAutospacing="off" w:after="0" w:afterAutospacing="off"/>
        <w:rPr/>
      </w:pPr>
      <w:r w:rsidR="00A06CCA">
        <w:rPr/>
        <w:t>Project Timeline &amp; Milestones</w:t>
      </w:r>
    </w:p>
    <w:p w:rsidR="00A06CCA" w:rsidP="07562096" w:rsidRDefault="00A06CCA" w14:paraId="497174CA" w14:textId="1A682D03">
      <w:pPr>
        <w:pStyle w:val="ListParagraph"/>
        <w:numPr>
          <w:ilvl w:val="0"/>
          <w:numId w:val="5"/>
        </w:numPr>
        <w:spacing w:before="0" w:beforeAutospacing="off" w:after="0" w:afterAutospacing="off"/>
        <w:rPr>
          <w:i w:val="1"/>
          <w:iCs w:val="1"/>
        </w:rPr>
      </w:pPr>
      <w:r w:rsidRPr="07562096" w:rsidR="00A06CCA">
        <w:rPr>
          <w:b w:val="1"/>
          <w:bCs w:val="1"/>
        </w:rPr>
        <w:t>Thermal Safety &amp; Fire</w:t>
      </w:r>
      <w:r>
        <w:noBreakHyphen/>
      </w:r>
      <w:r w:rsidRPr="07562096" w:rsidR="00A06CCA">
        <w:rPr>
          <w:b w:val="1"/>
          <w:bCs w:val="1"/>
        </w:rPr>
        <w:t>Science Validation</w:t>
      </w:r>
      <w:r w:rsidR="00A06CCA">
        <w:rPr/>
        <w:t xml:space="preserve"> </w:t>
      </w:r>
      <w:r w:rsidRPr="07562096" w:rsidR="00A06CCA">
        <w:rPr>
          <w:i w:val="1"/>
          <w:iCs w:val="1"/>
        </w:rPr>
        <w:t>(newly inserted)</w:t>
      </w:r>
    </w:p>
    <w:p w:rsidR="00A06CCA" w:rsidRDefault="00A06CCA" w14:paraId="06FB4F68" w14:textId="56E2E74F">
      <w:r w:rsidRPr="07562096" w:rsidR="00A06CCA">
        <w:rPr>
          <w:lang w:val="en-US"/>
        </w:rPr>
        <w:t xml:space="preserve">Would you like me to draft the </w:t>
      </w:r>
      <w:r w:rsidRPr="07562096" w:rsidR="00A06CCA">
        <w:rPr>
          <w:b w:val="1"/>
          <w:bCs w:val="1"/>
          <w:lang w:val="en-US"/>
        </w:rPr>
        <w:t>updated text block</w:t>
      </w:r>
      <w:r w:rsidRPr="07562096" w:rsidR="00A06CCA">
        <w:rPr>
          <w:lang w:val="en-US"/>
        </w:rPr>
        <w:t xml:space="preserve"> exactly as it will appear in your OneDrive document next, so you can paste it in immediately?</w:t>
      </w:r>
    </w:p>
    <w:p w:rsidR="00A06CCA" w:rsidRDefault="00A06CCA" w14:paraId="3C74487F" w14:textId="1A558BD8">
      <w:r w:rsidR="00A06CCA">
        <w:rPr/>
        <w:t>Today</w:t>
      </w:r>
    </w:p>
    <w:p w:rsidR="00A06CCA" w:rsidRDefault="00A06CCA" w14:paraId="7A8571F5" w14:textId="3D62F2B9">
      <w:r w:rsidR="00A06CCA">
        <w:rPr/>
        <w:t>Yes</w:t>
      </w:r>
    </w:p>
    <w:p w:rsidR="00A06CCA" w:rsidRDefault="00A06CCA" w14:paraId="73357D6C" w14:textId="1BED9C28">
      <w:r w:rsidRPr="07562096" w:rsidR="00A06CCA">
        <w:rPr>
          <w:lang w:val="en-US"/>
        </w:rPr>
        <w:t xml:space="preserve">Excellent, Julio — here’s the </w:t>
      </w:r>
      <w:r w:rsidRPr="07562096" w:rsidR="00A06CCA">
        <w:rPr>
          <w:b w:val="1"/>
          <w:bCs w:val="1"/>
          <w:lang w:val="en-US"/>
        </w:rPr>
        <w:t>updated text block</w:t>
      </w:r>
      <w:r w:rsidRPr="07562096" w:rsidR="00A06CCA">
        <w:rPr>
          <w:lang w:val="en-US"/>
        </w:rPr>
        <w:t xml:space="preserve"> exactly as it should appear in your </w:t>
      </w:r>
      <w:r w:rsidRPr="07562096" w:rsidR="00A06CCA">
        <w:rPr>
          <w:b w:val="1"/>
          <w:bCs w:val="1"/>
          <w:lang w:val="en-US"/>
        </w:rPr>
        <w:t>DOE_Energy_Storage_Grant_Application.docx</w:t>
      </w:r>
      <w:r w:rsidRPr="07562096" w:rsidR="00A06CCA">
        <w:rPr>
          <w:lang w:val="en-US"/>
        </w:rPr>
        <w:t xml:space="preserve"> on OneDrive. It’s formatted for insertion right after </w:t>
      </w:r>
      <w:r w:rsidRPr="07562096" w:rsidR="00A06CCA">
        <w:rPr>
          <w:b w:val="1"/>
          <w:bCs w:val="1"/>
          <w:lang w:val="en-US"/>
        </w:rPr>
        <w:t>Section 7: Project Timeline &amp; Milestones</w:t>
      </w:r>
      <w:r w:rsidRPr="07562096" w:rsidR="00A06CCA">
        <w:rPr>
          <w:lang w:val="en-US"/>
        </w:rPr>
        <w:t>, harmonized with your CAHSRA SOP milestones and DOE reviewer expectations.</w:t>
      </w:r>
    </w:p>
    <w:p w:rsidR="00A06CCA" w:rsidRDefault="00A06CCA" w14:paraId="461AEC57" w14:textId="7D404165">
      <w:r w:rsidRPr="07562096" w:rsidR="00A06CCA">
        <w:rPr>
          <w:b w:val="1"/>
          <w:bCs w:val="1"/>
        </w:rPr>
        <w:t>8. THERMAL SAFETY &amp; FIRE</w:t>
      </w:r>
      <w:r>
        <w:noBreakHyphen/>
      </w:r>
      <w:r w:rsidRPr="07562096" w:rsidR="00A06CCA">
        <w:rPr>
          <w:b w:val="1"/>
          <w:bCs w:val="1"/>
        </w:rPr>
        <w:t>SCIENCE VALIDATION</w:t>
      </w:r>
    </w:p>
    <w:p w:rsidR="00A06CCA" w:rsidRDefault="00A06CCA" w14:paraId="19477AA9" w14:textId="1E566EFD">
      <w:r w:rsidRPr="07562096" w:rsidR="00A06CCA">
        <w:rPr>
          <w:b w:val="1"/>
          <w:bCs w:val="1"/>
        </w:rPr>
        <w:t>8.1 Real</w:t>
      </w:r>
      <w:r>
        <w:noBreakHyphen/>
      </w:r>
      <w:r w:rsidRPr="07562096" w:rsidR="00A06CCA">
        <w:rPr>
          <w:b w:val="1"/>
          <w:bCs w:val="1"/>
        </w:rPr>
        <w:t>World Thermal Risk Context</w:t>
      </w:r>
    </w:p>
    <w:p w:rsidR="00A06CCA" w:rsidRDefault="00A06CCA" w14:paraId="68822279" w14:textId="144D649C">
      <w:r w:rsidR="00A06CCA">
        <w:rPr/>
        <w:t>Conventional grid</w:t>
      </w:r>
      <w:r>
        <w:noBreakHyphen/>
      </w:r>
      <w:r w:rsidR="00A06CCA">
        <w:rPr/>
        <w:t>scale storage technologies—particularly lithium</w:t>
      </w:r>
      <w:r>
        <w:noBreakHyphen/>
      </w:r>
      <w:r w:rsidR="00A06CCA">
        <w:rPr/>
        <w:t>ion BESS and oil</w:t>
      </w:r>
      <w:r>
        <w:noBreakHyphen/>
      </w:r>
      <w:r w:rsidR="00A06CCA">
        <w:rPr/>
        <w:t>filled distribution transformers—face well</w:t>
      </w:r>
      <w:r>
        <w:noBreakHyphen/>
      </w:r>
      <w:r w:rsidR="00A06CCA">
        <w:rPr/>
        <w:t>documented thermal failure modes:</w:t>
      </w:r>
    </w:p>
    <w:p w:rsidR="00A06CCA" w:rsidP="07562096" w:rsidRDefault="00A06CCA" w14:paraId="50E11322" w14:textId="20AE60B4">
      <w:pPr>
        <w:pStyle w:val="ListParagraph"/>
        <w:numPr>
          <w:ilvl w:val="0"/>
          <w:numId w:val="6"/>
        </w:numPr>
        <w:spacing w:before="0" w:beforeAutospacing="off" w:after="0" w:afterAutospacing="off"/>
        <w:rPr/>
      </w:pPr>
      <w:r w:rsidRPr="07562096" w:rsidR="00A06CCA">
        <w:rPr>
          <w:b w:val="1"/>
          <w:bCs w:val="1"/>
        </w:rPr>
        <w:t>Lithium</w:t>
      </w:r>
      <w:r>
        <w:noBreakHyphen/>
      </w:r>
      <w:r w:rsidRPr="07562096" w:rsidR="00A06CCA">
        <w:rPr>
          <w:b w:val="1"/>
          <w:bCs w:val="1"/>
        </w:rPr>
        <w:t>ion cells</w:t>
      </w:r>
      <w:r w:rsidR="00A06CCA">
        <w:rPr/>
        <w:t xml:space="preserve"> enter thermal runaway at 500–1,000 °C, with peak internal temperatures exceeding 1,000 °C.</w:t>
      </w:r>
    </w:p>
    <w:p w:rsidR="00A06CCA" w:rsidP="07562096" w:rsidRDefault="00A06CCA" w14:paraId="4D6795C3" w14:textId="55C4B439">
      <w:pPr>
        <w:pStyle w:val="ListParagraph"/>
        <w:numPr>
          <w:ilvl w:val="0"/>
          <w:numId w:val="6"/>
        </w:numPr>
        <w:spacing w:before="0" w:beforeAutospacing="off" w:after="0" w:afterAutospacing="off"/>
        <w:rPr/>
      </w:pPr>
      <w:r w:rsidRPr="07562096" w:rsidR="00A06CCA">
        <w:rPr>
          <w:b w:val="1"/>
          <w:bCs w:val="1"/>
        </w:rPr>
        <w:t>Distribution transformers</w:t>
      </w:r>
      <w:r w:rsidR="00A06CCA">
        <w:rPr/>
        <w:t xml:space="preserve"> experience insulation breakdown at 140–160 °C, with pyrolysis and ignition risk above 200 °C.</w:t>
      </w:r>
    </w:p>
    <w:p w:rsidR="00A06CCA" w:rsidP="07562096" w:rsidRDefault="00A06CCA" w14:paraId="01ED179E" w14:textId="7E1BA550">
      <w:pPr>
        <w:pStyle w:val="ListParagraph"/>
        <w:numPr>
          <w:ilvl w:val="0"/>
          <w:numId w:val="6"/>
        </w:numPr>
        <w:spacing w:before="0" w:beforeAutospacing="off" w:after="0" w:afterAutospacing="off"/>
        <w:rPr/>
      </w:pPr>
      <w:r w:rsidR="00A06CCA">
        <w:rPr/>
        <w:t xml:space="preserve">Both systems rely on </w:t>
      </w:r>
      <w:r w:rsidRPr="07562096" w:rsidR="00A06CCA">
        <w:rPr>
          <w:b w:val="1"/>
          <w:bCs w:val="1"/>
        </w:rPr>
        <w:t>chemical or oil</w:t>
      </w:r>
      <w:r>
        <w:noBreakHyphen/>
      </w:r>
      <w:r w:rsidRPr="07562096" w:rsidR="00A06CCA">
        <w:rPr>
          <w:b w:val="1"/>
          <w:bCs w:val="1"/>
        </w:rPr>
        <w:t>based mechanisms</w:t>
      </w:r>
      <w:r w:rsidR="00A06CCA">
        <w:rPr/>
        <w:t>, introducing inherent fire</w:t>
      </w:r>
      <w:r>
        <w:noBreakHyphen/>
      </w:r>
      <w:r w:rsidR="00A06CCA">
        <w:rPr/>
        <w:t>propagation pathways.</w:t>
      </w:r>
    </w:p>
    <w:p w:rsidR="00A06CCA" w:rsidRDefault="00A06CCA" w14:paraId="6B26BA6C" w14:textId="02F96325">
      <w:r w:rsidR="00A06CCA">
        <w:rPr/>
        <w:t xml:space="preserve">These thermal realities create a </w:t>
      </w:r>
      <w:r w:rsidRPr="07562096" w:rsidR="00A06CCA">
        <w:rPr>
          <w:b w:val="1"/>
          <w:bCs w:val="1"/>
        </w:rPr>
        <w:t>structural safety ceiling</w:t>
      </w:r>
      <w:r w:rsidR="00A06CCA">
        <w:rPr/>
        <w:t xml:space="preserve"> for chemical storage and conventional grid hardware, limiting deployment density, residential siting, and high</w:t>
      </w:r>
      <w:r>
        <w:noBreakHyphen/>
      </w:r>
      <w:r w:rsidR="00A06CCA">
        <w:rPr/>
        <w:t>flux operation.</w:t>
      </w:r>
    </w:p>
    <w:p w:rsidR="00A06CCA" w:rsidRDefault="00A06CCA" w14:paraId="34A74899" w14:textId="667C3F4C">
      <w:r w:rsidRPr="07562096" w:rsidR="00A06CCA">
        <w:rPr>
          <w:b w:val="1"/>
          <w:bCs w:val="1"/>
        </w:rPr>
        <w:t>8.2 How the Sovereign Engine Eliminates Thermal Runaway Pathways</w:t>
      </w:r>
    </w:p>
    <w:p w:rsidR="00A06CCA" w:rsidRDefault="00A06CCA" w14:paraId="7F0A14B3" w14:textId="15973F6D">
      <w:r w:rsidR="00A06CCA">
        <w:rPr/>
        <w:t>The Sovereign Engine’s architecture avoids all known thermal failure modes:</w:t>
      </w:r>
    </w:p>
    <w:p w:rsidR="00A06CCA" w:rsidP="07562096" w:rsidRDefault="00A06CCA" w14:paraId="62C1E02B" w14:textId="216AFEA8">
      <w:pPr>
        <w:pStyle w:val="ListParagraph"/>
        <w:numPr>
          <w:ilvl w:val="0"/>
          <w:numId w:val="7"/>
        </w:numPr>
        <w:spacing w:before="0" w:beforeAutospacing="off" w:after="0" w:afterAutospacing="off"/>
        <w:rPr/>
      </w:pPr>
      <w:r w:rsidRPr="07562096" w:rsidR="00A06CCA">
        <w:rPr>
          <w:b w:val="1"/>
          <w:bCs w:val="1"/>
        </w:rPr>
        <w:t>No chemical reactions</w:t>
      </w:r>
      <w:r w:rsidR="00A06CCA">
        <w:rPr/>
        <w:t> → no thermal runaway</w:t>
      </w:r>
    </w:p>
    <w:p w:rsidR="00A06CCA" w:rsidP="07562096" w:rsidRDefault="00A06CCA" w14:paraId="7307DF15" w14:textId="02C67BDE">
      <w:pPr>
        <w:pStyle w:val="ListParagraph"/>
        <w:numPr>
          <w:ilvl w:val="0"/>
          <w:numId w:val="7"/>
        </w:numPr>
        <w:spacing w:before="0" w:beforeAutospacing="off" w:after="0" w:afterAutospacing="off"/>
        <w:rPr/>
      </w:pPr>
      <w:r w:rsidRPr="07562096" w:rsidR="00A06CCA">
        <w:rPr>
          <w:b w:val="1"/>
          <w:bCs w:val="1"/>
        </w:rPr>
        <w:t>No hydrocarbon oils</w:t>
      </w:r>
      <w:r w:rsidR="00A06CCA">
        <w:rPr/>
        <w:t> → no combustible dielectric medium</w:t>
      </w:r>
    </w:p>
    <w:p w:rsidR="00A06CCA" w:rsidP="07562096" w:rsidRDefault="00A06CCA" w14:paraId="050AC6DB" w14:textId="4C3E8B93">
      <w:pPr>
        <w:pStyle w:val="ListParagraph"/>
        <w:numPr>
          <w:ilvl w:val="0"/>
          <w:numId w:val="7"/>
        </w:numPr>
        <w:spacing w:before="0" w:beforeAutospacing="off" w:after="0" w:afterAutospacing="off"/>
        <w:rPr/>
      </w:pPr>
      <w:r w:rsidRPr="07562096" w:rsidR="00A06CCA">
        <w:rPr>
          <w:b w:val="1"/>
          <w:bCs w:val="1"/>
        </w:rPr>
        <w:t>No electrochemical charge acceptance limits</w:t>
      </w:r>
      <w:r w:rsidR="00A06CCA">
        <w:rPr/>
        <w:t> → no overheating during high</w:t>
      </w:r>
      <w:r>
        <w:noBreakHyphen/>
      </w:r>
      <w:r w:rsidR="00A06CCA">
        <w:rPr/>
        <w:t>power transients</w:t>
      </w:r>
    </w:p>
    <w:p w:rsidR="00A06CCA" w:rsidRDefault="00A06CCA" w14:paraId="52FBDF11" w14:textId="105970D0">
      <w:r w:rsidR="00A06CCA">
        <w:rPr/>
        <w:t>Instead, the system relies on:</w:t>
      </w:r>
    </w:p>
    <w:p w:rsidR="00A06CCA" w:rsidP="07562096" w:rsidRDefault="00A06CCA" w14:paraId="4E80D353" w14:textId="24F6A89C">
      <w:pPr>
        <w:pStyle w:val="ListParagraph"/>
        <w:numPr>
          <w:ilvl w:val="0"/>
          <w:numId w:val="8"/>
        </w:numPr>
        <w:spacing w:before="0" w:beforeAutospacing="off" w:after="0" w:afterAutospacing="off"/>
        <w:rPr/>
      </w:pPr>
      <w:r w:rsidRPr="07562096" w:rsidR="00A06CCA">
        <w:rPr>
          <w:b w:val="1"/>
          <w:bCs w:val="1"/>
        </w:rPr>
        <w:t>θ</w:t>
      </w:r>
      <w:r>
        <w:noBreakHyphen/>
      </w:r>
      <w:r w:rsidRPr="07562096" w:rsidR="00A06CCA">
        <w:rPr>
          <w:b w:val="1"/>
          <w:bCs w:val="1"/>
        </w:rPr>
        <w:t>TaN diamagnetic containment</w:t>
      </w:r>
      <w:r w:rsidR="00A06CCA">
        <w:rPr/>
        <w:t xml:space="preserve"> with a 2800 °C thermal limit</w:t>
      </w:r>
    </w:p>
    <w:p w:rsidR="00A06CCA" w:rsidP="07562096" w:rsidRDefault="00A06CCA" w14:paraId="79E549FB" w14:textId="529DC53C">
      <w:pPr>
        <w:pStyle w:val="ListParagraph"/>
        <w:numPr>
          <w:ilvl w:val="0"/>
          <w:numId w:val="8"/>
        </w:numPr>
        <w:spacing w:before="0" w:beforeAutospacing="off" w:after="0" w:afterAutospacing="off"/>
        <w:rPr>
          <w:lang w:val="en-US"/>
        </w:rPr>
      </w:pPr>
      <w:r w:rsidRPr="07562096" w:rsidR="00A06CCA">
        <w:rPr>
          <w:b w:val="1"/>
          <w:bCs w:val="1"/>
          <w:lang w:val="en-US"/>
        </w:rPr>
        <w:t>HTS REBCO superconductors</w:t>
      </w:r>
      <w:r w:rsidRPr="07562096" w:rsidR="00A06CCA">
        <w:rPr>
          <w:lang w:val="en-US"/>
        </w:rPr>
        <w:t xml:space="preserve"> operating at cryogenic temperatures</w:t>
      </w:r>
    </w:p>
    <w:p w:rsidR="00A06CCA" w:rsidP="07562096" w:rsidRDefault="00A06CCA" w14:paraId="41579A5D" w14:textId="4A21FF6A">
      <w:pPr>
        <w:pStyle w:val="ListParagraph"/>
        <w:numPr>
          <w:ilvl w:val="0"/>
          <w:numId w:val="8"/>
        </w:numPr>
        <w:spacing w:before="0" w:beforeAutospacing="off" w:after="0" w:afterAutospacing="off"/>
        <w:rPr/>
      </w:pPr>
      <w:r w:rsidRPr="07562096" w:rsidR="00A06CCA">
        <w:rPr>
          <w:b w:val="1"/>
          <w:bCs w:val="1"/>
        </w:rPr>
        <w:t>Mechanical (kinetic) energy storage</w:t>
      </w:r>
      <w:r w:rsidR="00A06CCA">
        <w:rPr/>
        <w:t>, which does not degrade or heat through chemical cycling</w:t>
      </w:r>
    </w:p>
    <w:p w:rsidR="00A06CCA" w:rsidRDefault="00A06CCA" w14:paraId="5E2C27D5" w14:textId="09B66FA4">
      <w:r w:rsidRPr="07562096" w:rsidR="00A06CCA">
        <w:rPr>
          <w:b w:val="1"/>
          <w:bCs w:val="1"/>
        </w:rPr>
        <w:t>8.3 DOE</w:t>
      </w:r>
      <w:r>
        <w:noBreakHyphen/>
      </w:r>
      <w:r w:rsidRPr="07562096" w:rsidR="00A06CCA">
        <w:rPr>
          <w:b w:val="1"/>
          <w:bCs w:val="1"/>
        </w:rPr>
        <w:t>Relevant Safety Advantages</w:t>
      </w:r>
    </w:p>
    <w:tbl>
      <w:tblPr>
        <w:tblStyle w:val="TableNormal"/>
        <w:bidiVisual w:val="0"/>
        <w:tblW w:w="0" w:type="auto"/>
        <w:tblLook w:val="06A0" w:firstRow="1" w:lastRow="0" w:firstColumn="1" w:lastColumn="0" w:noHBand="1" w:noVBand="1"/>
      </w:tblPr>
      <w:tblGrid>
        <w:gridCol/>
        <w:gridCol w:w="345"/>
        <w:gridCol w:w="345"/>
        <w:gridCol/>
      </w:tblGrid>
      <w:tr w:rsidR="07562096" w:rsidTr="07562096" w14:paraId="4CA399E6">
        <w:trPr>
          <w:trHeight w:val="300"/>
        </w:trPr>
        <w:tc>
          <w:tcPr>
            <w:tcMar/>
            <w:vAlign w:val="center"/>
          </w:tcPr>
          <w:p w:rsidR="07562096" w:rsidP="07562096" w:rsidRDefault="07562096" w14:paraId="08D94682" w14:textId="2F039ACD">
            <w:pPr>
              <w:spacing w:before="0" w:beforeAutospacing="off" w:after="0" w:afterAutospacing="off"/>
              <w:jc w:val="center"/>
              <w:rPr>
                <w:b w:val="1"/>
                <w:bCs w:val="1"/>
              </w:rPr>
            </w:pPr>
          </w:p>
        </w:tc>
        <w:tc>
          <w:tcPr>
            <w:tcW w:w="345" w:type="dxa"/>
            <w:tcMar/>
            <w:vAlign w:val="center"/>
          </w:tcPr>
          <w:p w:rsidR="07562096" w:rsidP="07562096" w:rsidRDefault="07562096" w14:paraId="39B2763F" w14:textId="1DEB25B9">
            <w:pPr>
              <w:spacing w:before="0" w:beforeAutospacing="off" w:after="0" w:afterAutospacing="off"/>
            </w:pPr>
          </w:p>
        </w:tc>
        <w:tc>
          <w:tcPr>
            <w:tcW w:w="345" w:type="dxa"/>
            <w:tcMar/>
            <w:vAlign w:val="center"/>
          </w:tcPr>
          <w:p w:rsidR="07562096" w:rsidP="07562096" w:rsidRDefault="07562096" w14:paraId="4C3570E9" w14:textId="7D23895B">
            <w:pPr>
              <w:spacing w:before="0" w:beforeAutospacing="off" w:after="0" w:afterAutospacing="off"/>
            </w:pPr>
          </w:p>
        </w:tc>
        <w:tc>
          <w:tcPr>
            <w:tcMar/>
            <w:vAlign w:val="center"/>
          </w:tcPr>
          <w:p w:rsidR="07562096" w:rsidP="07562096" w:rsidRDefault="07562096" w14:paraId="6FF52B95" w14:textId="1F53181F">
            <w:pPr>
              <w:spacing w:before="0" w:beforeAutospacing="off" w:after="0" w:afterAutospacing="off"/>
            </w:pPr>
            <w:r w:rsidRPr="07562096" w:rsidR="07562096">
              <w:rPr>
                <w:b w:val="1"/>
                <w:bCs w:val="1"/>
              </w:rPr>
              <w:t>on</w:t>
            </w:r>
          </w:p>
        </w:tc>
      </w:tr>
    </w:tbl>
    <w:p w:rsidR="00A06CCA" w:rsidRDefault="00A06CCA" w14:paraId="3B4F2810" w14:textId="4248F3EE">
      <w:r w:rsidRPr="07562096" w:rsidR="00A06CCA">
        <w:rPr>
          <w:b w:val="1"/>
          <w:bCs w:val="1"/>
        </w:rPr>
        <w:t>8.4 Validation Pathway</w:t>
      </w:r>
    </w:p>
    <w:p w:rsidR="00A06CCA" w:rsidRDefault="00A06CCA" w14:paraId="3117662C" w14:textId="6F47E8AC">
      <w:r w:rsidR="00A06CCA">
        <w:rPr/>
        <w:t>This section aligns with the CAHSRA KES SOP milestones and integrates directly into the DOE research plan:</w:t>
      </w:r>
    </w:p>
    <w:p w:rsidR="00A06CCA" w:rsidP="07562096" w:rsidRDefault="00A06CCA" w14:paraId="27C25E93" w14:textId="7277BF75">
      <w:pPr>
        <w:pStyle w:val="ListParagraph"/>
        <w:numPr>
          <w:ilvl w:val="0"/>
          <w:numId w:val="9"/>
        </w:numPr>
        <w:bidi w:val="0"/>
        <w:spacing w:before="0" w:beforeAutospacing="off" w:after="0" w:afterAutospacing="off"/>
        <w:rPr/>
      </w:pPr>
      <w:r w:rsidRPr="07562096" w:rsidR="00A06CCA">
        <w:rPr>
          <w:b w:val="1"/>
          <w:bCs w:val="1"/>
        </w:rPr>
        <w:t>LLNL:</w:t>
      </w:r>
      <w:r w:rsidR="00A06CCA">
        <w:rPr/>
        <w:t> θ</w:t>
      </w:r>
      <w:r>
        <w:noBreakHyphen/>
      </w:r>
      <w:r w:rsidR="00A06CCA">
        <w:rPr/>
        <w:t>TaN thermal stability to 3500 °C and EMP resistance certification (Feb 10 milestone)</w:t>
      </w:r>
    </w:p>
    <w:p w:rsidR="00A06CCA" w:rsidP="07562096" w:rsidRDefault="00A06CCA" w14:paraId="28B8975F" w14:textId="5D907456">
      <w:pPr>
        <w:pStyle w:val="ListParagraph"/>
        <w:numPr>
          <w:ilvl w:val="0"/>
          <w:numId w:val="9"/>
        </w:numPr>
        <w:bidi w:val="0"/>
        <w:spacing w:before="0" w:beforeAutospacing="off" w:after="0" w:afterAutospacing="off"/>
        <w:rPr/>
      </w:pPr>
      <w:r w:rsidRPr="07562096" w:rsidR="00A06CCA">
        <w:rPr>
          <w:b w:val="1"/>
          <w:bCs w:val="1"/>
        </w:rPr>
        <w:t>UCLA Heat Transfer Lab:</w:t>
      </w:r>
      <w:r w:rsidR="00A06CCA">
        <w:rPr/>
        <w:t> Cryogenic thermal behavior under NIF</w:t>
      </w:r>
      <w:r>
        <w:noBreakHyphen/>
      </w:r>
      <w:r w:rsidR="00A06CCA">
        <w:rPr/>
        <w:t>class loading (March 10 milestone)</w:t>
      </w:r>
    </w:p>
    <w:p w:rsidR="00A06CCA" w:rsidP="07562096" w:rsidRDefault="00A06CCA" w14:paraId="48F9CE47" w14:textId="729C23D2">
      <w:pPr>
        <w:pStyle w:val="ListParagraph"/>
        <w:numPr>
          <w:ilvl w:val="0"/>
          <w:numId w:val="9"/>
        </w:numPr>
        <w:bidi w:val="0"/>
        <w:spacing w:before="0" w:beforeAutospacing="off" w:after="0" w:afterAutospacing="off"/>
        <w:rPr>
          <w:lang w:val="en-US"/>
        </w:rPr>
      </w:pPr>
      <w:r w:rsidRPr="07562096" w:rsidR="00A06CCA">
        <w:rPr>
          <w:b w:val="1"/>
          <w:bCs w:val="1"/>
          <w:lang w:val="en-US"/>
        </w:rPr>
        <w:t>Berkeley CIEE:</w:t>
      </w:r>
      <w:r w:rsidRPr="07562096" w:rsidR="00A06CCA">
        <w:rPr>
          <w:lang w:val="en-US"/>
        </w:rPr>
        <w:t> Residential safety certification and μPMU fault detection validation</w:t>
      </w:r>
    </w:p>
    <w:p w:rsidR="00A06CCA" w:rsidP="07562096" w:rsidRDefault="00A06CCA" w14:paraId="6FF43438" w14:textId="316DEF7B">
      <w:pPr>
        <w:pStyle w:val="ListParagraph"/>
        <w:numPr>
          <w:ilvl w:val="0"/>
          <w:numId w:val="9"/>
        </w:numPr>
        <w:bidi w:val="0"/>
        <w:spacing w:before="0" w:beforeAutospacing="off" w:after="0" w:afterAutospacing="off"/>
        <w:rPr/>
      </w:pPr>
      <w:r w:rsidRPr="07562096" w:rsidR="00A06CCA">
        <w:rPr>
          <w:b w:val="1"/>
          <w:bCs w:val="1"/>
        </w:rPr>
        <w:t>UC Davis:</w:t>
      </w:r>
      <w:r w:rsidR="00A06CCA">
        <w:rPr/>
        <w:t> Agricultural microgrid safety testing under wildfire</w:t>
      </w:r>
      <w:r>
        <w:noBreakHyphen/>
      </w:r>
      <w:r w:rsidR="00A06CCA">
        <w:rPr/>
        <w:t>risk conditions</w:t>
      </w:r>
    </w:p>
    <w:p w:rsidR="00A06CCA" w:rsidRDefault="00A06CCA" w14:paraId="1ADFF379" w14:textId="27D12515">
      <w:r w:rsidRPr="07562096" w:rsidR="00A06CCA">
        <w:rPr>
          <w:b w:val="1"/>
          <w:bCs w:val="1"/>
          <w:lang w:val="en-US"/>
        </w:rPr>
        <w:t>8.5 Alignment With DOE ESGC Pillar 4 (Safety)</w:t>
      </w:r>
    </w:p>
    <w:p w:rsidR="00A06CCA" w:rsidRDefault="00A06CCA" w14:paraId="65CE0143" w14:textId="399B3F4D">
      <w:r w:rsidRPr="07562096" w:rsidR="00A06CCA">
        <w:rPr>
          <w:lang w:val="en-US"/>
        </w:rPr>
        <w:t>This section strengthens the application by demonstrating:</w:t>
      </w:r>
    </w:p>
    <w:p w:rsidR="00A06CCA" w:rsidP="07562096" w:rsidRDefault="00A06CCA" w14:paraId="34FFF280" w14:textId="314A4013">
      <w:pPr>
        <w:pStyle w:val="ListParagraph"/>
        <w:numPr>
          <w:ilvl w:val="0"/>
          <w:numId w:val="10"/>
        </w:numPr>
        <w:bidi w:val="0"/>
        <w:spacing w:before="0" w:beforeAutospacing="off" w:after="0" w:afterAutospacing="off"/>
        <w:rPr/>
      </w:pPr>
      <w:r w:rsidR="00A06CCA">
        <w:rPr/>
        <w:t>Clear articulation of the safety advantage</w:t>
      </w:r>
    </w:p>
    <w:p w:rsidR="00A06CCA" w:rsidP="07562096" w:rsidRDefault="00A06CCA" w14:paraId="4A885AE3" w14:textId="56696F06">
      <w:pPr>
        <w:pStyle w:val="ListParagraph"/>
        <w:numPr>
          <w:ilvl w:val="0"/>
          <w:numId w:val="10"/>
        </w:numPr>
        <w:bidi w:val="0"/>
        <w:spacing w:before="0" w:beforeAutospacing="off" w:after="0" w:afterAutospacing="off"/>
        <w:rPr/>
      </w:pPr>
      <w:r w:rsidR="00A06CCA">
        <w:rPr/>
        <w:t>Comparison to incumbent technologies</w:t>
      </w:r>
    </w:p>
    <w:p w:rsidR="00A06CCA" w:rsidP="07562096" w:rsidRDefault="00A06CCA" w14:paraId="4CB9D357" w14:textId="204EC625">
      <w:pPr>
        <w:pStyle w:val="ListParagraph"/>
        <w:numPr>
          <w:ilvl w:val="0"/>
          <w:numId w:val="10"/>
        </w:numPr>
        <w:bidi w:val="0"/>
        <w:spacing w:before="0" w:beforeAutospacing="off" w:after="0" w:afterAutospacing="off"/>
        <w:rPr>
          <w:lang w:val="en-US"/>
        </w:rPr>
      </w:pPr>
      <w:r w:rsidRPr="07562096" w:rsidR="00A06CCA">
        <w:rPr>
          <w:lang w:val="en-US"/>
        </w:rPr>
        <w:t>Evidence that the proposed system eliminates known risks</w:t>
      </w:r>
    </w:p>
    <w:p w:rsidR="00A06CCA" w:rsidP="07562096" w:rsidRDefault="00A06CCA" w14:paraId="0254BEF4" w14:textId="77CDAAEB">
      <w:pPr>
        <w:pStyle w:val="ListParagraph"/>
        <w:numPr>
          <w:ilvl w:val="0"/>
          <w:numId w:val="10"/>
        </w:numPr>
        <w:bidi w:val="0"/>
        <w:spacing w:before="0" w:beforeAutospacing="off" w:after="0" w:afterAutospacing="off"/>
        <w:rPr/>
      </w:pPr>
      <w:r w:rsidR="00A06CCA">
        <w:rPr/>
        <w:t>Alignment with DOE Energy Storage Grand Challenge objectives</w:t>
      </w:r>
    </w:p>
    <w:p w:rsidR="07562096" w:rsidP="07562096" w:rsidRDefault="07562096" w14:paraId="4F0B77B8" w14:textId="59C12D5E">
      <w:pPr>
        <w:pStyle w:val="Heading1"/>
      </w:pPr>
    </w:p>
    <w:p w:rsidR="07562096" w:rsidP="07562096" w:rsidRDefault="07562096" w14:paraId="19D52EFB" w14:textId="3225858B">
      <w:pPr>
        <w:pStyle w:val="Normal"/>
        <w:rPr>
          <w:b w:val="1"/>
          <w:bCs w:val="1"/>
          <w:color w:val="C55A11"/>
          <w:sz w:val="22"/>
          <w:szCs w:val="22"/>
        </w:rPr>
      </w:pPr>
    </w:p>
    <w:p xmlns:wp14="http://schemas.microsoft.com/office/word/2010/wordml" w14:paraId="4850282A" wp14:textId="77777777">
      <w:pPr>
        <w:spacing w:before="720"/>
        <w:jc w:val="center"/>
      </w:pPr>
      <w:r>
        <w:rPr>
          <w:b/>
          <w:bCs/>
          <w:color w:val="1F4E78"/>
          <w:sz w:val="32"/>
          <w:szCs w:val="32"/>
        </w:rPr>
        <w:t xml:space="preserve">U.S. Department of Energy - Energy Storage Grand Challenge</w:t>
      </w:r>
    </w:p>
    <w:p xmlns:wp14="http://schemas.microsoft.com/office/word/2010/wordml" w14:paraId="59074CDE" wp14:textId="77777777">
      <w:pPr>
        <w:spacing w:before="240"/>
        <w:jc w:val="center"/>
      </w:pPr>
      <w:r>
        <w:rPr>
          <w:sz w:val="24"/>
          <w:szCs w:val="24"/>
        </w:rPr>
        <w:t xml:space="preserve">Submitted by: Graal Industries, LLC</w:t>
      </w:r>
    </w:p>
    <w:p xmlns:wp14="http://schemas.microsoft.com/office/word/2010/wordml" w14:paraId="5DDDB406" wp14:textId="77777777">
      <w:pPr>
        <w:jc w:val="center"/>
      </w:pPr>
      <w:r>
        <w:rPr>
          <w:sz w:val="22"/>
          <w:szCs w:val="22"/>
        </w:rPr>
        <w:t xml:space="preserve">In partnership with: LLNL, UCLA, UC Berkeley CIEE, UC Davis Energy Institute</w:t>
      </w:r>
    </w:p>
    <w:p xmlns:wp14="http://schemas.microsoft.com/office/word/2010/wordml" w14:paraId="408D404C" wp14:textId="77777777">
      <w:pPr>
        <w:spacing w:before="120"/>
        <w:jc w:val="center"/>
      </w:pPr>
      <w:r>
        <w:rPr>
          <w:b/>
          <w:bCs/>
          <w:sz w:val="24"/>
          <w:szCs w:val="24"/>
        </w:rPr>
        <w:t xml:space="preserve">Application Date: February 15, 2026</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0">
    <w:nsid w:val="54a40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d36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34f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08a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10c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a400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607f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432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496250e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e2918db"/>
    <w:multiLevelType w:val="hybridMultilevel"/>
    <w:lvl w:ilvl="0" w15:tentative="1">
      <w:start w:val="1"/>
      <w:numFmt w:val="bullet"/>
      <w:lvlText w:val="•"/>
      <w:lvlJc w:val="left"/>
      <w:pPr>
        <w:ind w:left="720" w:hanging="36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E11FE9E"/>
    <w:rsid w:val="00A06CCA"/>
    <w:rsid w:val="07562096"/>
    <w:rsid w:val="0E026A6D"/>
    <w:rsid w:val="0E11FE9E"/>
    <w:rsid w:val="1FDEAAAB"/>
    <w:rsid w:val="1FDEAAAB"/>
    <w:rsid w:val="2EB6D6A5"/>
    <w:rsid w:val="2EFF59C8"/>
    <w:rsid w:val="3849CAA8"/>
    <w:rsid w:val="44182702"/>
    <w:rsid w:val="4BFE4CFC"/>
    <w:rsid w:val="4F890B59"/>
    <w:rsid w:val="5E8ABFEE"/>
    <w:rsid w:val="5E8ABFEE"/>
    <w:rsid w:val="648954F1"/>
    <w:rsid w:val="66D7BEC3"/>
    <w:rsid w:val="6DF9CA78"/>
  </w:rsids>
  <w14:docId w14:val="67D8A20B"/>
  <w15:docId w15:val="{CAB06928-DE0B-4B38-9500-29983F41E3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480" w:after="240"/>
      <w:outlineLvl w:val="0"/>
    </w:pPr>
    <w:rPr>
      <w:rFonts w:ascii="Arial" w:hAnsi="Arial" w:eastAsia="Arial" w:cs="Arial"/>
      <w:b/>
      <w:bCs/>
      <w:color w:val="1F4E78"/>
      <w:sz w:val="36"/>
      <w:szCs w:val="36"/>
    </w:rPr>
  </w:style>
  <w:style w:type="paragraph" w:styleId="Heading2">
    <w:name w:val="heading 20"/>
    <w:basedOn w:val="Normal"/>
    <w:next w:val="Normal"/>
    <w:qFormat/>
    <w:pPr>
      <w:spacing w:before="360" w:after="180"/>
      <w:outlineLvl w:val="1"/>
    </w:pPr>
    <w:rPr>
      <w:rFonts w:ascii="Arial" w:hAnsi="Arial" w:eastAsia="Arial" w:cs="Arial"/>
      <w:b/>
      <w:bCs/>
      <w:color w:val="C55A11"/>
      <w:sz w:val="28"/>
      <w:szCs w:val="28"/>
    </w:rPr>
  </w:style>
  <w:style w:type="paragraph" w:styleId="Heading3">
    <w:name w:val="heading 30"/>
    <w:basedOn w:val="Normal"/>
    <w:next w:val="Normal"/>
    <w:qFormat/>
    <w:pPr>
      <w:spacing w:before="240" w:after="120"/>
      <w:outlineLvl w:val="2"/>
    </w:pPr>
    <w:rPr>
      <w:rFonts w:ascii="Arial" w:hAnsi="Arial" w:eastAsia="Arial" w:cs="Arial"/>
      <w:b/>
      <w:bCs/>
      <w:color w:val="666666"/>
      <w:sz w:val="26"/>
      <w:szCs w:val="26"/>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Julio Umanzor</lastModifiedBy>
  <revision>4</revision>
  <dcterms:created xsi:type="dcterms:W3CDTF">2026-02-12T00:02:01.7660000Z</dcterms:created>
  <dcterms:modified xsi:type="dcterms:W3CDTF">2026-06-26T18:48:24.3275613Z</dcterms:modified>
</coreProperties>
</file>

<file path=docProps/custom.xml><?xml version="1.0" encoding="utf-8"?>
<Properties xmlns="http://schemas.openxmlformats.org/officeDocument/2006/custom-properties" xmlns:vt="http://schemas.openxmlformats.org/officeDocument/2006/docPropsVTypes"/>
</file>