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color w:val="003B5C"/>
          <w:sz w:val="52"/>
          <w:szCs w:val="52"/>
        </w:rPr>
        <w:t xml:space="preserve">SOVEREIGN ENGINE</w:t>
      </w:r>
    </w:p>
    <w:p>
      <w:pPr>
        <w:spacing w:after="240"/>
        <w:jc w:val="center"/>
      </w:pPr>
      <w:r>
        <w:rPr>
          <w:b/>
          <w:bCs/>
          <w:color w:val="FFB81C"/>
          <w:sz w:val="32"/>
          <w:szCs w:val="32"/>
        </w:rPr>
        <w:t xml:space="preserve">Multi-Laboratory Research Collaboration Proposal</w:t>
      </w:r>
    </w:p>
    <w:p>
      <w:pPr>
        <w:spacing w:after="120"/>
        <w:jc w:val="center"/>
      </w:pPr>
      <w:r>
        <w:rPr>
          <w:color w:val="666666"/>
          <w:sz w:val="26"/>
          <w:szCs w:val="26"/>
        </w:rPr>
        <w:t xml:space="preserve">UCLA Henry Samueli School of Engineering &amp; Applied Science</w:t>
      </w:r>
    </w:p>
    <w:p>
      <w:pPr>
        <w:spacing w:after="960"/>
        <w:jc w:val="center"/>
      </w:pPr>
      <w:r>
        <w:rPr>
          <w:color w:val="666666"/>
          <w:sz w:val="24"/>
          <w:szCs w:val="24"/>
        </w:rPr>
        <w:t xml:space="preserve">UC Berkeley CIEE | UC Davis Energy Institute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5C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RESEARCH ABSTRACT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This proposal seeks multi-laboratory validation of a novel high-flux kinetic energy recovery system utilizing HTS REBCO superconductors and θ-TaN diamagnetic containment for grid-scale Virtual Power Plant deployment. We propose comprehensive experimental validation across 5 UCLA laboratories, with parallel validation at UC Berkeley CIEE and UC Davis, to achieve independent verification of: (1) superconducting flux dynamics at 85kHz, (2) θ-TaN thermal containment at 2800°C limits, (3) OpenADR 2.0b grid integration protocols, (4) comparative analysis versus lithium-ion BESS, and (5) manufacturing scalability for 300,000-unit deployment.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SUMMARY: THE INERTIA GAP CRISIS</w:t>
      </w:r>
    </w:p>
    <w:p>
      <w:pPr>
        <w:spacing w:after="240"/>
      </w:pPr>
      <w:r>
        <w:rPr>
          <w:sz w:val="24"/>
          <w:szCs w:val="24"/>
        </w:rPr>
        <w:t xml:space="preserve">California's 2030 Zero-Carbon mandate creates an unprecedented grid stability challenge: traditional lithium-ion battery energy storage systems (BESS) cannot provide the synthetic inertia required for renewable-dominated grids. High-speed rail operations compound this problem—a Siemens Velaro trainset braking from 220mph generates 8-12 MW flux over 60-90 seconds, exceeding lithium-ion charge acceptance limits by 300%.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The Sovereign Engine addresses this through three core innovations requiring rigorous academic validation: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HTS REBCO 2G tape operating at 85kHz for instantaneous flux absorption (claimed 98.5% efficiency)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θ-TaN (Theta-Phase Tantalum Nitride) diamagnetic containment with 2800°C thermal fail-safe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OpenADR 2.0b protocol achieving &lt;10ms grid response for CAISO frequency regulation</w:t>
      </w:r>
    </w:p>
    <w:p>
      <w:pPr>
        <w:spacing w:before="360"/>
      </w:pPr>
      <w:r>
        <w:rPr>
          <w:b/>
          <w:bCs/>
          <w:color w:val="FFB81C"/>
          <w:sz w:val="28"/>
          <w:szCs w:val="28"/>
        </w:rPr>
        <w:t xml:space="preserve">Research Hypothesis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We hypothesize that kinetic energy storage via superconducting flux capture can achieve 25% traction recovery efficiency (vs 12% for lithium-ion BESS) while providing millisecond-response synthetic inertia for grid stabilization, with total system efficiency exceeding 98% and unlimited cycle life due to mechanical (non-chemical) energy conversion.</w:t>
      </w:r>
    </w:p>
    <w:p>
      <w:r>
        <w:br w:type="page"/>
      </w:r>
    </w:p>
    <w:p>
      <w:pPr>
        <w:pStyle w:val="Heading1"/>
      </w:pPr>
      <w:r>
        <w:t xml:space="preserve">2. UCLA LABORATORY ALIGNMENT MATRIX</w:t>
      </w:r>
    </w:p>
    <w:p>
      <w:pPr>
        <w:spacing w:after="240"/>
      </w:pPr>
      <w:r>
        <w:rPr>
          <w:sz w:val="24"/>
          <w:szCs w:val="24"/>
        </w:rPr>
        <w:t xml:space="preserve">The Sovereign Engine validation requires expertise across 5 distinct UCLA laboratories, each addressing critical technical validation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UCLA Laboratory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Core Expertise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Sovereign Engine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SMERC</w:t>
            </w:r>
          </w:p>
          <w:p>
            <w:r>
              <w:t xml:space="preserve">Dir: Rajit Gadh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V2G integration, automated demand response (ADR), distributed energy resources, battery storage, OpenADR protocols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Omega Phase: OpenADR 2.0b &lt;10ms response validation, 300,000-unit VPP coordination algorithms, CAISO frequency regulation tier qualification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Heat Transfer Lab</w:t>
            </w:r>
          </w:p>
          <w:p>
            <w:r>
              <w:t xml:space="preserve">Dir: Laurent G. Pilon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Thermal conductivity analysis, waste heat harvesting, electrical energy storage, high-temp furnaces, calorimeters, potentiostats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θ-TaN Shield: 2800°C thermal limit verification, diamagnetic coefficient measurement (95% claim), thermal conductivity mapping at 1100 W/m·K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MTSL</w:t>
            </w:r>
          </w:p>
          <w:p>
            <w:r>
              <w:t xml:space="preserve">Dir: Y. Sungtaek Ju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Nano- to macro-scale heat/mass transfer, energy conversion devices, thermal management of electronics, MEMS/NEMS devices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LN₂ Cooling System: Optimization of cryogenic thermal management for REBCO &lt;90K operation, round-trip efficiency validation (98.5% claim)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Micro/Nano Mfg Lab</w:t>
            </w:r>
          </w:p>
          <w:p>
            <w:r>
              <w:t xml:space="preserve">Dir: Chang-Jin Kim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Submillimeter MEMS, precision manufacturing, cleanroom facilities, probe stations, electroplating, interference lithography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Manufacturing Scalability: Quality control protocols for superconducting component production, miniaturization pathways for Nano units (15 kWh residential)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H-Lab</w:t>
            </w:r>
          </w:p>
          <w:p>
            <w:r>
              <w:t xml:space="preserve">Dir: Yongjie Hu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Fundamental transport phenomena, nanoscale processes, ultrafast optical spectroscopy, thermal spectral mapping, ab initio calculations, atomistic modeling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Materials Science: θ-TaN phase stability validation, REBCO flux dynamics at 85kHz, atomistic modeling of superconducting tape integration under high-frequency loading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PROPOSED EXPERIMENTAL VALIDATION FRAMEWORK</w:t>
      </w:r>
    </w:p>
    <w:p>
      <w:pPr>
        <w:pStyle w:val="Heading2"/>
      </w:pPr>
      <w:r>
        <w:t xml:space="preserve">Phase 1: Material Characterization (CRITICAL PATH)</w:t>
      </w:r>
    </w:p>
    <w:p>
      <w:pPr>
        <w:spacing w:after="120"/>
      </w:pPr>
      <w:r>
        <w:rPr>
          <w:b/>
          <w:bCs/>
          <w:color w:val="FFB81C"/>
          <w:sz w:val="24"/>
          <w:szCs w:val="24"/>
        </w:rPr>
        <w:t xml:space="preserve">Laboratory: Heat Transfer Lab (Pilon) + H-Lab (Hu)</w:t>
      </w:r>
    </w:p>
    <w:p>
      <w:pPr>
        <w:spacing w:after="180"/>
      </w:pPr>
      <w:r>
        <w:rPr>
          <w:sz w:val="24"/>
          <w:szCs w:val="24"/>
        </w:rPr>
        <w:t xml:space="preserve">Objective: Validate θ-TaN thermal properties and REBCO superconducting performance claims</w:t>
      </w:r>
    </w:p>
    <w:p>
      <w:pPr>
        <w:pStyle w:val="Heading3"/>
      </w:pPr>
      <w:r>
        <w:t xml:space="preserve">Experiment 1A: θ-TaN Thermal Limit Verification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Method: High-temperature furnace testing to 2800°C limit (Pilon lab facilities)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Measurement: Thermal conductivity analysis at 100°C increments using laser flash method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Success Criteria: Maintain 1100 W/m·K thermal conductivity up to 2500°C, verify 95% diamagnetic coefficient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Timeline: 6 weeks (including cooldown cycles)</w:t>
      </w:r>
    </w:p>
    <w:p>
      <w:pPr>
        <w:pStyle w:val="Heading3"/>
        <w:spacing w:before="240"/>
      </w:pPr>
      <w:r>
        <w:t xml:space="preserve">Experiment 1B: REBCO Flux Dynamics at 85kHz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Method: Ultrafast optical spectroscopy (H-Lab) to measure flux absorption at 85kHz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Measurement: Critical current density (Jc) stability under pulsed loading simulating 220mph braking (8-12 MW over 60-90 seconds)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Success Criteria: Maintain superconducting state (zero resistance) during flux transients, verify &gt;400A @ 77K critical current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Timeline: 8 weeks (including cryogenic setup and data analysis)</w:t>
      </w:r>
    </w:p>
    <w:p>
      <w:r>
        <w:br w:type="page"/>
      </w:r>
    </w:p>
    <w:p>
      <w:pPr>
        <w:pStyle w:val="Heading2"/>
      </w:pPr>
      <w:r>
        <w:t xml:space="preserve">Phase 2: System Integration Validation</w:t>
      </w:r>
    </w:p>
    <w:p>
      <w:pPr>
        <w:spacing w:after="120"/>
      </w:pPr>
      <w:r>
        <w:rPr>
          <w:b/>
          <w:bCs/>
          <w:color w:val="FFB81C"/>
          <w:sz w:val="24"/>
          <w:szCs w:val="24"/>
        </w:rPr>
        <w:t xml:space="preserve">Laboratory: SMERC (Gadh) + MTSL (Ju)</w:t>
      </w:r>
    </w:p>
    <w:p>
      <w:pPr>
        <w:pStyle w:val="Heading3"/>
      </w:pPr>
      <w:r>
        <w:t xml:space="preserve">Experiment 2A: OpenADR 2.0b Response Time Validation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Method: Connect Sovereign Nano prototype to SMERC's OpenADR test infrastructure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Measurement: Time from EiEvent signal to full power discharge (target: &lt;10ms for CAISO highest tier)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Simulation: 1,000 rapid demand response cycles to verify unlimited cycle life claim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Success Criteria: &lt;10ms response 99.9% of cycles, TLS 1.3 security validation, accurate EiReport telemetry</w:t>
      </w:r>
    </w:p>
    <w:p>
      <w:pPr>
        <w:pStyle w:val="Heading3"/>
        <w:spacing w:before="240"/>
      </w:pPr>
      <w:r>
        <w:t xml:space="preserve">Experiment 2B: Round-Trip Efficiency Measurement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Method: Precision calorimetry (MTSL) measuring energy input vs output over 100 charge/discharge cycles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Control: Parallel testing with lithium-ion BESS for direct comparison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Success Criteria: Verify 98.5% efficiency claim (Alpha: kinetic capture → Omega: grid discharge)</w:t>
      </w:r>
    </w:p>
    <w:p>
      <w:r>
        <w:br w:type="page"/>
      </w:r>
    </w:p>
    <w:p>
      <w:pPr>
        <w:pStyle w:val="Heading2"/>
      </w:pPr>
      <w:r>
        <w:t xml:space="preserve">Phase 3: Comparative Analysis (Kinetic vs Chemical Storage)</w:t>
      </w:r>
    </w:p>
    <w:p>
      <w:pPr>
        <w:spacing w:after="120"/>
      </w:pPr>
      <w:r>
        <w:rPr>
          <w:b/>
          <w:bCs/>
          <w:color w:val="FFB81C"/>
          <w:sz w:val="24"/>
          <w:szCs w:val="24"/>
        </w:rPr>
        <w:t xml:space="preserve">Laboratory: SMERC (Gadh) - Lead Principal Investigator</w:t>
      </w:r>
    </w:p>
    <w:p>
      <w:pPr>
        <w:pStyle w:val="Heading3"/>
      </w:pPr>
      <w:r>
        <w:t xml:space="preserve">Experiment 3A: High-Flux Absorption Test (Rail Simulation)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Scenario: Simulate Siemens Velaro braking from 220mph (8-12 MW over 60-90 seconds)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 A: Sovereign Engine (HTS REBCO kinetic capture)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 B: Lithium-ion BESS (charge acceptance limited to ~3-4 MW due to C-rate constraints)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Hypothesis: Sovereign captures 25% of braking energy vs 12% for BESS (limited by charge acceptance)</w:t>
      </w:r>
    </w:p>
    <w:p>
      <w:pPr>
        <w:pStyle w:val="Heading3"/>
        <w:spacing w:before="240"/>
      </w:pPr>
      <w:r>
        <w:t xml:space="preserve">Experiment 3B: VPP Coordination Stress Test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Method: Simulate 300,000-node network using SMERC's distributed energy resource (DER) platform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Test: Coordinate simultaneous Omega discharge across simulated network during grid frequency drop event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Success Criteria: Network stability maintained, &lt;100ms coordination latency, no single point of failure</w:t>
      </w:r>
    </w:p>
    <w:p>
      <w:r>
        <w:br w:type="page"/>
      </w:r>
    </w:p>
    <w:p>
      <w:pPr>
        <w:pStyle w:val="Heading1"/>
      </w:pPr>
      <w:r>
        <w:t xml:space="preserve">4. UC BERKELEY CIEE PARALLEL VALIDATION</w:t>
      </w:r>
    </w:p>
    <w:p>
      <w:pPr>
        <w:spacing w:after="180"/>
      </w:pPr>
      <w:r>
        <w:rPr>
          <w:b/>
          <w:bCs/>
          <w:color w:val="003B5C"/>
          <w:sz w:val="26"/>
          <w:szCs w:val="26"/>
        </w:rPr>
        <w:t xml:space="preserve">Independent Verification Track</w:t>
      </w:r>
    </w:p>
    <w:p>
      <w:pPr>
        <w:spacing w:after="240"/>
      </w:pPr>
      <w:r>
        <w:rPr>
          <w:sz w:val="24"/>
          <w:szCs w:val="24"/>
        </w:rPr>
        <w:t xml:space="preserve">While UCLA laboratories conduct detailed component-level validation, UC Berkeley CIEE (Prof. Sasha von Meier) provides independent system-level verification focused on grid integration and safety certification: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26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Berkeley CIEE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26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θ-TaN Safety Certification for residential deployment (Stud-Bay integration)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Feb 10 - Mar 10,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Grid Inertia Modeling using μPMU (micro-synchrophasor) 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Feb 15 - Mar 15,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OpenADR Integration verification (ChargePilot platform compatibility)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Feb 20 - Mar 20, 2026</w:t>
            </w:r>
          </w:p>
        </w:tc>
      </w:tr>
    </w:tbl>
    <w:p>
      <w:pPr>
        <w:spacing w:after="120"/>
      </w:pPr>
      <w:r>
        <w:rPr>
          <w:b/>
          <w:bCs/>
          <w:color w:val="003262"/>
          <w:sz w:val="26"/>
          <w:szCs w:val="26"/>
        </w:rPr>
        <w:t xml:space="preserve">Critical Research Question for Berkeley CIEE: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Can a 300,000-node distributed kinetic storage network provide sufficient synthetic inertia to stabilize a 100% renewable California grid during rapid solar drop-off events (e.g., cloud cover across Central Valley)?</w:t>
      </w:r>
    </w:p>
    <w:p>
      <w:r>
        <w:br w:type="page"/>
      </w:r>
    </w:p>
    <w:p>
      <w:pPr>
        <w:pStyle w:val="Heading1"/>
      </w:pPr>
      <w:r>
        <w:t xml:space="preserve">5. UC DAVIS ENERGY INSTITUTE COLLABORATION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Complementary Validation: Agricultural &amp; Transportation Energy Systems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CDLS Platform Integration: Testing kinetic recovery from heavy-duty logistics (9-vehicle aluminum trailers)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Carbon Credit Verification: LCFS monetization validation through Xpansiv Omega platform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Rural Microgrid Testing: Deployment scenarios for Central Valley agricultural operations</w:t>
      </w:r>
    </w:p>
    <w:p>
      <w:r>
        <w:br w:type="page"/>
      </w:r>
    </w:p>
    <w:p>
      <w:pPr>
        <w:pStyle w:val="Heading1"/>
      </w:pPr>
      <w:r>
        <w:t xml:space="preserve">6. PROPOSED PUBLICATION ROADMAP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Multi-Paper Strategy for Maximum Academic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81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Paper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8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Title &amp; Focus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8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Target Journal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8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3B5C"/>
                <w:sz w:val="24"/>
                <w:szCs w:val="24"/>
              </w:rPr>
              <w:t xml:space="preserve">#1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Theta-Phase Tantalum Nitride Diamagnetic Containment for High-Flux Superconducting Systems</w:t>
            </w:r>
          </w:p>
          <w:p>
            <w:r>
              <w:t xml:space="preserve">Focus: Material characterization, thermal limits, EMI exclusion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Applied Physics Letters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Q2 2026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3B5C"/>
                <w:sz w:val="24"/>
                <w:szCs w:val="24"/>
              </w:rPr>
              <w:t xml:space="preserve">#2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High-Frequency REBCO Flux Dynamics in Kinetic Energy Recovery Applications</w:t>
            </w:r>
          </w:p>
          <w:p>
            <w:r>
              <w:t xml:space="preserve">Focus: 85kHz operation, instantaneous charge acceptance vs lithium-ion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Superconductor Science &amp; Technology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Q3 2026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3B5C"/>
                <w:sz w:val="24"/>
                <w:szCs w:val="24"/>
              </w:rPr>
              <w:t xml:space="preserve">#3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Distributed Kinetic Energy Storage for Grid-Scale Virtual Power Plants: A Comparative Analysis</w:t>
            </w:r>
          </w:p>
          <w:p>
            <w:r>
              <w:t xml:space="preserve">Focus: 300,000-node VPP architecture, synthetic inertia provision, kinetic vs chemical storage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Applied Energy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Q4 2026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3B5C"/>
                <w:sz w:val="24"/>
                <w:szCs w:val="24"/>
              </w:rPr>
              <w:t xml:space="preserve">#4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OpenADR 2.0b Protocol Optimization for Millisecond Grid Response Applications</w:t>
            </w:r>
          </w:p>
          <w:p>
            <w:r>
              <w:t xml:space="preserve">Focus: &lt;10ms response time achievement, CAISO frequency regulation validation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IEEE Transactions on Smart Grid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Q1 2027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BUDGET &amp; RESOURCE REQUIREMENTS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Proposed 18-Month Research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Budget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UCLA Laboratory Time (5 labs × 200 hours each)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$250,000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Includes equipment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UC Berkeley CIEE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$150,000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Safety cert + grid modeling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UC Davis Energy Institute Collaboration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$75,000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CDLS integration testing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Graduate Research Assistants (6 students × 18 months)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$180,000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$30K/year per student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Materials &amp; Consumables (θ-TaN, REBCO tape, cryogenics)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$95,000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See procurement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TOTAL 18-MONTH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6"/>
                <w:szCs w:val="26"/>
              </w:rPr>
              <w:t xml:space="preserve">$750,000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Full validation program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EXPECTED OUTCOMES &amp; DELIVERABLES</w:t>
      </w:r>
    </w:p>
    <w:p>
      <w:pPr>
        <w:pStyle w:val="Heading2"/>
      </w:pPr>
      <w:r>
        <w:t xml:space="preserve">Technical Deliverables (18-Month Timeline)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Validated material properties database for θ-TaN (thermal conductivity, diamagnetic coefficient, EMI exclusion)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REBCO flux dynamics characterization at 85kHz under high-power loading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Round-trip efficiency validation (target: 98.5%)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OpenADR 2.0b response time certification (&lt;10ms for CAISO highest tier)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Comparative analysis: kinetic vs chemical storage (25% vs 12% traction recovery)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Berkeley CIEE safety certification for residential deployment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300,000-node VPP simulation results with grid stability modeling</w:t>
      </w:r>
    </w:p>
    <w:p>
      <w:pPr>
        <w:pStyle w:val="Heading2"/>
        <w:spacing w:before="360"/>
      </w:pPr>
      <w:r>
        <w:t xml:space="preserve">Academic Impact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4 peer-reviewed publications in high-impact journals (Applied Physics Letters, Superconductor S&amp;T, Applied Energy, IEEE Smart Grid)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6 PhD student dissertations across materials science, electrical engineering, and energy systems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New research area established: high-frequency superconducting kinetic storage</w:t>
      </w:r>
    </w:p>
    <w:p>
      <w:pPr>
        <w:pStyle w:val="Heading2"/>
        <w:spacing w:before="360"/>
      </w:pPr>
      <w:r>
        <w:t xml:space="preserve">Commercial Impact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Independent validation enabling CAHSRA $289M Track &amp; Systems budget reallocation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Technology de-risking for institutional investors (CalPERS Emerging Manager Program)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Pathway to 300,000-unit deployment creating $726M annual revenue</w:t>
      </w:r>
    </w:p>
    <w:p>
      <w:r>
        <w:br w:type="page"/>
      </w:r>
    </w:p>
    <w:p>
      <w:pPr>
        <w:pStyle w:val="Heading1"/>
      </w:pPr>
      <w:r>
        <w:t xml:space="preserve">9. CONCLUSION &amp; NEXT STEPS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The Sovereign Engine represents a paradigm shift in grid-scale energy storage, addressing California's Inertia Gap through superconducting kinetic recovery rather than chemical batteries. However, extraordinary claims require extraordinary evidence.</w:t>
      </w:r>
    </w:p>
    <w:p>
      <w:pPr>
        <w:spacing w:after="180"/>
      </w:pPr>
      <w:r>
        <w:rPr>
          <w:sz w:val="24"/>
          <w:szCs w:val="24"/>
        </w:rPr>
        <w:t xml:space="preserve">This multi-laboratory research collaboration leverages UCLA's world-class facilities across 5 specialized laboratories, UC Berkeley CIEE's grid integration expertise, and UC Davis Energy Institute's agricultural/transportation focus to provide comprehensive, independent validation of: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Material properties (θ-TaN thermal limits, REBCO flux dynamics)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System performance (98.5% efficiency, &lt;10ms response)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Grid integration (300,000-node VPP, synthetic inertia provision)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Safety certification (residential in-wall deployment)</w:t>
      </w:r>
    </w:p>
    <w:p>
      <w:pPr>
        <w:spacing w:after="180"/>
      </w:pPr>
      <w:r>
        <w:rPr>
          <w:b/>
          <w:bCs/>
          <w:color w:val="CC0000"/>
          <w:sz w:val="28"/>
          <w:szCs w:val="28"/>
        </w:rPr>
        <w:t xml:space="preserve">IMMEDIATE 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Submit this proposal to UCLA Office of Research (TARGET: February 15, 2026)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Schedule kickoff meeting with all 5 UCLA lab directors (TARGET: February 20, 2026)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Parallel submission to UC Berkeley CIEE (Prof. Sasha von Meier - TARGET: February 17, 2026)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Coordinate UC Davis Energy Institute participation (TARGET: February 25, 2026)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Deliver prototype to UCLA Heat Transfer Lab for initial material characterization (TARGET: March 1, 2026)</w:t>
      </w:r>
    </w:p>
    <w:p>
      <w:pPr>
        <w:spacing w:before="720"/>
        <w:jc w:val="center"/>
      </w:pPr>
      <w:r>
        <w:rPr>
          <w:b/>
          <w:bCs/>
          <w:i/>
          <w:iCs/>
          <w:color w:val="003B5C"/>
          <w:sz w:val="26"/>
          <w:szCs w:val="26"/>
        </w:rPr>
        <w:t xml:space="preserve">By integrating academic rigor with commercial deployment urgency, this research program will establish kinetic energy storage as a cornerstone of California's 2030 Zero-Carbon infrastructure.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03B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FFB81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2026-02-11T23:37:33.855Z</dcterms:created>
  <dcterms:modified xsi:type="dcterms:W3CDTF">2026-02-11T23:37:33.856Z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