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35EF612" wp14:textId="77777777">
      <w:pPr>
        <w:spacing w:before="2400" w:after="240"/>
        <w:jc w:val="center"/>
      </w:pPr>
      <w:r>
        <w:rPr>
          <w:b/>
          <w:bCs/>
          <w:color w:val="003B5C"/>
          <w:sz w:val="52"/>
          <w:szCs w:val="52"/>
        </w:rPr>
        <w:t xml:space="preserve">SOVEREIGN ENGINE</w:t>
      </w:r>
    </w:p>
    <w:p xmlns:wp14="http://schemas.microsoft.com/office/word/2010/wordml" w14:paraId="7871AA6C" wp14:textId="77777777">
      <w:pPr>
        <w:spacing w:after="240"/>
        <w:jc w:val="center"/>
      </w:pPr>
      <w:r>
        <w:rPr>
          <w:b/>
          <w:bCs/>
          <w:color w:val="FFB81C"/>
          <w:sz w:val="32"/>
          <w:szCs w:val="32"/>
        </w:rPr>
        <w:t xml:space="preserve">Multi-Laboratory Research Collaboration Proposal</w:t>
      </w:r>
    </w:p>
    <w:p xmlns:wp14="http://schemas.microsoft.com/office/word/2010/wordml" w14:paraId="33611E48" wp14:textId="77777777">
      <w:pPr>
        <w:spacing w:after="120"/>
        <w:jc w:val="center"/>
      </w:pPr>
      <w:r>
        <w:rPr>
          <w:color w:val="666666"/>
          <w:sz w:val="26"/>
          <w:szCs w:val="26"/>
        </w:rPr>
        <w:t xml:space="preserve">UCLA Henry Samueli School of Engineering &amp; Applied Science</w:t>
      </w:r>
    </w:p>
    <w:p xmlns:wp14="http://schemas.microsoft.com/office/word/2010/wordml" w14:paraId="763509C9" wp14:textId="77777777">
      <w:pPr>
        <w:spacing w:after="960"/>
        <w:jc w:val="center"/>
      </w:pPr>
      <w:r>
        <w:rPr>
          <w:color w:val="666666"/>
          <w:sz w:val="24"/>
          <w:szCs w:val="24"/>
        </w:rPr>
        <w:t xml:space="preserve">UC Berkeley CIEE | UC Davis Energy Institute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2A65335A" w14:paraId="12FF4700" wp14:textId="77777777">
        <w:tc>
          <w:tcPr>
            <w:tcW w:w="936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240" w:type="dxa"/>
              <w:left w:w="240" w:type="dxa"/>
              <w:bottom w:w="240" w:type="dxa"/>
              <w:right w:w="240" w:type="dxa"/>
            </w:tcMar>
          </w:tcPr>
          <w:p w14:paraId="38D944D8" wp14:textId="77777777">
            <w:pPr>
              <w:spacing w:after="18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RESEARCH ABSTRACT</w:t>
            </w:r>
          </w:p>
          <w:p w14:paraId="6A1B8E94" wp14:textId="77777777">
            <w:pPr>
              <w:jc w:val="center"/>
            </w:pPr>
            <w:r w:rsidRPr="2A65335A" w:rsidR="2A65335A">
              <w:rPr>
                <w:color w:val="FFFFFF"/>
                <w:sz w:val="22"/>
                <w:szCs w:val="22"/>
                <w:lang w:val="en-US"/>
              </w:rPr>
              <w:t>This proposal seeks multi-laboratory validation of a novel high-flux kinetic energy recovery system utilizing HTS REBCO superconductors and θ-TaN diamagnetic containment for grid-scale Virtual Power Plant deployment. We propose comprehensive experimental validation across 5 UCLA laboratories, with parallel validation at UC Berkeley CIEE and UC Davis, to achieve independent verification of: (1) superconducting flux dynamics at 85kHz, (2) θ-TaN thermal containment at 2800°C limits, (3) OpenADR 2.0b grid integration protocols, (4) comparative analysis versus lithium-ion BESS, and (5) manufacturing scalability for 300,000-unit deployment.</w:t>
            </w:r>
          </w:p>
        </w:tc>
      </w:tr>
    </w:tbl>
    <w:p xmlns:wp14="http://schemas.microsoft.com/office/word/2010/wordml" w14:paraId="672A6659" wp14:textId="77777777">
      <w:r>
        <w:br w:type="page"/>
      </w:r>
    </w:p>
    <w:p xmlns:wp14="http://schemas.microsoft.com/office/word/2010/wordml" w14:paraId="78356A93" wp14:textId="77777777">
      <w:pPr>
        <w:pStyle w:val="Heading1"/>
      </w:pPr>
      <w:r>
        <w:t xml:space="preserve">TABLE OF CONTENTS</w:t>
      </w:r>
    </w:p>
    <w:sdt>
      <w:sdtPr>
        <w:id w:val="700134735"/>
        <w:alias w:val="Table of Contents"/>
        <w:placeholder>
          <w:docPart w:val="DefaultPlaceholder_1081868574"/>
        </w:placeholder>
      </w:sdtPr>
      <w:sdtContent>
        <w:p xmlns:wp14="http://schemas.microsoft.com/office/word/2010/wordml" w14:paraId="32A53F17" wp14:textId="77777777"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 xmlns:wp14="http://schemas.microsoft.com/office/word/2010/wordml" w14:paraId="0A37501D" wp14:textId="77777777">
          <w:r>
            <w:fldChar w:fldCharType="end"/>
          </w:r>
        </w:p>
      </w:sdtContent>
    </w:sdt>
    <w:p xmlns:wp14="http://schemas.microsoft.com/office/word/2010/wordml" w14:paraId="5DAB6C7B" wp14:textId="77777777">
      <w:r>
        <w:br w:type="page"/>
      </w:r>
    </w:p>
    <w:p xmlns:wp14="http://schemas.microsoft.com/office/word/2010/wordml" w14:paraId="1785189F" wp14:textId="77777777">
      <w:pPr>
        <w:pStyle w:val="Heading1"/>
      </w:pPr>
      <w:r>
        <w:t xml:space="preserve">1. EXECUTIVE SUMMARY: THE INERTIA GAP CRISIS</w:t>
      </w:r>
    </w:p>
    <w:p xmlns:wp14="http://schemas.microsoft.com/office/word/2010/wordml" w14:paraId="25AF66E4" wp14:textId="77777777">
      <w:pPr>
        <w:spacing w:after="240"/>
      </w:pPr>
      <w:r w:rsidRPr="2A65335A" w:rsidR="2A65335A">
        <w:rPr>
          <w:sz w:val="24"/>
          <w:szCs w:val="24"/>
          <w:lang w:val="en-US"/>
        </w:rPr>
        <w:t>California's 2030 Zero-Carbon mandate creates an unprecedented grid stability challenge: traditional lithium-ion battery energy storage systems (BESS) cannot provide the synthetic inertia required for renewable-dominated grids. High-speed rail operations compound this problem—a Siemens Velaro trainset braking from 220mph generates 8-12 MW flux over 60-90 seconds, exceeding lithium-ion charge acceptance limits by 300%.</w:t>
      </w:r>
    </w:p>
    <w:p xmlns:wp14="http://schemas.microsoft.com/office/word/2010/wordml" w14:paraId="7CFEAC72" wp14:textId="77777777">
      <w:pPr>
        <w:spacing w:after="180"/>
      </w:pPr>
      <w:r>
        <w:rPr>
          <w:b/>
          <w:bCs/>
          <w:sz w:val="24"/>
          <w:szCs w:val="24"/>
        </w:rPr>
        <w:t xml:space="preserve">The Sovereign Engine addresses this through three core innovations requiring rigorous academic validation:</w:t>
      </w:r>
    </w:p>
    <w:p xmlns:wp14="http://schemas.microsoft.com/office/word/2010/wordml" w14:paraId="19E6F32A" wp14:textId="77777777">
      <w:pPr>
        <w:pStyle w:val="ListParagraph"/>
        <w:numPr>
          <w:ilvl w:val="0"/>
          <w:numId w:val="2"/>
        </w:numPr>
        <w:rPr/>
      </w:pPr>
      <w:r w:rsidRPr="2A65335A" w:rsidR="2A65335A">
        <w:rPr>
          <w:sz w:val="22"/>
          <w:szCs w:val="22"/>
          <w:lang w:val="en-US"/>
        </w:rPr>
        <w:t>HTS REBCO 2G tape operating at 85kHz for instantaneous flux absorption (claimed 98.5% efficiency)</w:t>
      </w:r>
    </w:p>
    <w:p xmlns:wp14="http://schemas.microsoft.com/office/word/2010/wordml" w14:paraId="5740B4FE" wp14:textId="77777777">
      <w:pPr>
        <w:pStyle w:val="ListParagraph"/>
        <w:numPr>
          <w:ilvl w:val="0"/>
          <w:numId w:val="2"/>
        </w:numPr>
        <w:rPr/>
      </w:pPr>
      <w:r w:rsidRPr="2A65335A" w:rsidR="2A65335A">
        <w:rPr>
          <w:sz w:val="22"/>
          <w:szCs w:val="22"/>
          <w:lang w:val="en-US"/>
        </w:rPr>
        <w:t>θ-TaN (Theta-Phase Tantalum Nitride) diamagnetic containment with 2800°C thermal fail-safe</w:t>
      </w:r>
    </w:p>
    <w:p xmlns:wp14="http://schemas.microsoft.com/office/word/2010/wordml" w14:paraId="497A7B5D" wp14:textId="77777777">
      <w:pPr>
        <w:pStyle w:val="ListParagraph"/>
        <w:numPr>
          <w:ilvl w:val="0"/>
          <w:numId w:val="2"/>
        </w:numPr>
        <w:rPr/>
      </w:pPr>
      <w:r w:rsidRPr="2A65335A" w:rsidR="2A65335A">
        <w:rPr>
          <w:sz w:val="22"/>
          <w:szCs w:val="22"/>
          <w:lang w:val="en-US"/>
        </w:rPr>
        <w:t>OpenADR 2.0b protocol achieving &lt;10ms grid response for CAISO frequency regulation</w:t>
      </w:r>
    </w:p>
    <w:p xmlns:wp14="http://schemas.microsoft.com/office/word/2010/wordml" w14:paraId="5423F0FF" wp14:textId="77777777">
      <w:pPr>
        <w:spacing w:before="360"/>
      </w:pPr>
      <w:r>
        <w:rPr>
          <w:b/>
          <w:bCs/>
          <w:color w:val="FFB81C"/>
          <w:sz w:val="28"/>
          <w:szCs w:val="28"/>
        </w:rPr>
        <w:t xml:space="preserve">Research Hypothesis</w:t>
      </w:r>
    </w:p>
    <w:p xmlns:wp14="http://schemas.microsoft.com/office/word/2010/wordml" w14:paraId="33A29552" wp14:textId="77777777">
      <w:pPr>
        <w:spacing w:after="240"/>
      </w:pPr>
      <w:r>
        <w:rPr>
          <w:i/>
          <w:iCs/>
          <w:sz w:val="24"/>
          <w:szCs w:val="24"/>
        </w:rPr>
        <w:t xml:space="preserve">We hypothesize that kinetic energy storage via superconducting flux capture can achieve 25% traction recovery efficiency (vs 12% for lithium-ion BESS) while providing millisecond-response synthetic inertia for grid stabilization, with total system efficiency exceeding 98% and unlimited cycle life due to mechanical (non-chemical) energy conversion.</w:t>
      </w:r>
    </w:p>
    <w:p xmlns:wp14="http://schemas.microsoft.com/office/word/2010/wordml" w14:paraId="02EB378F" wp14:textId="77777777">
      <w:r>
        <w:br w:type="page"/>
      </w:r>
    </w:p>
    <w:p xmlns:wp14="http://schemas.microsoft.com/office/word/2010/wordml" w14:paraId="7068D94B" wp14:textId="77777777">
      <w:pPr>
        <w:pStyle w:val="Heading1"/>
      </w:pPr>
      <w:r>
        <w:t xml:space="preserve">2. UCLA LABORATORY ALIGNMENT MATRIX</w:t>
      </w:r>
    </w:p>
    <w:p xmlns:wp14="http://schemas.microsoft.com/office/word/2010/wordml" w14:paraId="40063922" wp14:textId="77777777">
      <w:pPr>
        <w:spacing w:after="240"/>
      </w:pPr>
      <w:r w:rsidRPr="2A65335A" w:rsidR="2A65335A">
        <w:rPr>
          <w:sz w:val="24"/>
          <w:szCs w:val="24"/>
          <w:lang w:val="en-US"/>
        </w:rPr>
        <w:t>The Sovereign Engine validation requires expertise across 5 distinct UCLA laboratories, each addressing critical technical validation points: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 xmlns:wp14="http://schemas.microsoft.com/office/word/2010/wordml" w:rsidTr="2A65335A" w14:paraId="5943466F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1F657F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UCLA Laboratory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FDDA26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Core Expertise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5AD151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Sovereign Engine Validation</w:t>
            </w:r>
          </w:p>
        </w:tc>
      </w:tr>
      <w:tr xmlns:wp14="http://schemas.microsoft.com/office/word/2010/wordml" w:rsidTr="2A65335A" w14:paraId="4EEAA885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76641D" wp14:textId="77777777"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SMERC</w:t>
            </w:r>
          </w:p>
          <w:p w14:paraId="47A32AE8" wp14:textId="77777777">
            <w:r>
              <w:t xml:space="preserve">Dir: Rajit Gadh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ADABC9" wp14:textId="77777777">
            <w:r w:rsidRPr="2A65335A" w:rsidR="2A65335A">
              <w:rPr>
                <w:lang w:val="en-US"/>
              </w:rPr>
              <w:t>V2G integration, automated demand response (ADR), distributed energy resources, battery storage, OpenADR protocols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62F92B" wp14:textId="77777777">
            <w:r w:rsidRPr="2A65335A" w:rsidR="2A65335A">
              <w:rPr>
                <w:lang w:val="en-US"/>
              </w:rPr>
              <w:t>Omega Phase: OpenADR 2.0b &lt;10ms response validation, 300,000-unit VPP coordination algorithms, CAISO frequency regulation tier qualification</w:t>
            </w:r>
          </w:p>
        </w:tc>
      </w:tr>
      <w:tr xmlns:wp14="http://schemas.microsoft.com/office/word/2010/wordml" w:rsidTr="2A65335A" w14:paraId="0E1964F1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2852E1" wp14:textId="77777777"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Heat Transfer Lab</w:t>
            </w:r>
          </w:p>
          <w:p w14:paraId="1E697364" wp14:textId="77777777">
            <w:r>
              <w:t xml:space="preserve">Dir: Laurent G. Pilon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5E3BF7" wp14:textId="77777777">
            <w:r w:rsidRPr="2A65335A" w:rsidR="2A65335A">
              <w:rPr>
                <w:lang w:val="en-US"/>
              </w:rPr>
              <w:t>Thermal conductivity analysis, waste heat harvesting, electrical energy storage, high-temp furnaces, calorimeters, potentiostats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E6714C" wp14:textId="77777777">
            <w:r w:rsidRPr="2A65335A" w:rsidR="2A65335A">
              <w:rPr>
                <w:lang w:val="en-US"/>
              </w:rPr>
              <w:t>θ-TaN Shield: 2800°C thermal limit verification, diamagnetic coefficient measurement (95% claim), thermal conductivity mapping at 1100 W/m·K</w:t>
            </w:r>
          </w:p>
        </w:tc>
      </w:tr>
      <w:tr xmlns:wp14="http://schemas.microsoft.com/office/word/2010/wordml" w:rsidTr="2A65335A" w14:paraId="3FE609C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C6EA26" wp14:textId="77777777"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MTSL</w:t>
            </w:r>
          </w:p>
          <w:p w14:paraId="14408AEE" wp14:textId="77777777">
            <w:r w:rsidRPr="2A65335A" w:rsidR="2A65335A">
              <w:rPr>
                <w:lang w:val="en-US"/>
              </w:rPr>
              <w:t>Dir: Y. Sungtaek Ju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3BE78F" wp14:textId="77777777">
            <w:r w:rsidRPr="2A65335A" w:rsidR="2A65335A">
              <w:rPr>
                <w:lang w:val="en-US"/>
              </w:rPr>
              <w:t>Nano- to macro-scale heat/mass transfer, energy conversion devices, thermal management of electronics, MEMS/NEMS devices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86344" wp14:textId="77777777">
            <w:r>
              <w:t xml:space="preserve">LN₂ Cooling System: Optimization of cryogenic thermal management for REBCO &lt;90K operation, round-trip efficiency validation (98.5% claim)</w:t>
            </w:r>
          </w:p>
        </w:tc>
      </w:tr>
      <w:tr xmlns:wp14="http://schemas.microsoft.com/office/word/2010/wordml" w:rsidTr="2A65335A" w14:paraId="0E075C07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CE8CBD" wp14:textId="77777777">
            <w:pPr>
              <w:spacing w:after="60"/>
            </w:pPr>
            <w:r w:rsidRPr="2A65335A" w:rsidR="2A65335A">
              <w:rPr>
                <w:b w:val="1"/>
                <w:bCs w:val="1"/>
                <w:color w:val="003B5C"/>
                <w:sz w:val="22"/>
                <w:szCs w:val="22"/>
                <w:lang w:val="en-US"/>
              </w:rPr>
              <w:t>Micro/Nano Mfg Lab</w:t>
            </w:r>
          </w:p>
          <w:p w14:paraId="191A5EDD" wp14:textId="77777777">
            <w:r>
              <w:t xml:space="preserve">Dir: Chang-Jin Kim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B376D4" wp14:textId="77777777">
            <w:r>
              <w:t xml:space="preserve">Submillimeter MEMS, precision manufacturing, cleanroom facilities, probe stations, electroplating, interference lithography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653658" wp14:textId="77777777">
            <w:r w:rsidRPr="2A65335A" w:rsidR="2A65335A">
              <w:rPr>
                <w:lang w:val="en-US"/>
              </w:rPr>
              <w:t>Manufacturing Scalability: Quality control protocols for superconducting component production, miniaturization pathways for Nano units (15 kWh residential)</w:t>
            </w:r>
          </w:p>
        </w:tc>
      </w:tr>
      <w:tr xmlns:wp14="http://schemas.microsoft.com/office/word/2010/wordml" w:rsidTr="2A65335A" w14:paraId="53807C53" wp14:textId="77777777"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46E491" wp14:textId="77777777">
            <w:pPr>
              <w:spacing w:after="60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H-Lab</w:t>
            </w:r>
          </w:p>
          <w:p w14:paraId="7C9E709B" wp14:textId="77777777">
            <w:r w:rsidRPr="2A65335A" w:rsidR="2A65335A">
              <w:rPr>
                <w:lang w:val="en-US"/>
              </w:rPr>
              <w:t>Dir: Yongjie Hu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C05AD" wp14:textId="77777777">
            <w:r>
              <w:t xml:space="preserve">Fundamental transport phenomena, nanoscale processes, ultrafast optical spectroscopy, thermal spectral mapping, ab initio calculations, atomistic modeling</w:t>
            </w:r>
          </w:p>
        </w:tc>
        <w:tc>
          <w:tcPr>
            <w:tcW w:w="351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08820" wp14:textId="77777777">
            <w:r w:rsidRPr="2A65335A" w:rsidR="2A65335A">
              <w:rPr>
                <w:lang w:val="en-US"/>
              </w:rPr>
              <w:t>Materials Science: θ-TaN phase stability validation, REBCO flux dynamics at 85kHz, atomistic modeling of superconducting tape integration under high-frequency loading</w:t>
            </w:r>
          </w:p>
        </w:tc>
      </w:tr>
    </w:tbl>
    <w:p xmlns:wp14="http://schemas.microsoft.com/office/word/2010/wordml" w14:paraId="6A05A809" wp14:textId="77777777">
      <w:r>
        <w:br w:type="page"/>
      </w:r>
    </w:p>
    <w:p xmlns:wp14="http://schemas.microsoft.com/office/word/2010/wordml" w14:paraId="1EF38954" wp14:textId="77777777">
      <w:pPr>
        <w:pStyle w:val="Heading1"/>
      </w:pPr>
      <w:r>
        <w:t xml:space="preserve">3. PROPOSED EXPERIMENTAL VALIDATION FRAMEWORK</w:t>
      </w:r>
    </w:p>
    <w:p xmlns:wp14="http://schemas.microsoft.com/office/word/2010/wordml" w14:paraId="683CA7E8" wp14:textId="77777777">
      <w:pPr>
        <w:pStyle w:val="Heading2"/>
      </w:pPr>
      <w:r>
        <w:t xml:space="preserve">Phase 1: Material Characterization (CRITICAL PATH)</w:t>
      </w:r>
    </w:p>
    <w:p xmlns:wp14="http://schemas.microsoft.com/office/word/2010/wordml" w14:paraId="027591B0" wp14:textId="77777777"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Heat Transfer Lab (Pilon) + H-Lab (Hu)</w:t>
      </w:r>
    </w:p>
    <w:p xmlns:wp14="http://schemas.microsoft.com/office/word/2010/wordml" w14:paraId="1115A524" wp14:textId="77777777">
      <w:pPr>
        <w:spacing w:after="180"/>
      </w:pPr>
      <w:r w:rsidRPr="2A65335A" w:rsidR="2A65335A">
        <w:rPr>
          <w:sz w:val="24"/>
          <w:szCs w:val="24"/>
          <w:lang w:val="en-US"/>
        </w:rPr>
        <w:t>Objective: Validate θ-TaN thermal properties and REBCO superconducting performance claims</w:t>
      </w:r>
    </w:p>
    <w:p xmlns:wp14="http://schemas.microsoft.com/office/word/2010/wordml" w14:paraId="44DE505A" wp14:textId="77777777">
      <w:pPr>
        <w:pStyle w:val="Heading3"/>
      </w:pPr>
      <w:r w:rsidRPr="2A65335A" w:rsidR="2A65335A">
        <w:rPr>
          <w:lang w:val="en-US"/>
        </w:rPr>
        <w:t>Experiment 1A: θ-TaN Thermal Limit Verification</w:t>
      </w:r>
    </w:p>
    <w:p xmlns:wp14="http://schemas.microsoft.com/office/word/2010/wordml" w14:paraId="518EE654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High-temperature furnace testing to 2800°C limit (Pilon lab facilities)</w:t>
      </w:r>
    </w:p>
    <w:p xmlns:wp14="http://schemas.microsoft.com/office/word/2010/wordml" w14:paraId="56C701B9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Measurement: Thermal conductivity analysis at 100°C increments using laser flash method</w:t>
      </w:r>
    </w:p>
    <w:p xmlns:wp14="http://schemas.microsoft.com/office/word/2010/wordml" w14:paraId="6AEFF98D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Success Criteria: Maintain 1100 W/m·K thermal conductivity up to 2500°C, verify 95% diamagnetic coefficient</w:t>
      </w:r>
    </w:p>
    <w:p xmlns:wp14="http://schemas.microsoft.com/office/word/2010/wordml" w14:paraId="5A081A87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Timeline: 6 weeks (including cooldown cycles)</w:t>
      </w:r>
    </w:p>
    <w:p xmlns:wp14="http://schemas.microsoft.com/office/word/2010/wordml" w14:paraId="6EB1828A" wp14:textId="77777777">
      <w:pPr>
        <w:pStyle w:val="Heading3"/>
        <w:spacing w:before="240"/>
      </w:pPr>
      <w:r>
        <w:t xml:space="preserve">Experiment 1B: REBCO Flux Dynamics at 85kHz</w:t>
      </w:r>
    </w:p>
    <w:p xmlns:wp14="http://schemas.microsoft.com/office/word/2010/wordml" w14:paraId="01EB2E04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Ultrafast optical spectroscopy (H-Lab) to measure flux absorption at 85kHz</w:t>
      </w:r>
    </w:p>
    <w:p xmlns:wp14="http://schemas.microsoft.com/office/word/2010/wordml" w14:paraId="0D69D588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Measurement: Critical current density (Jc) stability under pulsed loading simulating 220mph braking (8-12 MW over 60-90 seconds)</w:t>
      </w:r>
    </w:p>
    <w:p xmlns:wp14="http://schemas.microsoft.com/office/word/2010/wordml" w14:paraId="5828338F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Success Criteria: Maintain superconducting state (zero resistance) during flux transients, verify &gt;400A @ 77K critical current</w:t>
      </w:r>
    </w:p>
    <w:p xmlns:wp14="http://schemas.microsoft.com/office/word/2010/wordml" w14:paraId="48F42F89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Timeline: 8 weeks (including cryogenic setup and data analysis)</w:t>
      </w:r>
    </w:p>
    <w:p xmlns:wp14="http://schemas.microsoft.com/office/word/2010/wordml" w14:paraId="5A39BBE3" wp14:textId="77777777">
      <w:r>
        <w:br w:type="page"/>
      </w:r>
    </w:p>
    <w:p xmlns:wp14="http://schemas.microsoft.com/office/word/2010/wordml" w14:paraId="6948AC47" wp14:textId="77777777">
      <w:pPr>
        <w:pStyle w:val="Heading2"/>
      </w:pPr>
      <w:r>
        <w:t xml:space="preserve">Phase 2: System Integration Validation</w:t>
      </w:r>
    </w:p>
    <w:p xmlns:wp14="http://schemas.microsoft.com/office/word/2010/wordml" w14:paraId="0DC87ED3" wp14:textId="77777777"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SMERC (Gadh) + MTSL (Ju)</w:t>
      </w:r>
    </w:p>
    <w:p xmlns:wp14="http://schemas.microsoft.com/office/word/2010/wordml" w14:paraId="2F7B3E85" wp14:textId="77777777">
      <w:pPr>
        <w:pStyle w:val="Heading3"/>
      </w:pPr>
      <w:r w:rsidRPr="2A65335A" w:rsidR="2A65335A">
        <w:rPr>
          <w:lang w:val="en-US"/>
        </w:rPr>
        <w:t>Experiment 2A: OpenADR 2.0b Response Time Validation</w:t>
      </w:r>
    </w:p>
    <w:p xmlns:wp14="http://schemas.microsoft.com/office/word/2010/wordml" w14:paraId="22D6D79C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Method: Connect Sovereign Nano prototype to SMERC's OpenADR test infrastructure</w:t>
      </w:r>
    </w:p>
    <w:p xmlns:wp14="http://schemas.microsoft.com/office/word/2010/wordml" w14:paraId="557B94B7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Measurement: Time from EiEvent signal to full power discharge (target: &lt;10ms for CAISO highest tier)</w:t>
      </w:r>
    </w:p>
    <w:p xmlns:wp14="http://schemas.microsoft.com/office/word/2010/wordml" w14:paraId="3C3502BE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Simulation: 1,000 rapid demand response cycles to verify unlimited cycle life claim</w:t>
      </w:r>
    </w:p>
    <w:p xmlns:wp14="http://schemas.microsoft.com/office/word/2010/wordml" w14:paraId="73684767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Success Criteria: &lt;10ms response 99.9% of cycles, TLS 1.3 security validation, accurate EiReport telemetry</w:t>
      </w:r>
    </w:p>
    <w:p xmlns:wp14="http://schemas.microsoft.com/office/word/2010/wordml" w14:paraId="73A3C473" wp14:textId="77777777">
      <w:pPr>
        <w:pStyle w:val="Heading3"/>
        <w:spacing w:before="240"/>
      </w:pPr>
      <w:r>
        <w:t xml:space="preserve">Experiment 2B: Round-Trip Efficiency Measurement</w:t>
      </w:r>
    </w:p>
    <w:p xmlns:wp14="http://schemas.microsoft.com/office/word/2010/wordml" w14:paraId="1C9A85DD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Precision calorimetry (MTSL) measuring energy input vs output over 100 charge/discharge cycles</w:t>
      </w:r>
    </w:p>
    <w:p xmlns:wp14="http://schemas.microsoft.com/office/word/2010/wordml" w14:paraId="173A7A32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Control: Parallel testing with lithium-ion BESS for direct comparison</w:t>
      </w:r>
    </w:p>
    <w:p xmlns:wp14="http://schemas.microsoft.com/office/word/2010/wordml" w14:paraId="05D7FBC1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Success Criteria: Verify 98.5% efficiency claim (Alpha: kinetic capture → Omega: grid discharge)</w:t>
      </w:r>
    </w:p>
    <w:p xmlns:wp14="http://schemas.microsoft.com/office/word/2010/wordml" w14:paraId="41C8F396" wp14:textId="77777777">
      <w:r>
        <w:br w:type="page"/>
      </w:r>
    </w:p>
    <w:p xmlns:wp14="http://schemas.microsoft.com/office/word/2010/wordml" w14:paraId="11EDBE9F" wp14:textId="77777777">
      <w:pPr>
        <w:pStyle w:val="Heading2"/>
      </w:pPr>
      <w:r>
        <w:t xml:space="preserve">Phase 3: Comparative Analysis (Kinetic vs Chemical Storage)</w:t>
      </w:r>
    </w:p>
    <w:p xmlns:wp14="http://schemas.microsoft.com/office/word/2010/wordml" w14:paraId="38A18EAE" wp14:textId="77777777">
      <w:pPr>
        <w:spacing w:after="120"/>
      </w:pPr>
      <w:r>
        <w:rPr>
          <w:b/>
          <w:bCs/>
          <w:color w:val="FFB81C"/>
          <w:sz w:val="24"/>
          <w:szCs w:val="24"/>
        </w:rPr>
        <w:t xml:space="preserve">Laboratory: SMERC (Gadh) - Lead Principal Investigator</w:t>
      </w:r>
    </w:p>
    <w:p xmlns:wp14="http://schemas.microsoft.com/office/word/2010/wordml" w14:paraId="79C447D4" wp14:textId="77777777">
      <w:pPr>
        <w:pStyle w:val="Heading3"/>
      </w:pPr>
      <w:r>
        <w:t xml:space="preserve">Experiment 3A: High-Flux Absorption Test (Rail Simulation)</w:t>
      </w:r>
    </w:p>
    <w:p xmlns:wp14="http://schemas.microsoft.com/office/word/2010/wordml" w14:paraId="3D38195B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Scenario: Simulate Siemens Velaro braking from 220mph (8-12 MW over 60-90 seconds)</w:t>
      </w:r>
    </w:p>
    <w:p xmlns:wp14="http://schemas.microsoft.com/office/word/2010/wordml" w14:paraId="4693E5D8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A: Sovereign Engine (HTS REBCO kinetic capture)</w:t>
      </w:r>
    </w:p>
    <w:p xmlns:wp14="http://schemas.microsoft.com/office/word/2010/wordml" w14:paraId="2A2F2CD6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 B: Lithium-ion BESS (charge acceptance limited to ~3-4 MW due to C-rate constraints)</w:t>
      </w:r>
    </w:p>
    <w:p xmlns:wp14="http://schemas.microsoft.com/office/word/2010/wordml" w14:paraId="2004F279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Hypothesis: Sovereign captures 25% of braking energy vs 12% for BESS (limited by charge acceptance)</w:t>
      </w:r>
    </w:p>
    <w:p xmlns:wp14="http://schemas.microsoft.com/office/word/2010/wordml" w14:paraId="46804B3C" wp14:textId="77777777">
      <w:pPr>
        <w:pStyle w:val="Heading3"/>
        <w:spacing w:before="240"/>
      </w:pPr>
      <w:r>
        <w:t xml:space="preserve">Experiment 3B: VPP Coordination Stress Test</w:t>
      </w:r>
    </w:p>
    <w:p xmlns:wp14="http://schemas.microsoft.com/office/word/2010/wordml" w14:paraId="48B73505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Method: Simulate 300,000-node network using SMERC's distributed energy resource (DER) platform</w:t>
      </w:r>
    </w:p>
    <w:p xmlns:wp14="http://schemas.microsoft.com/office/word/2010/wordml" w14:paraId="6E2A7F1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Test: Coordinate simultaneous Omega discharge across simulated network during grid frequency drop event</w:t>
      </w:r>
    </w:p>
    <w:p xmlns:wp14="http://schemas.microsoft.com/office/word/2010/wordml" w14:paraId="47557CD0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Success Criteria: Network stability maintained, &lt;100ms coordination latency, no single point of failure</w:t>
      </w:r>
    </w:p>
    <w:p xmlns:wp14="http://schemas.microsoft.com/office/word/2010/wordml" w14:paraId="72A3D3EC" wp14:textId="77777777">
      <w:r>
        <w:br w:type="page"/>
      </w:r>
    </w:p>
    <w:p xmlns:wp14="http://schemas.microsoft.com/office/word/2010/wordml" w14:paraId="6999EA83" wp14:textId="77777777">
      <w:pPr>
        <w:pStyle w:val="Heading1"/>
      </w:pPr>
      <w:r>
        <w:t xml:space="preserve">4. UC BERKELEY CIEE PARALLEL VALIDATION</w:t>
      </w:r>
    </w:p>
    <w:p xmlns:wp14="http://schemas.microsoft.com/office/word/2010/wordml" w14:paraId="3C6B3D3B" wp14:textId="77777777">
      <w:pPr>
        <w:spacing w:after="180"/>
      </w:pPr>
      <w:r>
        <w:rPr>
          <w:b/>
          <w:bCs/>
          <w:color w:val="003B5C"/>
          <w:sz w:val="26"/>
          <w:szCs w:val="26"/>
        </w:rPr>
        <w:t xml:space="preserve">Independent Verification Track</w:t>
      </w:r>
    </w:p>
    <w:p xmlns:wp14="http://schemas.microsoft.com/office/word/2010/wordml" w14:paraId="140DF282" wp14:textId="77777777">
      <w:pPr>
        <w:spacing w:after="240"/>
      </w:pPr>
      <w:r>
        <w:rPr>
          <w:sz w:val="24"/>
          <w:szCs w:val="24"/>
        </w:rPr>
        <w:t xml:space="preserve">While UCLA laboratories conduct detailed component-level validation, UC Berkeley CIEE (Prof. Sasha von Meier) provides independent system-level verification focused on grid integration and safety certification: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:rsidTr="2A65335A" w14:paraId="1E0164FA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26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E18394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Berkeley CIEE Validation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26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3F2FC8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Timeline</w:t>
            </w:r>
          </w:p>
        </w:tc>
      </w:tr>
      <w:tr xmlns:wp14="http://schemas.microsoft.com/office/word/2010/wordml" w:rsidTr="2A65335A" w14:paraId="7F5F4E4D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24D18" wp14:textId="77777777">
            <w:r w:rsidRPr="2A65335A" w:rsidR="2A65335A">
              <w:rPr>
                <w:lang w:val="en-US"/>
              </w:rPr>
              <w:t>θ-TaN Safety Certification for residential deployment (Stud-Bay integration)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2E7F6" wp14:textId="77777777">
            <w:pPr>
              <w:jc w:val="center"/>
            </w:pPr>
            <w:r>
              <w:t xml:space="preserve">Feb 10 - Mar 10, 2026</w:t>
            </w:r>
          </w:p>
        </w:tc>
      </w:tr>
      <w:tr xmlns:wp14="http://schemas.microsoft.com/office/word/2010/wordml" w:rsidTr="2A65335A" w14:paraId="0E42E29C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987FEF" wp14:textId="77777777">
            <w:r w:rsidRPr="2A65335A" w:rsidR="2A65335A">
              <w:rPr>
                <w:lang w:val="en-US"/>
              </w:rPr>
              <w:t>Grid Inertia Modeling using μPMU (micro-synchrophasor) technology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5F9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BC7BD6" wp14:textId="77777777">
            <w:pPr>
              <w:jc w:val="center"/>
            </w:pPr>
            <w:r>
              <w:t xml:space="preserve">Feb 15 - Mar 15, 2026</w:t>
            </w:r>
          </w:p>
        </w:tc>
      </w:tr>
      <w:tr xmlns:wp14="http://schemas.microsoft.com/office/word/2010/wordml" w:rsidTr="2A65335A" w14:paraId="5542891A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45151" wp14:textId="77777777">
            <w:r w:rsidRPr="2A65335A" w:rsidR="2A65335A">
              <w:rPr>
                <w:lang w:val="en-US"/>
              </w:rPr>
              <w:t>OpenADR Integration verification (ChargePilot platform compatibility)</w:t>
            </w:r>
          </w:p>
        </w:tc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0F7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432D5" wp14:textId="77777777">
            <w:pPr>
              <w:jc w:val="center"/>
            </w:pPr>
            <w:r>
              <w:t xml:space="preserve">Feb 20 - Mar 20, 2026</w:t>
            </w:r>
          </w:p>
        </w:tc>
      </w:tr>
    </w:tbl>
    <w:p xmlns:wp14="http://schemas.microsoft.com/office/word/2010/wordml" w14:paraId="690EFA05" wp14:textId="77777777">
      <w:pPr>
        <w:spacing w:after="120"/>
      </w:pPr>
      <w:r>
        <w:rPr>
          <w:b/>
          <w:bCs/>
          <w:color w:val="003262"/>
          <w:sz w:val="26"/>
          <w:szCs w:val="26"/>
        </w:rPr>
        <w:t xml:space="preserve">Critical Research Question for Berkeley CIEE:</w:t>
      </w:r>
    </w:p>
    <w:p xmlns:wp14="http://schemas.microsoft.com/office/word/2010/wordml" w14:paraId="0175B298" wp14:textId="77777777">
      <w:pPr>
        <w:spacing w:after="240"/>
      </w:pPr>
      <w:r>
        <w:rPr>
          <w:i/>
          <w:iCs/>
          <w:sz w:val="24"/>
          <w:szCs w:val="24"/>
        </w:rPr>
        <w:t xml:space="preserve">Can a 300,000-node distributed kinetic storage network provide sufficient synthetic inertia to stabilize a 100% renewable California grid during rapid solar drop-off events (e.g., cloud cover across Central Valley)?</w:t>
      </w:r>
    </w:p>
    <w:p xmlns:wp14="http://schemas.microsoft.com/office/word/2010/wordml" w14:paraId="0D0B940D" wp14:textId="77777777">
      <w:r>
        <w:br w:type="page"/>
      </w:r>
    </w:p>
    <w:p xmlns:wp14="http://schemas.microsoft.com/office/word/2010/wordml" w14:paraId="77CD2F98" wp14:textId="77777777">
      <w:pPr>
        <w:pStyle w:val="Heading1"/>
      </w:pPr>
      <w:r>
        <w:t xml:space="preserve">5. UC DAVIS ENERGY INSTITUTE COLLABORATION</w:t>
      </w:r>
    </w:p>
    <w:p xmlns:wp14="http://schemas.microsoft.com/office/word/2010/wordml" w14:paraId="5BA6DA65" wp14:textId="77777777">
      <w:pPr>
        <w:spacing w:after="240"/>
      </w:pPr>
      <w:r>
        <w:rPr>
          <w:b/>
          <w:bCs/>
          <w:sz w:val="26"/>
          <w:szCs w:val="26"/>
        </w:rPr>
        <w:t xml:space="preserve">Complementary Validation: Agricultural &amp; Transportation Energy Systems</w:t>
      </w:r>
    </w:p>
    <w:p xmlns:wp14="http://schemas.microsoft.com/office/word/2010/wordml" w14:paraId="6BA14FB6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CDLS Platform Integration: Testing kinetic recovery from heavy-duty logistics (9-vehicle aluminum trailers)</w:t>
      </w:r>
    </w:p>
    <w:p xmlns:wp14="http://schemas.microsoft.com/office/word/2010/wordml" w14:paraId="0EF35267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Carbon Credit Verification: LCFS monetization validation through Xpansiv Omega platform</w:t>
      </w:r>
    </w:p>
    <w:p xmlns:wp14="http://schemas.microsoft.com/office/word/2010/wordml" w14:paraId="48430124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Rural Microgrid Testing: Deployment scenarios for Central Valley agricultural operations</w:t>
      </w:r>
    </w:p>
    <w:p xmlns:wp14="http://schemas.microsoft.com/office/word/2010/wordml" w14:paraId="0E27B00A" wp14:textId="77777777">
      <w:r>
        <w:br w:type="page"/>
      </w:r>
    </w:p>
    <w:p xmlns:wp14="http://schemas.microsoft.com/office/word/2010/wordml" w14:paraId="14A59A44" wp14:textId="77777777">
      <w:pPr>
        <w:pStyle w:val="Heading1"/>
      </w:pPr>
      <w:r>
        <w:t xml:space="preserve">6. PROPOSED PUBLICATION ROADMAP</w:t>
      </w:r>
    </w:p>
    <w:p xmlns:wp14="http://schemas.microsoft.com/office/word/2010/wordml" w14:paraId="5587453A" wp14:textId="77777777">
      <w:pPr>
        <w:spacing w:after="240"/>
      </w:pPr>
      <w:r>
        <w:rPr>
          <w:b/>
          <w:bCs/>
          <w:sz w:val="26"/>
          <w:szCs w:val="26"/>
        </w:rPr>
        <w:t xml:space="preserve">Multi-Paper Strategy for Maximum Academic Impact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3744"/>
        <w:gridCol w:w="1872"/>
        <w:gridCol w:w="1872"/>
      </w:tblGrid>
      <w:tr xmlns:wp14="http://schemas.microsoft.com/office/word/2010/wordml" w:rsidTr="2A65335A" w14:paraId="04E1AF52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B81C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3653041" wp14:textId="77777777"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Paper</w:t>
            </w:r>
          </w:p>
        </w:tc>
        <w:tc>
          <w:tcPr>
            <w:tcW w:w="37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B81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D1D4CA" wp14:textId="77777777"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Title &amp; Focus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B81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992D6" wp14:textId="77777777"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Target Journal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B81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2AD140" wp14:textId="77777777">
            <w:pPr>
              <w:jc w:val="center"/>
            </w:pPr>
            <w:r>
              <w:rPr>
                <w:b/>
                <w:bCs/>
                <w:color w:val="003B5C"/>
                <w:sz w:val="22"/>
                <w:szCs w:val="22"/>
              </w:rPr>
              <w:t xml:space="preserve">Timeline</w:t>
            </w:r>
          </w:p>
        </w:tc>
      </w:tr>
      <w:tr xmlns:wp14="http://schemas.microsoft.com/office/word/2010/wordml" w:rsidTr="2A65335A" w14:paraId="52C50631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3038D40" wp14:textId="77777777"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#1</w:t>
            </w:r>
          </w:p>
        </w:tc>
        <w:tc>
          <w:tcPr>
            <w:tcW w:w="37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8D3DB" wp14:textId="77777777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Theta-Phase Tantalum Nitride Diamagnetic Containment for High-Flux Superconducting Systems</w:t>
            </w:r>
          </w:p>
          <w:p w14:paraId="64F08AD5" wp14:textId="77777777">
            <w:r>
              <w:t xml:space="preserve">Focus: Material characterization, thermal limits, EMI exclusion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EB7FCE" wp14:textId="77777777">
            <w:pPr>
              <w:jc w:val="center"/>
            </w:pPr>
            <w:r>
              <w:t xml:space="preserve">Applied Physics Letters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FC2920" wp14:textId="77777777">
            <w:pPr>
              <w:jc w:val="center"/>
            </w:pPr>
            <w:r>
              <w:t xml:space="preserve">Q2 2026</w:t>
            </w:r>
          </w:p>
        </w:tc>
      </w:tr>
      <w:tr xmlns:wp14="http://schemas.microsoft.com/office/word/2010/wordml" w:rsidTr="2A65335A" w14:paraId="135E9D5D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48FC1AA6" wp14:textId="77777777"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#2</w:t>
            </w:r>
          </w:p>
        </w:tc>
        <w:tc>
          <w:tcPr>
            <w:tcW w:w="37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64E86A" wp14:textId="77777777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High-Frequency REBCO Flux Dynamics in Kinetic Energy Recovery Applications</w:t>
            </w:r>
          </w:p>
          <w:p w14:paraId="28701A1C" wp14:textId="77777777">
            <w:r>
              <w:t xml:space="preserve">Focus: 85kHz operation, instantaneous charge acceptance vs lithium-ion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52CEBEA" wp14:textId="77777777">
            <w:pPr>
              <w:jc w:val="center"/>
            </w:pPr>
            <w:r>
              <w:t xml:space="preserve">Superconductor Science &amp; Technology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281B5B" wp14:textId="77777777">
            <w:pPr>
              <w:jc w:val="center"/>
            </w:pPr>
            <w:r>
              <w:t xml:space="preserve">Q3 2026</w:t>
            </w:r>
          </w:p>
        </w:tc>
      </w:tr>
      <w:tr xmlns:wp14="http://schemas.microsoft.com/office/word/2010/wordml" w:rsidTr="2A65335A" w14:paraId="30E2EBAF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07EE4FC6" wp14:textId="77777777"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#3</w:t>
            </w:r>
          </w:p>
        </w:tc>
        <w:tc>
          <w:tcPr>
            <w:tcW w:w="37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A6768" wp14:textId="77777777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Distributed Kinetic Energy Storage for Grid-Scale Virtual Power Plants: A Comparative Analysis</w:t>
            </w:r>
          </w:p>
          <w:p w14:paraId="404DBDC7" wp14:textId="77777777">
            <w:r>
              <w:t xml:space="preserve">Focus: 300,000-node VPP architecture, synthetic inertia provision, kinetic vs chemical storage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EA98A" wp14:textId="77777777">
            <w:pPr>
              <w:jc w:val="center"/>
            </w:pPr>
            <w:r>
              <w:t xml:space="preserve">Applied Energy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754DD7" wp14:textId="77777777">
            <w:pPr>
              <w:jc w:val="center"/>
            </w:pPr>
            <w:r>
              <w:t xml:space="preserve">Q4 2026</w:t>
            </w:r>
          </w:p>
        </w:tc>
      </w:tr>
      <w:tr xmlns:wp14="http://schemas.microsoft.com/office/word/2010/wordml" w:rsidTr="2A65335A" w14:paraId="67ABBF7A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D851628" wp14:textId="77777777">
            <w:pPr>
              <w:jc w:val="center"/>
            </w:pPr>
            <w:r>
              <w:rPr>
                <w:b/>
                <w:bCs/>
                <w:color w:val="003B5C"/>
                <w:sz w:val="24"/>
                <w:szCs w:val="24"/>
              </w:rPr>
              <w:t xml:space="preserve">#4</w:t>
            </w:r>
          </w:p>
        </w:tc>
        <w:tc>
          <w:tcPr>
            <w:tcW w:w="3744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E546B5" wp14:textId="77777777">
            <w:pPr>
              <w:spacing w:after="60"/>
            </w:pPr>
            <w:r w:rsidRPr="2A65335A" w:rsidR="2A65335A">
              <w:rPr>
                <w:b w:val="1"/>
                <w:bCs w:val="1"/>
                <w:sz w:val="20"/>
                <w:szCs w:val="20"/>
                <w:lang w:val="en-US"/>
              </w:rPr>
              <w:t>OpenADR 2.0b Protocol Optimization for Millisecond Grid Response Applications</w:t>
            </w:r>
          </w:p>
          <w:p w14:paraId="56C2F240" wp14:textId="77777777">
            <w:r>
              <w:t xml:space="preserve">Focus: &lt;10ms response time achievement, CAISO frequency regulation validation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DE0A50" wp14:textId="77777777">
            <w:pPr>
              <w:jc w:val="center"/>
            </w:pPr>
            <w:r>
              <w:t xml:space="preserve">IEEE Transactions on Smart Grid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4A13E3" wp14:textId="77777777">
            <w:pPr>
              <w:jc w:val="center"/>
            </w:pPr>
            <w:r>
              <w:t xml:space="preserve">Q1 2027</w:t>
            </w:r>
          </w:p>
        </w:tc>
      </w:tr>
    </w:tbl>
    <w:p xmlns:wp14="http://schemas.microsoft.com/office/word/2010/wordml" w14:paraId="60061E4C" wp14:textId="77777777">
      <w:r>
        <w:br w:type="page"/>
      </w:r>
    </w:p>
    <w:p xmlns:wp14="http://schemas.microsoft.com/office/word/2010/wordml" w14:paraId="69DEBC6F" wp14:textId="77777777">
      <w:pPr>
        <w:pStyle w:val="Heading1"/>
      </w:pPr>
      <w:r>
        <w:t xml:space="preserve">7. BUDGET &amp; RESOURCE REQUIREMENTS</w:t>
      </w:r>
    </w:p>
    <w:p xmlns:wp14="http://schemas.microsoft.com/office/word/2010/wordml" w14:paraId="7B672E09" wp14:textId="77777777">
      <w:pPr>
        <w:spacing w:after="240"/>
      </w:pPr>
      <w:r>
        <w:rPr>
          <w:b/>
          <w:bCs/>
          <w:sz w:val="26"/>
          <w:szCs w:val="26"/>
        </w:rPr>
        <w:t xml:space="preserve">Proposed 18-Month Research Budget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 xmlns:wp14="http://schemas.microsoft.com/office/word/2010/wordml" w:rsidTr="2A65335A" w14:paraId="069A1F37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9950C" wp14:textId="77777777">
            <w:r>
              <w:rPr>
                <w:b/>
                <w:bCs/>
                <w:color w:val="FFFFFF"/>
                <w:sz w:val="22"/>
                <w:szCs w:val="22"/>
              </w:rPr>
              <w:t xml:space="preserve">Budget Category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C24BAA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003B5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546E3C" wp14:textId="777777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 xmlns:wp14="http://schemas.microsoft.com/office/word/2010/wordml" w:rsidTr="2A65335A" w14:paraId="63614F8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FB2A8" wp14:textId="77777777">
            <w:r w:rsidRPr="2A65335A" w:rsidR="2A65335A">
              <w:rPr>
                <w:lang w:val="en-US"/>
              </w:rPr>
              <w:t>UCLA Laboratory Time (5 labs × 200 hours each)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23AF6" wp14:textId="77777777">
            <w:pPr>
              <w:jc w:val="center"/>
            </w:pPr>
            <w:r>
              <w:t xml:space="preserve">$250,000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94B9C" wp14:textId="77777777">
            <w:r>
              <w:t xml:space="preserve">Includes equipment time</w:t>
            </w:r>
          </w:p>
        </w:tc>
      </w:tr>
      <w:tr xmlns:wp14="http://schemas.microsoft.com/office/word/2010/wordml" w:rsidTr="2A65335A" w14:paraId="608C1520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082FDB" wp14:textId="77777777">
            <w:r>
              <w:t xml:space="preserve">UC Berkeley CIEE Validation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F790FD" wp14:textId="77777777">
            <w:pPr>
              <w:jc w:val="center"/>
            </w:pPr>
            <w:r>
              <w:t xml:space="preserve">$150,000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1DE62" wp14:textId="77777777">
            <w:r>
              <w:t xml:space="preserve">Safety cert + grid modeling</w:t>
            </w:r>
          </w:p>
        </w:tc>
      </w:tr>
      <w:tr xmlns:wp14="http://schemas.microsoft.com/office/word/2010/wordml" w:rsidTr="2A65335A" w14:paraId="1A828B1B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E67E09" wp14:textId="77777777">
            <w:r>
              <w:t xml:space="preserve">UC Davis Energy Institute Collaboration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8D755E" wp14:textId="77777777">
            <w:pPr>
              <w:jc w:val="center"/>
            </w:pPr>
            <w:r>
              <w:t xml:space="preserve">$75,000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40C8FA" wp14:textId="77777777">
            <w:r>
              <w:t xml:space="preserve">CDLS integration testing</w:t>
            </w:r>
          </w:p>
        </w:tc>
      </w:tr>
      <w:tr xmlns:wp14="http://schemas.microsoft.com/office/word/2010/wordml" w:rsidTr="2A65335A" w14:paraId="215AE41A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CAC84" wp14:textId="77777777">
            <w:r>
              <w:t xml:space="preserve">Graduate Research Assistants (6 students × 18 months)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2A556C" wp14:textId="77777777">
            <w:pPr>
              <w:jc w:val="center"/>
            </w:pPr>
            <w:r>
              <w:t xml:space="preserve">$180,000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8E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34A1FB" wp14:textId="77777777">
            <w:r>
              <w:t xml:space="preserve">$30K/year per student</w:t>
            </w:r>
          </w:p>
        </w:tc>
      </w:tr>
      <w:tr xmlns:wp14="http://schemas.microsoft.com/office/word/2010/wordml" w:rsidTr="2A65335A" w14:paraId="415DA704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28D03F" wp14:textId="77777777">
            <w:r w:rsidRPr="2A65335A" w:rsidR="2A65335A">
              <w:rPr>
                <w:lang w:val="en-US"/>
              </w:rPr>
              <w:t>Materials &amp; Consumables (θ-TaN, REBCO tape, cryogenics)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B5950E" wp14:textId="77777777">
            <w:pPr>
              <w:jc w:val="center"/>
            </w:pPr>
            <w:r>
              <w:t xml:space="preserve">$95,000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E8F4F8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4BE751" wp14:textId="77777777">
            <w:r>
              <w:t xml:space="preserve">See procurement list</w:t>
            </w:r>
          </w:p>
        </w:tc>
      </w:tr>
      <w:tr xmlns:wp14="http://schemas.microsoft.com/office/word/2010/wordml" w:rsidTr="2A65335A" w14:paraId="6A4B6F15" wp14:textId="77777777">
        <w:tc>
          <w:tcPr>
            <w:tcW w:w="468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8E24B4" wp14:textId="77777777">
            <w:r>
              <w:rPr>
                <w:b/>
                <w:bCs/>
                <w:sz w:val="24"/>
                <w:szCs w:val="24"/>
              </w:rPr>
              <w:t xml:space="preserve">TOTAL 18-MONTH BUDGET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6F81D5" wp14:textId="77777777">
            <w:pPr>
              <w:jc w:val="center"/>
            </w:pPr>
            <w:r>
              <w:rPr>
                <w:b/>
                <w:bCs/>
                <w:color w:val="CC0000"/>
                <w:sz w:val="26"/>
                <w:szCs w:val="26"/>
              </w:rPr>
              <w:t xml:space="preserve">$750,000</w:t>
            </w:r>
          </w:p>
        </w:tc>
        <w:tc>
          <w:tcPr>
            <w:tcW w:w="234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C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D2A80D" wp14:textId="77777777">
            <w:r>
              <w:t xml:space="preserve">Full validation program</w:t>
            </w:r>
          </w:p>
        </w:tc>
      </w:tr>
    </w:tbl>
    <w:p xmlns:wp14="http://schemas.microsoft.com/office/word/2010/wordml" w14:paraId="44EAFD9C" wp14:textId="77777777">
      <w:r>
        <w:br w:type="page"/>
      </w:r>
    </w:p>
    <w:p xmlns:wp14="http://schemas.microsoft.com/office/word/2010/wordml" w14:paraId="120E8415" wp14:textId="77777777">
      <w:pPr>
        <w:pStyle w:val="Heading1"/>
      </w:pPr>
      <w:r>
        <w:t xml:space="preserve">8. EXPECTED OUTCOMES &amp; DELIVERABLES</w:t>
      </w:r>
    </w:p>
    <w:p xmlns:wp14="http://schemas.microsoft.com/office/word/2010/wordml" w14:paraId="5AB53457" wp14:textId="77777777">
      <w:pPr>
        <w:pStyle w:val="Heading2"/>
      </w:pPr>
      <w:r>
        <w:t xml:space="preserve">Technical Deliverables (18-Month Timeline)</w:t>
      </w:r>
    </w:p>
    <w:p xmlns:wp14="http://schemas.microsoft.com/office/word/2010/wordml" w14:paraId="63E127B5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Validated material properties database for θ-TaN (thermal conductivity, diamagnetic coefficient, EMI exclusion)</w:t>
      </w:r>
    </w:p>
    <w:p xmlns:wp14="http://schemas.microsoft.com/office/word/2010/wordml" w14:paraId="1EB4246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REBCO flux dynamics characterization at 85kHz under high-power loading</w:t>
      </w:r>
    </w:p>
    <w:p xmlns:wp14="http://schemas.microsoft.com/office/word/2010/wordml" w14:paraId="024D318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Round-trip efficiency validation (target: 98.5%)</w:t>
      </w:r>
    </w:p>
    <w:p xmlns:wp14="http://schemas.microsoft.com/office/word/2010/wordml" w14:paraId="729E0561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OpenADR 2.0b response time certification (&lt;10ms for CAISO highest tier)</w:t>
      </w:r>
    </w:p>
    <w:p xmlns:wp14="http://schemas.microsoft.com/office/word/2010/wordml" w14:paraId="109854B9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Comparative analysis: kinetic vs chemical storage (25% vs 12% traction recovery)</w:t>
      </w:r>
    </w:p>
    <w:p xmlns:wp14="http://schemas.microsoft.com/office/word/2010/wordml" w14:paraId="2D902E48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Berkeley CIEE safety certification for residential deployment</w:t>
      </w:r>
    </w:p>
    <w:p xmlns:wp14="http://schemas.microsoft.com/office/word/2010/wordml" w14:paraId="2F783F93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300,000-node VPP simulation results with grid stability modeling</w:t>
      </w:r>
    </w:p>
    <w:p xmlns:wp14="http://schemas.microsoft.com/office/word/2010/wordml" w14:paraId="0CCAF574" wp14:textId="77777777">
      <w:pPr>
        <w:pStyle w:val="Heading2"/>
        <w:spacing w:before="360"/>
      </w:pPr>
      <w:r>
        <w:t xml:space="preserve">Academic Impact</w:t>
      </w:r>
    </w:p>
    <w:p xmlns:wp14="http://schemas.microsoft.com/office/word/2010/wordml" w14:paraId="5423D158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4 peer-reviewed publications in high-impact journals (Applied Physics Letters, Superconductor S&amp;T, Applied Energy, IEEE Smart Grid)</w:t>
      </w:r>
    </w:p>
    <w:p xmlns:wp14="http://schemas.microsoft.com/office/word/2010/wordml" w14:paraId="3C821C3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6 PhD student dissertations across materials science, electrical engineering, and energy systems</w:t>
      </w:r>
    </w:p>
    <w:p xmlns:wp14="http://schemas.microsoft.com/office/word/2010/wordml" w14:paraId="3EAB15FD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New research area established: high-frequency superconducting kinetic storage</w:t>
      </w:r>
    </w:p>
    <w:p xmlns:wp14="http://schemas.microsoft.com/office/word/2010/wordml" w14:paraId="606DCD95" wp14:textId="77777777">
      <w:pPr>
        <w:pStyle w:val="Heading2"/>
        <w:spacing w:before="360"/>
      </w:pPr>
      <w:r>
        <w:t xml:space="preserve">Commercial Impact</w:t>
      </w:r>
    </w:p>
    <w:p xmlns:wp14="http://schemas.microsoft.com/office/word/2010/wordml" w14:paraId="28B87083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Independent validation enabling CAHSRA $289M Track &amp; Systems budget reallocation</w:t>
      </w:r>
    </w:p>
    <w:p xmlns:wp14="http://schemas.microsoft.com/office/word/2010/wordml" w14:paraId="02704B7A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Technology de-risking for institutional investors (CalPERS Emerging Manager Program)</w:t>
      </w:r>
    </w:p>
    <w:p xmlns:wp14="http://schemas.microsoft.com/office/word/2010/wordml" w14:paraId="0C95E8CF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Pathway to 300,000-unit deployment creating $726M annual revenue</w:t>
      </w:r>
    </w:p>
    <w:p xmlns:wp14="http://schemas.microsoft.com/office/word/2010/wordml" w14:paraId="4B94D5A5" wp14:textId="77777777">
      <w:r>
        <w:br w:type="page"/>
      </w:r>
    </w:p>
    <w:p xmlns:wp14="http://schemas.microsoft.com/office/word/2010/wordml" w14:paraId="43ECD137" wp14:textId="77777777">
      <w:pPr>
        <w:pStyle w:val="Heading1"/>
      </w:pPr>
      <w:r>
        <w:t xml:space="preserve">9. CONCLUSION &amp; NEXT STEPS</w:t>
      </w:r>
    </w:p>
    <w:p xmlns:wp14="http://schemas.microsoft.com/office/word/2010/wordml" w14:paraId="497D23C5" wp14:textId="77777777">
      <w:pPr>
        <w:spacing w:after="240"/>
      </w:pPr>
      <w:r w:rsidRPr="2A65335A" w:rsidR="2A65335A">
        <w:rPr>
          <w:b w:val="1"/>
          <w:bCs w:val="1"/>
          <w:sz w:val="24"/>
          <w:szCs w:val="24"/>
          <w:lang w:val="en-US"/>
        </w:rPr>
        <w:t>The Sovereign Engine represents a paradigm shift in grid-scale energy storage, addressing California's Inertia Gap through superconducting kinetic recovery rather than chemical batteries. However, extraordinary claims require extraordinary evidence.</w:t>
      </w:r>
    </w:p>
    <w:p xmlns:wp14="http://schemas.microsoft.com/office/word/2010/wordml" w14:paraId="4DC2B657" wp14:textId="77777777">
      <w:pPr>
        <w:spacing w:after="180"/>
      </w:pPr>
      <w:r w:rsidRPr="2A65335A" w:rsidR="2A65335A">
        <w:rPr>
          <w:sz w:val="24"/>
          <w:szCs w:val="24"/>
          <w:lang w:val="en-US"/>
        </w:rPr>
        <w:t>This multi-laboratory research collaboration leverages UCLA's world-class facilities across 5 specialized laboratories, UC Berkeley CIEE's grid integration expertise, and UC Davis Energy Institute's agricultural/transportation focus to provide comprehensive, independent validation of:</w:t>
      </w:r>
    </w:p>
    <w:p xmlns:wp14="http://schemas.microsoft.com/office/word/2010/wordml" w14:paraId="107B0E24" wp14:textId="77777777">
      <w:pPr>
        <w:pStyle w:val="ListParagraph"/>
        <w:numPr>
          <w:ilvl w:val="0"/>
          <w:numId w:val="3"/>
        </w:numPr>
        <w:rPr/>
      </w:pPr>
      <w:r w:rsidRPr="2A65335A" w:rsidR="2A65335A">
        <w:rPr>
          <w:sz w:val="22"/>
          <w:szCs w:val="22"/>
          <w:lang w:val="en-US"/>
        </w:rPr>
        <w:t>Material properties (θ-TaN thermal limits, REBCO flux dynamics)</w:t>
      </w:r>
    </w:p>
    <w:p xmlns:wp14="http://schemas.microsoft.com/office/word/2010/wordml" w14:paraId="54E2A09D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System performance (98.5% efficiency, &lt;10ms response)</w:t>
      </w:r>
    </w:p>
    <w:p xmlns:wp14="http://schemas.microsoft.com/office/word/2010/wordml" w14:paraId="1DF339D6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Grid integration (300,000-node VPP, synthetic inertia provision)</w:t>
      </w:r>
    </w:p>
    <w:p xmlns:wp14="http://schemas.microsoft.com/office/word/2010/wordml" w14:paraId="5352F859" wp14:textId="77777777"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Safety certification (residential in-wall deployment)</w:t>
      </w:r>
    </w:p>
    <w:p xmlns:wp14="http://schemas.microsoft.com/office/word/2010/wordml" w14:paraId="0541B014" wp14:textId="77777777">
      <w:pPr>
        <w:spacing w:after="180"/>
      </w:pPr>
      <w:r>
        <w:rPr>
          <w:b/>
          <w:bCs/>
          <w:color w:val="CC0000"/>
          <w:sz w:val="28"/>
          <w:szCs w:val="28"/>
        </w:rPr>
        <w:t xml:space="preserve">IMMEDIATE NEXT STEPS</w:t>
      </w:r>
    </w:p>
    <w:p xmlns:wp14="http://schemas.microsoft.com/office/word/2010/wordml" w14:paraId="6B4EE975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Submit this proposal to UCLA Office of Research (TARGET: February 15, 2026)</w:t>
      </w:r>
    </w:p>
    <w:p xmlns:wp14="http://schemas.microsoft.com/office/word/2010/wordml" w14:paraId="622EE596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Schedule kickoff meeting with all 5 UCLA lab directors (TARGET: February 20, 2026)</w:t>
      </w:r>
    </w:p>
    <w:p xmlns:wp14="http://schemas.microsoft.com/office/word/2010/wordml" w14:paraId="02AB3C59" wp14:textId="77777777">
      <w:pPr>
        <w:pStyle w:val="ListParagraph"/>
        <w:numPr>
          <w:ilvl w:val="0"/>
          <w:numId w:val="2"/>
        </w:numPr>
      </w:pPr>
      <w:r>
        <w:rPr>
          <w:b/>
          <w:bCs/>
          <w:sz w:val="22"/>
          <w:szCs w:val="22"/>
        </w:rPr>
        <w:t xml:space="preserve">Parallel submission to UC Berkeley CIEE (Prof. Sasha von Meier - TARGET: February 17, 2026)</w:t>
      </w:r>
    </w:p>
    <w:p xmlns:wp14="http://schemas.microsoft.com/office/word/2010/wordml" w14:paraId="189B8E9B" wp14:textId="77777777"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Coordinate UC Davis Energy Institute participation (TARGET: February 25, 2026)</w:t>
      </w:r>
    </w:p>
    <w:p xmlns:wp14="http://schemas.microsoft.com/office/word/2010/wordml" w14:paraId="01657675" wp14:textId="77777777">
      <w:pPr>
        <w:pStyle w:val="ListParagraph"/>
        <w:numPr>
          <w:ilvl w:val="0"/>
          <w:numId w:val="2"/>
        </w:numPr>
        <w:rPr/>
      </w:pPr>
      <w:r w:rsidRPr="2A65335A" w:rsidR="2A65335A">
        <w:rPr>
          <w:sz w:val="22"/>
          <w:szCs w:val="22"/>
          <w:lang w:val="en-US"/>
        </w:rPr>
        <w:t>Deliver prototype to UCLA Heat Transfer Lab for initial material characterization (TARGET: March 1, 2026)</w:t>
      </w:r>
    </w:p>
    <w:p xmlns:wp14="http://schemas.microsoft.com/office/word/2010/wordml" w14:paraId="0352D32B" wp14:textId="77777777">
      <w:pPr>
        <w:spacing w:before="720"/>
        <w:jc w:val="center"/>
      </w:pPr>
      <w:r w:rsidRPr="2A65335A" w:rsidR="2A65335A">
        <w:rPr>
          <w:b w:val="1"/>
          <w:bCs w:val="1"/>
          <w:i w:val="1"/>
          <w:iCs w:val="1"/>
          <w:color w:val="003B5C"/>
          <w:sz w:val="26"/>
          <w:szCs w:val="26"/>
          <w:lang w:val="en-US"/>
        </w:rPr>
        <w:t>By integrating academic rigor with commercial deployment urgency, this research program will establish kinetic energy storage as a cornerstone of California's 2030 Zero-Carbon infrastructure.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8fd215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2f0875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nsid w:val="39893747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BF5B984"/>
  <w15:docId w15:val="{E774D78C-956B-4075-A6BC-920EB416E995}"/>
  <w:rsids>
    <w:rsidRoot w:val="2A65335A"/>
    <w:rsid w:val="2A65335A"/>
    <w:rsid w:val="699E222E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480" w:after="240"/>
      <w:outlineLvl w:val="0"/>
    </w:pPr>
    <w:rPr>
      <w:rFonts w:ascii="Arial" w:hAnsi="Arial" w:eastAsia="Arial" w:cs="Arial"/>
      <w:b/>
      <w:bCs/>
      <w:color w:val="003B5C"/>
      <w:sz w:val="36"/>
      <w:szCs w:val="36"/>
    </w:rPr>
  </w:style>
  <w:style w:type="paragraph" w:styleId="Heading2">
    <w:name w:val="heading 20"/>
    <w:basedOn w:val="Normal"/>
    <w:next w:val="Normal"/>
    <w:qFormat/>
    <w:pPr>
      <w:spacing w:before="360" w:after="180"/>
      <w:outlineLvl w:val="1"/>
    </w:pPr>
    <w:rPr>
      <w:rFonts w:ascii="Arial" w:hAnsi="Arial" w:eastAsia="Arial" w:cs="Arial"/>
      <w:b/>
      <w:bCs/>
      <w:color w:val="FFB81C"/>
      <w:sz w:val="28"/>
      <w:szCs w:val="28"/>
    </w:rPr>
  </w:style>
  <w:style w:type="paragraph" w:styleId="Heading3">
    <w:name w:val="heading 30"/>
    <w:basedOn w:val="Normal"/>
    <w:next w:val="Normal"/>
    <w:qFormat/>
    <w:pPr>
      <w:spacing w:before="240" w:after="120"/>
      <w:outlineLvl w:val="2"/>
    </w:pPr>
    <w:rPr>
      <w:rFonts w:ascii="Arial" w:hAnsi="Arial" w:eastAsia="Arial" w:cs="Arial"/>
      <w:b/>
      <w:bCs/>
      <w:color w:val="666666"/>
      <w:sz w:val="26"/>
      <w:szCs w:val="2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fontTable" Target="fontTable.xml" Id="rId6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Julio Umanzor</lastModifiedBy>
  <revision>2</revision>
  <dcterms:created xsi:type="dcterms:W3CDTF">2026-02-11T23:37:33.8550000Z</dcterms:created>
  <dcterms:modified xsi:type="dcterms:W3CDTF">2026-06-10T16:23:08.7745301Z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