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CC0000"/>
          <w:sz w:val="52"/>
          <w:szCs w:val="52"/>
        </w:rPr>
        <w:t xml:space="preserve">THE SOVEREIGN 50</w:t>
      </w:r>
    </w:p>
    <w:p>
      <w:pPr>
        <w:spacing w:after="240"/>
        <w:jc w:val="center"/>
      </w:pPr>
      <w:r>
        <w:rPr>
          <w:b/>
          <w:bCs/>
          <w:color w:val="0066CC"/>
          <w:sz w:val="32"/>
          <w:szCs w:val="32"/>
        </w:rPr>
        <w:t xml:space="preserve">Central Valley Manufacturing Acquisition Strategy</w:t>
      </w:r>
    </w:p>
    <w:p>
      <w:pPr>
        <w:spacing w:after="960"/>
        <w:jc w:val="center"/>
      </w:pPr>
      <w:r>
        <w:rPr>
          <w:color w:val="666666"/>
          <w:sz w:val="26"/>
          <w:szCs w:val="26"/>
        </w:rPr>
        <w:t xml:space="preserve">Partnership-to-Own (PTO) M&amp;A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STRATEGIC OBJECTIVE</w:t>
            </w:r>
          </w:p>
          <w:p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Acquire 50 'Asset-Rich, Cash-Poor' Central Valley manufacturing firms to create a distributed Sovereign Node network capable of producing 300,000 kinetic energy units while preserving 5,000+ local jobs and securing political support from 10+ mayors.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1: THE SILVER TSUNAMI OPPORTUNITY</w:t>
      </w:r>
    </w:p>
    <w:p>
      <w:pPr>
        <w:pStyle w:val="Heading2"/>
      </w:pPr>
      <w:r>
        <w:t xml:space="preserve">Why Central Valley Manufacturing is Ripe for Acquisition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The Central Valley in early 2026 faces a unique convergence of economic pressures creating unprecedented M&amp;A opportunities: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'Silver Tsunami': 65+ year-old founders with no succession plan, holding $500K-$2M in precision equipment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Transition Gap: Legacy fossil-fuel and agriculture shops lack engineering staff to pivot to zero-emission technology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Receivables Lag: 60+ day payment cycles creating cash-flow distress despite profitable operations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High Overhead: Losing skilled labor to Tesla/SpaceX, unable to compete on wages without growth contracts</w:t>
      </w:r>
    </w:p>
    <w:p>
      <w:pPr>
        <w:pStyle w:val="Heading2"/>
        <w:spacing w:before="360"/>
      </w:pPr>
      <w:r>
        <w:t xml:space="preserve">Target Profile: 'Asset-Rich, Cash-Poor'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Distress Signal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Recent Price Reduction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Motivated seller, likely facing health issues or retirement deadline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Owner 65+ Years 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HIGHEST VALUE - No succession plan, looking for legacy-preserving exit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Turning Down 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Capacity exists but lacks workforce/succession to scale - perfect for PTO injection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Seller Financing Available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Owner willing to hold note - reduces upfront cash requirement, indicates desperation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SBA-Ready Books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Clean financials make CAHSRA grant deployment easier, reduces due diligence 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THE SOVEREIGN 50 TARGET LIST</w:t>
      </w:r>
    </w:p>
    <w:p>
      <w:pPr>
        <w:spacing w:after="240"/>
      </w:pPr>
      <w:r>
        <w:rPr>
          <w:b/>
          <w:bCs/>
          <w:color w:val="CC0000"/>
          <w:sz w:val="26"/>
          <w:szCs w:val="26"/>
        </w:rPr>
        <w:t xml:space="preserve">50 Strategic Manufacturing &amp; Logistics Nodes (5 per City)</w:t>
      </w:r>
    </w:p>
    <w:p>
      <w:pPr>
        <w:pStyle w:val="Heading2"/>
      </w:pPr>
      <w:r>
        <w:t xml:space="preserve">SACRAMENTO (The Hub) - 5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2640"/>
        <w:gridCol w:w="26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Asset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Strategic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VPE (Vacuum Process Engineering)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High-end diffusion bonding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θ-TaN shield assembly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Precision CNC (Loomis/Placer)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8-year-old shop, prototypes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Rotor precision machining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Graybar Electric (Supply Chain)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High-voltage distribution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OpenADR gateway supply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B.E.S.T. Program Work-Hubs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Oak Park / Aggie Square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Workforce development 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13 FedEx Ground Routes (Sacramento)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Logistics network ready-made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Alpha harvesting testbeds</w:t>
            </w:r>
          </w:p>
        </w:tc>
      </w:tr>
    </w:tbl>
    <w:p>
      <w:pPr>
        <w:spacing w:before="360"/>
      </w:pPr>
      <w:r>
        <w:rPr>
          <w:i/>
          <w:iCs/>
          <w:color w:val="666666"/>
          <w:sz w:val="20"/>
          <w:szCs w:val="20"/>
        </w:rPr>
        <w:t xml:space="preserve">NOTE: Complete 50-company directory with Fresno, Stockton, Modesto, Bakersfield, and 5 additional cities included in Appendix A (pages 45-52)</w:t>
      </w:r>
    </w:p>
    <w:p>
      <w:r>
        <w:br w:type="page"/>
      </w:r>
    </w:p>
    <w:p>
      <w:pPr>
        <w:pStyle w:val="Heading1"/>
      </w:pPr>
      <w:r>
        <w:t xml:space="preserve">SECTION 3: THE PARTNERSHIP-TO-OWN (PTO) MODEL</w:t>
      </w:r>
    </w:p>
    <w:p>
      <w:pPr>
        <w:pStyle w:val="Heading2"/>
      </w:pPr>
      <w:r>
        <w:t xml:space="preserve">Why PTO &gt; Traditional Acquisition</w:t>
      </w:r>
    </w:p>
    <w:p>
      <w:pPr>
        <w:spacing w:after="180"/>
      </w:pPr>
      <w:r>
        <w:rPr>
          <w:sz w:val="24"/>
          <w:szCs w:val="24"/>
        </w:rPr>
        <w:t xml:space="preserve">The Partnership-to-Own model provides three critical advantages over traditional M&amp;A: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FINANCIAL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Immediate cash injection via mobilization fee relieves debt pressure. CAHSRA funds pay for equipment upgrades. No upfront acquisition cost.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POLITICAL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Preserves 5,000+ union jobs. Secures support from 10+ mayors. Checks CAHSRA's 30% Small Business Goal. Creates 'too big to fail' distribution.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OPERATIONAL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Captures 'tribal knowledge' from 65+ founders. Retains skilled workforce. Solves B.E.S.T. Program training space bottleneck. Diversifies risk across 50 nodes.</w:t>
            </w:r>
          </w:p>
        </w:tc>
      </w:tr>
    </w:tbl>
    <w:p>
      <w:pPr>
        <w:pStyle w:val="Heading2"/>
        <w:spacing w:before="480"/>
      </w:pPr>
      <w:r>
        <w:t xml:space="preserve">4-Phase PTO Structure</w:t>
      </w:r>
    </w:p>
    <w:p>
      <w:pPr>
        <w:spacing w:after="120"/>
      </w:pPr>
      <w:r>
        <w:rPr>
          <w:b/>
          <w:bCs/>
          <w:color w:val="CC0000"/>
          <w:sz w:val="26"/>
          <w:szCs w:val="26"/>
        </w:rPr>
        <w:t xml:space="preserve">PHASE 1: Anchor Contract Injection (Month 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Award manufacturing contract for specific Nano components (quantity based on facility capacity)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15-20% mobilization fee paid immediately to satisfy urgent operational debts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Contract serves as collateral for California IBank financing if needed</w:t>
      </w:r>
    </w:p>
    <w:p>
      <w:pPr>
        <w:spacing w:after="120"/>
      </w:pPr>
      <w:r>
        <w:rPr>
          <w:b/>
          <w:bCs/>
          <w:color w:val="0066CC"/>
          <w:sz w:val="26"/>
          <w:szCs w:val="26"/>
        </w:rPr>
        <w:t xml:space="preserve">PHASE 2: Infrastructure Upgrade (Months 2-4)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 CAHSRA/Section 13701 funds to install: (1) High-Vacuum Diffusion Bonding Furnace, (1) 5-Axis Precision CNC Hub, (1) HTS REBCO Winding Station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Equipment remains Graal property, leased to Node at $1/year during partnership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cost to owner, no debt incurred</w:t>
      </w:r>
    </w:p>
    <w:p>
      <w:pPr>
        <w:spacing w:after="120"/>
      </w:pPr>
      <w:r>
        <w:rPr>
          <w:b/>
          <w:bCs/>
          <w:color w:val="006633"/>
          <w:sz w:val="26"/>
          <w:szCs w:val="26"/>
        </w:rPr>
        <w:t xml:space="preserve">PHASE 3: Equity Transition (Month 5)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Graal acquires 51% controlling interest in exchange for capital injection + infrastructure upgrades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Board composition: Graal appoints 2 directors, Node retains 1 director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Profit sharing: 60/40 in favor of Graal, reinvesting majority into local scaling</w:t>
      </w:r>
    </w:p>
    <w:p>
      <w:pPr>
        <w:spacing w:after="120"/>
      </w:pPr>
      <w:r>
        <w:rPr>
          <w:b/>
          <w:bCs/>
          <w:color w:val="8B0000"/>
          <w:sz w:val="26"/>
          <w:szCs w:val="26"/>
        </w:rPr>
        <w:t xml:space="preserve">PHASE 4: Succession Closet (Months 6-30)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Owner transitions to 'Master Fabricator &amp; Technical Advisor' for 24-month period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Graal holds exclusive right to purchase remaining 49% at end of period (valuation = X multiple of 2026 EBITDA)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Owner achieves dignified exit while preserving legacy and staff employment</w:t>
      </w:r>
    </w:p>
    <w:p>
      <w:r>
        <w:br w:type="page"/>
      </w:r>
    </w:p>
    <w:p>
      <w:pPr>
        <w:pStyle w:val="Heading1"/>
      </w:pPr>
      <w:r>
        <w:t xml:space="preserve">SECTION 4: EXECUTION DOCUMENTS</w:t>
      </w:r>
    </w:p>
    <w:p>
      <w:pPr>
        <w:pStyle w:val="Heading2"/>
      </w:pPr>
      <w:r>
        <w:t xml:space="preserve">Document 1: Letter of Intent (LOI)</w:t>
      </w:r>
    </w:p>
    <w:p>
      <w:pPr>
        <w:spacing w:after="240"/>
      </w:pPr>
      <w:r>
        <w:rPr>
          <w:sz w:val="24"/>
          <w:szCs w:val="24"/>
        </w:rPr>
        <w:t xml:space="preserve">Send to all 50 targets to initiate PTO discussions. Non-binding except for 60-day exclusivity and confidentiality provisions.</w:t>
      </w:r>
    </w:p>
    <w:p>
      <w:pPr>
        <w:pStyle w:val="Heading2"/>
        <w:spacing w:before="480"/>
      </w:pPr>
      <w:r>
        <w:t xml:space="preserve">Document 2: Mutual Non-Disclosure Agreement (MNDA)</w:t>
      </w:r>
    </w:p>
    <w:p>
      <w:pPr>
        <w:spacing w:after="240"/>
      </w:pPr>
      <w:r>
        <w:rPr>
          <w:sz w:val="24"/>
          <w:szCs w:val="24"/>
        </w:rPr>
        <w:t xml:space="preserve">'Hardened' MNDA protecting θ-TaN sputtering recipes, REBCO pentagonal coil geometries, and Sovereign Engine trade secrets while respecting partner's legacy methods.</w:t>
      </w:r>
    </w:p>
    <w:p>
      <w:pPr>
        <w:pStyle w:val="Heading2"/>
        <w:spacing w:before="480"/>
      </w:pPr>
      <w:r>
        <w:t xml:space="preserve">Document 3: Facility Audit Checklist</w:t>
      </w:r>
    </w:p>
    <w:p>
      <w:pPr>
        <w:spacing w:after="180"/>
      </w:pPr>
      <w:r>
        <w:rPr>
          <w:sz w:val="24"/>
          <w:szCs w:val="24"/>
        </w:rPr>
        <w:t xml:space="preserve">CEO uses this checklist during site visits to evaluate 'Sovereign Readiness' across 4 categories: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Vacuum &amp; Thermal Infrastructure (10⁻⁶ Torr capability, Class 10,000 clean room, cryo-testing)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Precision Machining (5-axis CNC, ±0.005mm tolerances, 30,000+ RPM balancing)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Superconducting Readiness (refractory metal experience, induction expertise, LN₂ safety)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Operational Capacity (succession timeline, staff tenure, union status, B.E.S.T. space)</w:t>
      </w:r>
    </w:p>
    <w:p>
      <w:r>
        <w:br w:type="page"/>
      </w:r>
    </w:p>
    <w:p>
      <w:pPr>
        <w:pStyle w:val="Heading1"/>
      </w:pPr>
      <w:r>
        <w:t xml:space="preserve">SECTION 5: VPE PARTNERSHIP STRATEGY (FLAGSHIP NODE)</w:t>
      </w:r>
    </w:p>
    <w:p>
      <w:pPr>
        <w:pStyle w:val="Heading2"/>
      </w:pPr>
      <w:r>
        <w:t xml:space="preserve">Why VPE is Priority #1</w:t>
      </w:r>
    </w:p>
    <w:p>
      <w:pPr>
        <w:spacing w:after="180"/>
      </w:pPr>
      <w:r>
        <w:rPr>
          <w:sz w:val="24"/>
          <w:szCs w:val="24"/>
        </w:rPr>
        <w:t xml:space="preserve">Vacuum Process Engineering (VPE) in Sacramento represents the highest-value strategic partnership for the Sovereign Engine rollout: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Aerospace-grade diffusion bonding capabilities (essential for θ-TaN shield assembly)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Existing high-vacuum furnaces ($1M+ equipment already in place)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Sacramento location enables daily CEO site visits during prototype phase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Established vendor relationships reduce material procurement timelines</w:t>
      </w:r>
    </w:p>
    <w:p>
      <w:pPr>
        <w:pStyle w:val="Heading2"/>
        <w:spacing w:before="360"/>
      </w:pPr>
      <w:r>
        <w:t xml:space="preserve">VPE Estimated Costs (7-Day Sprint Prototype)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 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Hourly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Project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Engineering/Scientist Design Time (PhD-level thermal modeling)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$200-$350/hr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40 hrs × $275 = $11,000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Precision Machining/CNC (Chamber modifications, mounting brackets)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$125-$175/hr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30 hrs × $150 = $4,500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Vacuum Furnace/Diffusion Bonding Time (3 runs for θ-TaN integration)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$250-$500/run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3 runs × $375 = $1,125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Expedite Fee (25-50% for 7-day turnaround vs standard 4-6 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37.5%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$6,234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 ESTIMATED PROJECT COST (Labor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$22,859</w:t>
            </w:r>
          </w:p>
        </w:tc>
      </w:tr>
    </w:tbl>
    <w:p>
      <w:pPr>
        <w:spacing w:before="240"/>
      </w:pPr>
      <w:r>
        <w:rPr>
          <w:i/>
          <w:iCs/>
          <w:color w:val="666666"/>
          <w:sz w:val="20"/>
          <w:szCs w:val="20"/>
        </w:rPr>
        <w:t xml:space="preserve">NOTE: Estimate assumes you provide all long-lead materials (REBCO tape, θ-TaN sheets, vacuum chamber) to avoid VPE's 15-25% material markup. With 'Sacramento Roots' community discount, final quote may be $18K-$20K.</w:t>
      </w:r>
    </w:p>
    <w:p>
      <w:r>
        <w:br w:type="page"/>
      </w:r>
    </w:p>
    <w:p>
      <w:pPr>
        <w:pStyle w:val="Heading1"/>
      </w:pPr>
      <w:r>
        <w:t xml:space="preserve">SECTION 6: PUBLIC ANNOUNCEMENT STRATEGY</w:t>
      </w:r>
    </w:p>
    <w:p>
      <w:pPr>
        <w:pStyle w:val="Heading2"/>
      </w:pPr>
      <w:r>
        <w:t xml:space="preserve">Press Release: First 5 Sovereign Node Signings</w:t>
      </w:r>
    </w:p>
    <w:p>
      <w:pPr>
        <w:spacing w:after="360"/>
      </w:pPr>
      <w:r>
        <w:rPr>
          <w:b/>
          <w:bCs/>
          <w:color w:val="CC0000"/>
          <w:sz w:val="24"/>
          <w:szCs w:val="24"/>
        </w:rPr>
        <w:t xml:space="preserve">Release this after signing first 5 PTO agreements to build momentum for CAHSRA funding and establish 'political armor' through job preservation narrative.</w:t>
      </w:r>
    </w:p>
    <w:p>
      <w:pPr>
        <w:spacing w:before="720"/>
        <w:jc w:val="center"/>
      </w:pPr>
      <w:r>
        <w:rPr>
          <w:b/>
          <w:bCs/>
          <w:color w:val="CC0000"/>
          <w:sz w:val="32"/>
          <w:szCs w:val="32"/>
        </w:rPr>
        <w:t xml:space="preserve">IMPLEMENTATION TIMELINE</w:t>
      </w:r>
    </w:p>
    <w:p>
      <w:pPr>
        <w:spacing w:before="240"/>
      </w:pPr>
      <w:r>
        <w:rPr>
          <w:sz w:val="24"/>
          <w:szCs w:val="24"/>
        </w:rPr>
        <w:t xml:space="preserve">Week 1-2: Send LOIs to all 50 targets simultaneously</w:t>
      </w:r>
    </w:p>
    <w:p>
      <w:r>
        <w:rPr>
          <w:sz w:val="24"/>
          <w:szCs w:val="24"/>
        </w:rPr>
        <w:t xml:space="preserve">Week 3-4: Conduct facility audits for responsive Tier 1 candidates (expect 15-20 responses)</w:t>
      </w:r>
    </w:p>
    <w:p>
      <w:r>
        <w:rPr>
          <w:sz w:val="24"/>
          <w:szCs w:val="24"/>
        </w:rPr>
        <w:t xml:space="preserve">Week 5-6: Execute MNDAs and complete SNAR scorecards, rank by readiness</w:t>
      </w:r>
    </w:p>
    <w:p>
      <w:r>
        <w:rPr>
          <w:sz w:val="24"/>
          <w:szCs w:val="24"/>
        </w:rPr>
        <w:t xml:space="preserve">Week 7-8: Negotiate and sign first 5 DPAs (Sacramento, Fresno, Stockton priority)</w:t>
      </w:r>
    </w:p>
    <w:p>
      <w:r>
        <w:rPr>
          <w:sz w:val="24"/>
          <w:szCs w:val="24"/>
        </w:rPr>
        <w:t xml:space="preserve">Week 9: Issue press release, trigger CAHSRA funding approval cycle</w:t>
      </w:r>
    </w:p>
    <w:p>
      <w:r>
        <w:rPr>
          <w:sz w:val="24"/>
          <w:szCs w:val="24"/>
        </w:rPr>
        <w:t xml:space="preserve">Month 3-6: Complete infrastructure upgrades (furnaces, CNC, winding stations) at first 5 nodes</w:t>
      </w:r>
    </w:p>
    <w:p>
      <w:r>
        <w:rPr>
          <w:sz w:val="24"/>
          <w:szCs w:val="24"/>
        </w:rPr>
        <w:t xml:space="preserve">Month 7-12: Execute remaining 45 PTO agreements, scale to full 50-node network</w:t>
      </w:r>
    </w:p>
    <w:p>
      <w:pPr>
        <w:spacing w:before="720"/>
        <w:jc w:val="center"/>
      </w:pPr>
      <w:r>
        <w:rPr>
          <w:b/>
          <w:bCs/>
          <w:color w:val="006633"/>
          <w:sz w:val="26"/>
          <w:szCs w:val="26"/>
        </w:rPr>
        <w:t xml:space="preserve">SUCCESS METRICS: 50 nodes operational by Q4 2026, 5,000+ jobs preserved, 10+ mayor endorsements secured, CAHSRA 30% Small Business Goal exceeded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C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2026-02-11T22:45:14.334Z</dcterms:created>
  <dcterms:modified xsi:type="dcterms:W3CDTF">2026-02-11T22:45:14.335Z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