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"/>
        <w:jc w:val="center"/>
      </w:pPr>
      <w:r>
        <w:rPr>
          <w:b/>
          <w:bCs/>
          <w:color w:val="CC0000"/>
          <w:sz w:val="52"/>
          <w:szCs w:val="52"/>
        </w:rPr>
        <w:t xml:space="preserve">SOVEREIGN GRID INITIATIVE</w:t>
      </w:r>
    </w:p>
    <w:p>
      <w:pPr>
        <w:spacing w:after="960"/>
        <w:jc w:val="center"/>
      </w:pPr>
      <w:r>
        <w:rPr>
          <w:b/>
          <w:bCs/>
          <w:color w:val="0066CC"/>
          <w:sz w:val="32"/>
          <w:szCs w:val="32"/>
        </w:rPr>
        <w:t xml:space="preserve">FINAL ACTION PLAN &amp; KNOWLEDGE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30-SECOND ELEVATOR PITCH</w:t>
            </w:r>
          </w:p>
          <w:p>
            <w:pPr>
              <w:jc w:val="center"/>
            </w:pPr>
            <w:r>
              <w:rPr>
                <w:color w:val="FFFFFF"/>
                <w:sz w:val="24"/>
                <w:szCs w:val="24"/>
              </w:rPr>
              <w:t xml:space="preserve">We're deploying 300,000 superconducting Kinetic Energy Hubs across California that capture wasted braking energy from high-speed rail and logistics fleets, then discharge it back to the grid in milliseconds—creating synthetic inertia that stabilizes renewable energy. This generates $726M annual revenue while creating 1,000 green jobs in underserved Sacramento communities. UC Berkeley validates safety, Siemens provides rail integration, SMUD hosts the pilot.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CRITICAL NEXT STEPS (YOUR ACTION ITEMS)</w:t>
      </w:r>
    </w:p>
    <w:p>
      <w:pPr>
        <w:pStyle w:val="Heading2"/>
      </w:pPr>
      <w:r>
        <w:t xml:space="preserve">WEEK 1 (February 11-17, 2026) -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2140"/>
        <w:gridCol w:w="21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Success Metric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1-2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Research Prof. Sasha von Meier background (publications, current projects, communication style)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You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Dossier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Draft Berkeley CIEE email using template from Implementation SOP + spouse alumni connection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You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Email drafted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4-5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Order critical materials: θ-TaN sheets (Vulcan/AEM), REBCO tape (American Superconductor), OpenADR VEN gateways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James Wood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POs issued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7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SEND Berkeley email to Prof. von Meier + CC CIEE Director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You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Email sent</w:t>
            </w:r>
          </w:p>
        </w:tc>
      </w:tr>
    </w:tbl>
    <w:p>
      <w:pPr>
        <w:pStyle w:val="Heading2"/>
        <w:spacing w:before="480"/>
      </w:pPr>
      <w:r>
        <w:t xml:space="preserve">WEEK 2-4 (February 18 - March 10, 2026) - VALIDATION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Follow up with Berkeley if no response within 3 days. Offer in-person meeting at CIEE.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Complete Nano prototype assembly (6-day SOP protocol). Verify: &lt;10⁻⁵ mbar vacuum, zero REBCO resistance &lt;90K.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Submit prototype to Berkeley for Sovereign Audit (θ-TaN safety, grid inertia modeling, OpenADR testing).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Contact Tobias Bauer (Siemens) with "buy-local Sacramento" partnership proposal.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Request SMUD Technical Scoping Session with Rachel Huang (95817/95820 pilot deployment).</w:t>
      </w:r>
    </w:p>
    <w:p>
      <w:pPr>
        <w:pStyle w:val="Heading2"/>
        <w:spacing w:before="480"/>
      </w:pPr>
      <w:r>
        <w:t xml:space="preserve">WEEK 5-8 (March 11 - April 7, 2026) - PARTNERSHIP ACTIVATION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Receive Berkeley validation report. Present to CAHSRA (Ian Choudri) with 8 Velaro + 24 station proposal.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Secure Xpansiv carbon credit agreement ($85/ton LCFS through 2030).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File priority patents (#1 θ-TaN Containment, #2 HTS REBCO Flux, #5 In-Bogie Rail Recovery).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Break ground on Sacramento Assembly Hub (500+ B.E.S.T. Program jobs).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Submit IRS Section 13701 Direct Pay application (30% tax credit).</w:t>
      </w:r>
    </w:p>
    <w:p>
      <w:r>
        <w:br w:type="page"/>
      </w:r>
    </w:p>
    <w:p>
      <w:pPr>
        <w:pStyle w:val="Heading1"/>
      </w:pPr>
      <w:r>
        <w:t xml:space="preserve">CONDENSED KNOWLEDGE BASE</w:t>
      </w:r>
    </w:p>
    <w:p>
      <w:pPr>
        <w:pStyle w:val="Heading2"/>
      </w:pPr>
      <w:r>
        <w:t xml:space="preserve">Core Technology (The Physics)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Key Facts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θ-TaN Shield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Theta-Phase Tantalum Nitride. 2800°C thermal limit (vs 1085°C copper). 95% diamagnetic = total EMI exclusion. Safe for residential in-wall deployment. Supplier: Vulcan Metal/AEM.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HTS REBCO Coil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2nd Gen superconductor tape. ZERO resistance &lt;90K (-183°C). 85kHz operating frequency. Instantaneous flux absorption (8-12 MW at 220mph braking). 98.5% round-trip efficiency. Supplier: American Superconductor.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Carbon-Fiber Rotor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5kg mass. 50,000 RPM maximum. 15 kWh (Nano) or 100 kWh (Master). Unlimited cycle life (mechanical, no chemical degradation). Supplier: Berkeley Microfab.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OpenADR 2.0b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Grid communication protocol. TLS 1.3 security. &lt;10ms response time for CAISO frequency regulation (highest tier premium). VEN gateway supplier: EISS 2.0 or equivalent.</w:t>
            </w:r>
          </w:p>
        </w:tc>
      </w:tr>
    </w:tbl>
    <w:p>
      <w:pPr>
        <w:pStyle w:val="Heading2"/>
        <w:spacing w:before="480"/>
      </w:pPr>
      <w:r>
        <w:t xml:space="preserve">Business Model (The Money)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Revenue Stream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Annual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Carbon Credits (LCFS via Xpansiv)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6633"/>
                <w:sz w:val="26"/>
                <w:szCs w:val="26"/>
              </w:rPr>
              <w:t xml:space="preserve">$186M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V2G Revenue (CAISO Peak Demand)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6633"/>
                <w:sz w:val="26"/>
                <w:szCs w:val="26"/>
              </w:rPr>
              <w:t xml:space="preserve">$540M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IRS Section 13701 (30% Tax Credit)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CapEx Offset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TOTAL ANNUAL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30"/>
                <w:szCs w:val="30"/>
              </w:rPr>
              <w:t xml:space="preserve">$726M+</w:t>
            </w:r>
          </w:p>
        </w:tc>
      </w:tr>
    </w:tbl>
    <w:p>
      <w:pPr>
        <w:spacing w:before="240"/>
        <w:jc w:val="center"/>
      </w:pPr>
      <w:r>
        <w:rPr>
          <w:b/>
          <w:bCs/>
          <w:color w:val="006633"/>
          <w:sz w:val="24"/>
          <w:szCs w:val="24"/>
        </w:rPr>
        <w:t xml:space="preserve">ROI: 36 months | Payback: 8.6 years | 30-year NPV: +$1.14B</w:t>
      </w:r>
    </w:p>
    <w:p>
      <w:r>
        <w:br w:type="page"/>
      </w:r>
    </w:p>
    <w:p>
      <w:pPr>
        <w:pStyle w:val="Heading2"/>
      </w:pPr>
      <w:r>
        <w:t xml:space="preserve">Strategic Partners (Priority Order)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UC Berkeley CIEE (CRITICAL) - Prof. Sasha von Meier | vonmeier@berkeley.edu | Validation authority for θ-TaN safety + grid inertia. Warm entry: Spouse's alumni status.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Siemens Mobility (HIGH) - Tobias Bauer, CEO | Sacramento HQ | Rail OEM integration for 8 Velaro trainsets. Warm entry: "Buy-local Sacramento" partnership for CA state funding.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SMUD (MEDIUM) - Rachel Huang | rhuang@smud.org | Host utility for 300,000-unit pilot in 95817/95820. Intel: CEO Paul Lau retiring Summer 2026 = vision vacuum.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The Mobility House (MEDIUM) - V2G Solutions Team | OpenADR platform integration via ChargePilot. Intel: Recently partnered with Electrohold for BESS tolling (Feb 2026).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CAHSRA (MEDIUM) - Ian Choudri, CEO | High-speed rail scale deployment (24 stations). Intel: Seeking P3 models, HNTB/Bechtel background = speaks "Engineer Geekdom."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Xpansiv (REVENUE) - Ben Stuart, CCO | Carbon credit monetization at $85/ton LCFS through 2030.</w:t>
      </w:r>
    </w:p>
    <w:p>
      <w:pPr>
        <w:pStyle w:val="Heading2"/>
        <w:spacing w:before="480"/>
      </w:pPr>
      <w:r>
        <w:t xml:space="preserve">Patent Strategy (12 Core Patents)</w:t>
      </w:r>
    </w:p>
    <w:p>
      <w:pPr>
        <w:spacing w:after="120"/>
      </w:pPr>
      <w:r>
        <w:rPr>
          <w:b/>
          <w:bCs/>
          <w:color w:val="CC0000"/>
          <w:sz w:val="24"/>
          <w:szCs w:val="24"/>
        </w:rPr>
        <w:t xml:space="preserve">FILE IMMEDIATELY (within 30 days):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#1: θ-TaN Diamagnetic Containment System (H01F 6/06)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#2: HTS REBCO 85kHz Kinetic Flux Recovery (H02K 35/02)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#5: In-Bogie Rail Energy Recovery System (B60L 7/10)</w:t>
      </w:r>
    </w:p>
    <w:p>
      <w:pPr>
        <w:spacing w:before="240"/>
        <w:jc w:val="center"/>
      </w:pPr>
      <w:r>
        <w:rPr>
          <w:b/>
          <w:bCs/>
          <w:color w:val="006633"/>
          <w:sz w:val="26"/>
          <w:szCs w:val="26"/>
        </w:rPr>
        <w:t xml:space="preserve">ESTIMATED IP VALUE: $450M - $750M</w:t>
      </w:r>
    </w:p>
    <w:p>
      <w:r>
        <w:br w:type="page"/>
      </w:r>
    </w:p>
    <w:p>
      <w:pPr>
        <w:pStyle w:val="Heading1"/>
      </w:pPr>
      <w:r>
        <w:t xml:space="preserve">DEPLOYMENT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Units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Partner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Phase I: Sacramento Pilot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2026-2027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300,000 Nano (residential)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SMUD + Berkeley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Phase II: Rail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2027-2028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8 trainsets + 24 stations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Siemens + CAHSRA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Phase III: Continental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2028-2030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Nationwide expansion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CAISO + National Grid</w:t>
            </w:r>
          </w:p>
        </w:tc>
      </w:tr>
    </w:tbl>
    <w:p>
      <w:pPr>
        <w:spacing w:before="720"/>
        <w:jc w:val="center"/>
      </w:pPr>
      <w:r>
        <w:rPr>
          <w:b/>
          <w:bCs/>
          <w:color w:val="CC0000"/>
          <w:sz w:val="36"/>
          <w:szCs w:val="36"/>
        </w:rPr>
        <w:t xml:space="preserve">YOUR FIRST ACTION:</w:t>
      </w:r>
    </w:p>
    <w:p>
      <w:pPr>
        <w:spacing w:after="120"/>
        <w:jc w:val="center"/>
      </w:pPr>
      <w:r>
        <w:rPr>
          <w:b/>
          <w:bCs/>
          <w:color w:val="CC0000"/>
          <w:sz w:val="32"/>
          <w:szCs w:val="32"/>
        </w:rPr>
        <w:t xml:space="preserve">Email Prof. Sasha von Meier THIS WEEK</w:t>
      </w:r>
    </w:p>
    <w:p>
      <w:pPr>
        <w:jc w:val="center"/>
      </w:pPr>
      <w:r>
        <w:rPr>
          <w:i/>
          <w:iCs/>
          <w:color w:val="666666"/>
          <w:sz w:val="26"/>
          <w:szCs w:val="26"/>
        </w:rPr>
        <w:t xml:space="preserve">Everything else depends on Berkeley validation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C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066C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2026-02-11T22:08:52.694Z</dcterms:created>
  <dcterms:modified xsi:type="dcterms:W3CDTF">2026-02-11T22:08:52.695Z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