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360"/>
        <w:jc w:val="center"/>
      </w:pPr>
      <w:r>
        <w:rPr>
          <w:b/>
          <w:bCs/>
          <w:color w:val="CC0000"/>
          <w:sz w:val="48"/>
          <w:szCs w:val="48"/>
        </w:rPr>
        <w:t xml:space="preserve">THE SOVEREIGN GRID INITIATIVE</w:t>
      </w:r>
    </w:p>
    <w:p>
      <w:pPr>
        <w:spacing w:after="240"/>
        <w:jc w:val="center"/>
      </w:pPr>
      <w:r>
        <w:rPr>
          <w:b/>
          <w:bCs/>
          <w:color w:val="0066CC"/>
          <w:sz w:val="32"/>
          <w:szCs w:val="32"/>
        </w:rPr>
        <w:t xml:space="preserve">Mission Statement &amp; Strategic Framework</w:t>
      </w:r>
    </w:p>
    <w:p>
      <w:pPr>
        <w:spacing w:after="960"/>
        <w:jc w:val="center"/>
      </w:pPr>
      <w:r>
        <w:rPr>
          <w:color w:val="666666"/>
          <w:sz w:val="26"/>
          <w:szCs w:val="26"/>
        </w:rPr>
        <w:t xml:space="preserve">California Dealer Logistics Solutions × Graal Industries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MISSION STATEMENT</w:t>
            </w:r>
          </w:p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To deploy 300,000 decentralized Kinetic Energy Hubs across California, creating the world's first superconducting Virtual Power Plant that provides synthetic grid inertia, enables 100% renewable energy stability, and generates permanent revenue streams through carbon credit monetization—while creating 1,000+ green-tech jobs in underserved Sacramento communities through the B.E.S.T. Program.</w:t>
            </w:r>
          </w:p>
        </w:tc>
      </w:tr>
    </w:tbl>
    <w:p>
      <w:pPr>
        <w:spacing w:before="720"/>
        <w:jc w:val="center"/>
      </w:pPr>
      <w:r>
        <w:rPr>
          <w:b/>
          <w:bCs/>
          <w:color w:val="CC0000"/>
          <w:sz w:val="28"/>
          <w:szCs w:val="28"/>
        </w:rPr>
        <w:t xml:space="preserve">VISION</w:t>
      </w:r>
    </w:p>
    <w:p>
      <w:pPr>
        <w:spacing w:after="480"/>
        <w:jc w:val="center"/>
      </w:pPr>
      <w:r>
        <w:rPr>
          <w:i/>
          <w:iCs/>
          <w:color w:val="333333"/>
          <w:sz w:val="22"/>
          <w:szCs w:val="22"/>
        </w:rPr>
        <w:t xml:space="preserve">Transform California's energy infrastructure into a self-healing, zero-carbon grid that scales nationwide, proving kinetic energy storage as the cornerstone of 21st-century renewable power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INNOVATION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First-in-class HTS REBCO superconducting 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COMMUNITY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1,000 jobs in 95817/95820 zip codes via B.E.S.T. Program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SUSTAINABILITY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Zero degradation, unlimited cycle life, 98.5% efficiency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SUMMARY: THE SOVEREIGN GRID INITIATIVE</w:t>
      </w:r>
    </w:p>
    <w:p>
      <w:pPr>
        <w:spacing w:after="240"/>
      </w:pPr>
      <w:r>
        <w:rPr>
          <w:sz w:val="26"/>
          <w:szCs w:val="26"/>
        </w:rPr>
        <w:t xml:space="preserve">California faces a critical infrastructure challenge: the Inertia Gap. As the state aggressively pursues 2030 Zero-Carbon mandates, traditional solar and chemical battery storage systems lack the physical momentum (synthetic inertia) required to stabilize the grid during rapid load shifts or frequency drops.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The Sovereign Engine solves this through a revolutionary Alpha/Omega architecture: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ALPHA PHASE: High-flux energy harvesting using HTS REBCO superconductors at 85kHz, capturing wasted kinetic energy from Siemens rail platforms, CDLS logistics fleets, and residential EV discharge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OMEGA PHASE: Coordinated millisecond-response discharge into the CAISO grid via OpenADR 2.0b, creating a Virtual Power Plant capable of instantaneous frequency regulation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THETA-TaN CONTAINMENT: Every unit encapsulated in Theta-Phase Tantalum Nitride diamagnetic shielding (2800°C thermal fail-safe, 95% diamagnetic, total EMI exclusion)</w:t>
      </w:r>
    </w:p>
    <w:p>
      <w:pPr>
        <w:pStyle w:val="Heading2"/>
        <w:spacing w:before="360"/>
      </w:pPr>
      <w:r>
        <w:t xml:space="preserve">Strategic Partnership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UC Berkeley CIEE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Validation Authority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Prof. Sasha von Meier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Siemens Mobility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Rail OEM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Tobias Bauer, CEO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66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SMUD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Pilot Host Utility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Rachel Huang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The Mobility 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V2G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V2G Solutions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CAHSRA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Scale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Ian Choudri, CEO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Xpansiv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Carbon Monetization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Ben Stuart, CCO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006633"/>
                <w:sz w:val="20"/>
                <w:szCs w:val="20"/>
              </w:rPr>
              <w:t xml:space="preserve">REVENUE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FINANCIAL ARCHITECTURE: CAPEX-NEUTRAL DEPLOYMENT</w:t>
      </w:r>
    </w:p>
    <w:p>
      <w:pPr>
        <w:spacing w:after="240"/>
      </w:pPr>
      <w:r>
        <w:rPr>
          <w:sz w:val="24"/>
          <w:szCs w:val="24"/>
        </w:rPr>
        <w:t xml:space="preserve">The Sovereign Grid Initiative is structured to be CapEx-Neutral for public partners through strategic layering of federal tax credits, carbon credit arbitrage, and V2G revenue streams: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Revenue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Mechanism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IRS Section 13701 (Direct Pay) - 30% Tax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CapEx 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Manufacturing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Carbon Credit Arbitrage (LCFS via Xpansiv)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6633"/>
                <w:sz w:val="24"/>
                <w:szCs w:val="24"/>
              </w:rPr>
              <w:t xml:space="preserve">$186M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Omega Trading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V2G Revenue (CAISO Peak Demand Energy Sales)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6633"/>
                <w:sz w:val="24"/>
                <w:szCs w:val="24"/>
              </w:rPr>
              <w:t xml:space="preserve">$540M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OpenADR 2.0b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TOTAL ANNUAL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$726M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Recurring</w:t>
            </w:r>
          </w:p>
        </w:tc>
      </w:tr>
    </w:tbl>
    <w:p>
      <w:pPr>
        <w:spacing w:before="360"/>
        <w:jc w:val="center"/>
      </w:pPr>
      <w:r>
        <w:rPr>
          <w:b/>
          <w:bCs/>
          <w:color w:val="006633"/>
          <w:sz w:val="26"/>
          <w:szCs w:val="26"/>
        </w:rPr>
        <w:t xml:space="preserve">ROI ACHIEVEMENT: Full project ROI within 36 months, followed by permanent high-margin revenue stream for the public-private partnership.</w:t>
      </w:r>
    </w:p>
    <w:p>
      <w:r>
        <w:br w:type="page"/>
      </w:r>
    </w:p>
    <w:p>
      <w:pPr>
        <w:pStyle w:val="Heading1"/>
      </w:pPr>
      <w:r>
        <w:t xml:space="preserve">CRITICAL NEXT STEPS: 90-DAY EXECUTION PLAN</w:t>
      </w:r>
    </w:p>
    <w:p>
      <w:pPr>
        <w:spacing w:after="180"/>
      </w:pPr>
      <w:r>
        <w:rPr>
          <w:b/>
          <w:bCs/>
          <w:color w:val="CC0000"/>
          <w:sz w:val="28"/>
          <w:szCs w:val="28"/>
        </w:rPr>
        <w:t xml:space="preserve">IMMEDIATE PRIORITIES (Days 1-30)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UC Berkeley CIEE Outreach: Contact Prof. Sasha von Meier by February 10, 2026 with validation request. Use spouse's alumni connection as warm entry. Target: Secure Sovereign Audit commitment.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Material Procurement: Order θ-TaN sheets from Vulcan Metal Group/AEM Metal, HTS REBCO tape from American Superconductor (500m minimum), OpenADR VEN gateways (2 units for pilot).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B.E.S.T. Program Coordination: Initiate workforce training pipeline with Sacramento City Council. Target: 500 trainees for Nano-Core assembly certification.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Siemens Mobility Contact: Reach out to Tobias Bauer with "buy-local" Sacramento partnership proposal for Mireo bogie integration. Emphasize CA state funding requirements alignment.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SMUD Grid Innovation Meeting: Request Technical Scoping Session with Rachel Huang for 95817/95820 pilot deployment. Present 300,000-unit VPP architecture.</w:t>
      </w:r>
    </w:p>
    <w:p>
      <w:pPr>
        <w:spacing w:after="180"/>
      </w:pPr>
      <w:r>
        <w:rPr>
          <w:b/>
          <w:bCs/>
          <w:color w:val="0066CC"/>
          <w:sz w:val="28"/>
          <w:szCs w:val="28"/>
        </w:rPr>
        <w:t xml:space="preserve">SHORT-TERM MILESTONES (Days 31-60)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Prototype Assembly: Complete first Nano unit (15 kWh) following 6-day SOP protocol. Achieve &lt;10⁻⁵ mbar vacuum, verify zero REBCO resistance at &lt;90K.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Berkeley Validation Testing: Submit prototype to CIEE for θ-TaN safety certification, grid inertia modeling, OpenADR integration verification.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CAHSRA Engagement: Present to Ian Choudri with Berkeley validation data. Propose 8 Velaro trainsets + 24 station installations as "storage buffer" for 100% renewable mandate.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Xpansiv Partnership: Secure Omega credit trading agreement. Lock $85/ton pricing through 2030 forward contracts for LCFS revenue stream.</w:t>
      </w:r>
    </w:p>
    <w:p>
      <w:pPr>
        <w:spacing w:after="180"/>
      </w:pPr>
      <w:r>
        <w:rPr>
          <w:b/>
          <w:bCs/>
          <w:color w:val="006633"/>
          <w:sz w:val="28"/>
          <w:szCs w:val="28"/>
        </w:rPr>
        <w:t xml:space="preserve">MEDIUM-TERM OBJECTIVES (Days 61-90)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Sacramento Assembly Hub: Break ground on manufacturing facility in 95817/95820 area. Capacity: 1,000 Nano units/month, employment: 500+ B.E.S.T. Program trainees.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SMUD Pilot Launch: Deploy first 100 residential Nano units in 95817/95820 zip codes. Demonstrate V2G capability, collect real-time telemetry via OpenADR 2.0b.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IRS Direct Pay Application: Submit Section 13701 30% tax credit claim with Berkeley validation report and B.E.S.T. Program compliance documentation.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Continental Expansion Planning: Initiate Phase II feasibility studies for Arizona (+40%), Texas (+180%), Florida (+320%) deployments based on Sacramento pilot performance.</w:t>
      </w:r>
    </w:p>
    <w:p>
      <w:r>
        <w:br w:type="page"/>
      </w:r>
    </w:p>
    <w:p>
      <w:pPr>
        <w:pStyle w:val="Heading1"/>
      </w:pPr>
      <w:r>
        <w:t xml:space="preserve">SUCCESS METRICS &amp; VALIDATION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Technical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Business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Social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• Zero REBCO resistance &lt;90K</w:t>
            </w:r>
          </w:p>
          <w:p>
            <w:r>
              <w:t xml:space="preserve">• &lt;10⁻⁵ mbar vacuum hold</w:t>
            </w:r>
          </w:p>
          <w:p>
            <w:r>
              <w:t xml:space="preserve">• 98.5% round-trip efficiency</w:t>
            </w:r>
          </w:p>
          <w:p>
            <w:r>
              <w:t xml:space="preserve">• &lt;10ms grid response time</w:t>
            </w:r>
          </w:p>
          <w:p>
            <w:r>
              <w:t xml:space="preserve">• Berkeley CIEE certification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• $186M carbon credit revenue</w:t>
            </w:r>
          </w:p>
          <w:p>
            <w:r>
              <w:t xml:space="preserve">• $540M V2G revenue stream</w:t>
            </w:r>
          </w:p>
          <w:p>
            <w:r>
              <w:t xml:space="preserve">• 36-month ROI achievement</w:t>
            </w:r>
          </w:p>
          <w:p>
            <w:r>
              <w:t xml:space="preserve">• 30% IRS credit secured</w:t>
            </w:r>
          </w:p>
          <w:p>
            <w:r>
              <w:t xml:space="preserve">• Xpansiv partnership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• 1,000 B.E.S.T. jobs created</w:t>
            </w:r>
          </w:p>
          <w:p>
            <w:r>
              <w:t xml:space="preserve">• 95817/95820 deployment</w:t>
            </w:r>
          </w:p>
          <w:p>
            <w:r>
              <w:t xml:space="preserve">• Living wage standard met</w:t>
            </w:r>
          </w:p>
          <w:p>
            <w:r>
              <w:t xml:space="preserve">• Energy bill reduction</w:t>
            </w:r>
          </w:p>
          <w:p>
            <w:r>
              <w:t xml:space="preserve">• Community ownership stake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CC0000"/>
          <w:sz w:val="32"/>
          <w:szCs w:val="32"/>
        </w:rPr>
        <w:t xml:space="preserve">THE SOVEREIGN GRID INITIATIVE</w:t>
      </w:r>
    </w:p>
    <w:p>
      <w:pPr>
        <w:spacing w:after="120"/>
        <w:jc w:val="center"/>
      </w:pPr>
      <w:r>
        <w:rPr>
          <w:color w:val="0066CC"/>
          <w:sz w:val="26"/>
          <w:szCs w:val="26"/>
        </w:rPr>
        <w:t xml:space="preserve">Transforming California's Energy Infrastructure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One Kinetic Hub at a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66C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2026-02-11T22:02:20.814Z</dcterms:created>
  <dcterms:modified xsi:type="dcterms:W3CDTF">2026-02-11T22:02:20.815Z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