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35EF612" wp14:textId="77777777">
      <w:pPr>
        <w:spacing w:before="2400" w:after="240"/>
        <w:jc w:val="center"/>
      </w:pPr>
      <w:r>
        <w:rPr>
          <w:b/>
          <w:bCs/>
          <w:color w:val="CC0000"/>
          <w:sz w:val="48"/>
          <w:szCs w:val="48"/>
        </w:rPr>
        <w:t xml:space="preserve">SOVEREIGN ENGINE</w:t>
      </w:r>
    </w:p>
    <w:p xmlns:wp14="http://schemas.microsoft.com/office/word/2010/wordml" w14:paraId="5A4BAADE" wp14:textId="77777777">
      <w:pPr>
        <w:spacing w:after="960"/>
        <w:jc w:val="center"/>
      </w:pPr>
      <w:r>
        <w:rPr>
          <w:b/>
          <w:bCs/>
          <w:color w:val="0066CC"/>
          <w:sz w:val="32"/>
          <w:szCs w:val="32"/>
        </w:rPr>
        <w:t xml:space="preserve">Patent Portfolio &amp; Intellectual Property Strategy</w:t>
      </w:r>
    </w:p>
    <w:p xmlns:wp14="http://schemas.microsoft.com/office/word/2010/wordml" w14:paraId="369B0BB2" wp14:textId="77777777">
      <w:pPr>
        <w:pStyle w:val="Heading1"/>
      </w:pPr>
      <w:r>
        <w:t xml:space="preserve">CORE PATENTABLE INNOVATIONS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60"/>
        <w:gridCol w:w="2750"/>
        <w:gridCol w:w="2750"/>
      </w:tblGrid>
      <w:tr xmlns:wp14="http://schemas.microsoft.com/office/word/2010/wordml" w14:paraId="03E84BE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AFC7B24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9A6A7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C3FF0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Advantage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3FBEB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Patent Classification</w:t>
            </w:r>
          </w:p>
        </w:tc>
      </w:tr>
      <w:tr xmlns:wp14="http://schemas.microsoft.com/office/word/2010/wordml" w14:paraId="3F0F5F7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49841BE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1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1CFFD6" wp14:textId="77777777">
            <w:r>
              <w:t xml:space="preserve">θ-TaN Diamagnetic Containment System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66D16" wp14:textId="77777777">
            <w:r>
              <w:t xml:space="preserve">2800°C thermal limit, 95% diamagnetic coefficient, EMI exclusion for residential deployment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68775" wp14:textId="77777777">
            <w:r>
              <w:t xml:space="preserve">H01F 6/06 (Superconducting coil shielding)</w:t>
            </w:r>
          </w:p>
        </w:tc>
      </w:tr>
      <w:tr xmlns:wp14="http://schemas.microsoft.com/office/word/2010/wordml" w14:paraId="45755B0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8F999B5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2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E0B36" wp14:textId="77777777">
            <w:r>
              <w:t xml:space="preserve">HTS REBCO 85kHz Kinetic Flux Recovery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9DF53" wp14:textId="77777777">
            <w:r>
              <w:t xml:space="preserve">Instantaneous flux absorption at 220mph braking (8-12 MW), 98.5% efficiency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578D8" wp14:textId="77777777">
            <w:r>
              <w:t xml:space="preserve">H02K 35/02 (Superconducting generators)</w:t>
            </w:r>
          </w:p>
        </w:tc>
      </w:tr>
      <w:tr xmlns:wp14="http://schemas.microsoft.com/office/word/2010/wordml" w14:paraId="7F3C9D2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FCD5EC4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3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586EF" wp14:textId="77777777">
            <w:r>
              <w:t xml:space="preserve">Pentagonal Spiral REBCO Coil Winding Method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26340" wp14:textId="77777777">
            <w:r>
              <w:t xml:space="preserve">25mm minimum bend radius prevents ceramic fracture, optimizes magnetic field uniformity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4759D" wp14:textId="77777777">
            <w:r>
              <w:t xml:space="preserve">H01F 41/04 (Superconducting coil construction)</w:t>
            </w:r>
          </w:p>
        </w:tc>
      </w:tr>
      <w:tr xmlns:wp14="http://schemas.microsoft.com/office/word/2010/wordml" w14:paraId="01967BE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598DEE6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4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292CB" wp14:textId="77777777">
            <w:r>
              <w:t xml:space="preserve">OpenADR 2.0b Synthetic Inertia Protocol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FD38E" wp14:textId="77777777">
            <w:r>
              <w:t xml:space="preserve">&lt;10ms grid response for CAISO frequency regulation, TLS 1.3 mutual authentication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1F9FB" wp14:textId="77777777">
            <w:r>
              <w:t xml:space="preserve">G06Q 50/06 (Energy distribution systems)</w:t>
            </w:r>
          </w:p>
        </w:tc>
      </w:tr>
      <w:tr xmlns:wp14="http://schemas.microsoft.com/office/word/2010/wordml" w14:paraId="668404A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8941E47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5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0951D" wp14:textId="77777777">
            <w:r>
              <w:t xml:space="preserve">In-Bogie Rail Energy Recovery System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29C64" wp14:textId="77777777">
            <w:r>
              <w:t xml:space="preserve">25% traction recovery @ 220mph (vs 12% BESS), zero additional footprint, Siemens Mireo integration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5B94D" wp14:textId="77777777">
            <w:r>
              <w:t xml:space="preserve">B60L 7/10 (Rail vehicle regenerative braking)</w:t>
            </w:r>
          </w:p>
        </w:tc>
      </w:tr>
      <w:tr xmlns:wp14="http://schemas.microsoft.com/office/word/2010/wordml" w14:paraId="29BC3F8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9B4EA11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6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EBAC1" wp14:textId="77777777">
            <w:r>
              <w:t xml:space="preserve">101mm Stud-Bay Residential Integration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0F327" wp14:textId="77777777">
            <w:r>
              <w:t xml:space="preserve">Nano form factor (15 kWh), fits standard 14.5" stud bay, safe for occupied structures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D4703" wp14:textId="77777777">
            <w:r>
              <w:t xml:space="preserve">H02J 3/28 (Distributed energy storage)</w:t>
            </w:r>
          </w:p>
        </w:tc>
      </w:tr>
      <w:tr xmlns:wp14="http://schemas.microsoft.com/office/word/2010/wordml" w14:paraId="5B9FD98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5697EEC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7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3AA7F6" wp14:textId="77777777">
            <w:r>
              <w:t xml:space="preserve">Blockchain Carbon Credit Settlement System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CBFF5" wp14:textId="77777777">
            <w:r>
              <w:t xml:space="preserve">Real-time LCFS credit monetization via Xpansiv Omega platform, automated M&amp;V auditing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FB48A" wp14:textId="77777777">
            <w:r>
              <w:t xml:space="preserve">G06Q 20/38 (Blockchain payment systems)</w:t>
            </w:r>
          </w:p>
        </w:tc>
      </w:tr>
      <w:tr xmlns:wp14="http://schemas.microsoft.com/office/word/2010/wordml" w14:paraId="05F0C67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B0A208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8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C31C3" wp14:textId="77777777">
            <w:r>
              <w:t xml:space="preserve">Energy Banking Settlement Protocol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CBDC7" wp14:textId="77777777">
            <w:r>
              <w:t xml:space="preserve">CDLS platform integration, kinetic energy tokens for dealer network, TimescaleDB settlement logic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C6433" wp14:textId="77777777">
            <w:r>
              <w:t xml:space="preserve">G06Q 40/04 (Banking and settlement)</w:t>
            </w:r>
          </w:p>
        </w:tc>
      </w:tr>
      <w:tr xmlns:wp14="http://schemas.microsoft.com/office/word/2010/wordml" w14:paraId="30D04B6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B2B7304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9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F5A83" wp14:textId="77777777">
            <w:r>
              <w:t xml:space="preserve">Hybrid HTSC/PM Bearing System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96C9F" wp14:textId="77777777">
            <w:r>
              <w:t xml:space="preserve">5mm levitation gap, superconducting magnetic suspension, 50,000 RPM operation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88D8C" wp14:textId="77777777">
            <w:r>
              <w:t xml:space="preserve">F16C 32/04 (Magnetic bearings)</w:t>
            </w:r>
          </w:p>
        </w:tc>
      </w:tr>
      <w:tr xmlns:wp14="http://schemas.microsoft.com/office/word/2010/wordml" w14:paraId="30AEE9A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D369756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10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0CDAC" wp14:textId="77777777">
            <w:r>
              <w:t xml:space="preserve">Mobile Charging Hub with Omega Discharge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7E836" wp14:textId="77777777">
            <w:r>
              <w:t xml:space="preserve">B.E.S.T. Program mobile units, off-grid power + grid stabilization when parked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5ADA0" wp14:textId="77777777">
            <w:r>
              <w:t xml:space="preserve">H02J 7/00 (Mobile charging stations)</w:t>
            </w:r>
          </w:p>
        </w:tc>
      </w:tr>
      <w:tr xmlns:wp14="http://schemas.microsoft.com/office/word/2010/wordml" w14:paraId="33E1D30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37E36C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11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BF458" wp14:textId="77777777">
            <w:r>
              <w:t xml:space="preserve">Vacuum-Sealed Kinetic Flywheel Assembly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2BAF5" wp14:textId="77777777">
            <w:r>
              <w:t xml:space="preserve">&lt;10⁻⁵ mbar pressure, solid-state ion pump, zero-drag operation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72343" wp14:textId="77777777">
            <w:r>
              <w:t xml:space="preserve">F03G 3/08 (Flywheel energy storage)</w:t>
            </w:r>
          </w:p>
        </w:tc>
      </w:tr>
      <w:tr xmlns:wp14="http://schemas.microsoft.com/office/word/2010/wordml" w14:paraId="5AD93782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B73E586" wp14:textId="77777777"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12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7C8FF" wp14:textId="77777777">
            <w:r>
              <w:t xml:space="preserve">Distributed VPP Coordination Algorithm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827EB" wp14:textId="77777777">
            <w:r>
              <w:t xml:space="preserve">300,000-node synthetic inertia network, CAISO frequency regulation, millisecond coordination</w:t>
            </w:r>
          </w:p>
        </w:tc>
        <w:tc>
          <w:tcPr>
            <w:tcW w:w="27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7AE80" wp14:textId="77777777">
            <w:r>
              <w:t xml:space="preserve">H02J 3/00 (Virtual power plants)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7B5B4C24" wp14:textId="77777777">
      <w:pPr>
        <w:pStyle w:val="Heading1"/>
      </w:pPr>
      <w:r>
        <w:t xml:space="preserve">INTELLECTUAL PROPERTY STRATEGY</w:t>
      </w:r>
    </w:p>
    <w:p xmlns:wp14="http://schemas.microsoft.com/office/word/2010/wordml" w14:paraId="10AE4DF9" wp14:textId="77777777">
      <w:pPr>
        <w:pStyle w:val="Heading2"/>
      </w:pPr>
      <w:r>
        <w:t xml:space="preserve">Filing Priority</w:t>
      </w:r>
    </w:p>
    <w:p xmlns:wp14="http://schemas.microsoft.com/office/word/2010/wordml" w14:paraId="3527EB10" wp14:textId="77777777">
      <w:pPr>
        <w:spacing w:after="120"/>
      </w:pPr>
      <w:r>
        <w:rPr>
          <w:b/>
          <w:bCs/>
          <w:color w:val="CC0000"/>
          <w:sz w:val="26"/>
          <w:szCs w:val="26"/>
        </w:rPr>
        <w:t xml:space="preserve">IMMEDIATE PRIORITY (File within 30 days):</w:t>
      </w:r>
    </w:p>
    <w:p xmlns:wp14="http://schemas.microsoft.com/office/word/2010/wordml" w14:paraId="5421A372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#1: θ-TaN Diamagnetic Containment System (HIGHEST PRIORITY - core safety innovation)</w:t>
      </w:r>
    </w:p>
    <w:p xmlns:wp14="http://schemas.microsoft.com/office/word/2010/wordml" w14:paraId="6892F2DE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#2: HTS REBCO 85kHz Kinetic Flux Recovery (core technical differentiation)</w:t>
      </w:r>
    </w:p>
    <w:p xmlns:wp14="http://schemas.microsoft.com/office/word/2010/wordml" w14:paraId="68D0D117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#5: In-Bogie Rail Energy Recovery System (Siemens partnership enabler)</w:t>
      </w:r>
    </w:p>
    <w:p xmlns:wp14="http://schemas.microsoft.com/office/word/2010/wordml" w14:paraId="38242C33" wp14:textId="77777777">
      <w:pPr>
        <w:spacing w:after="120"/>
      </w:pPr>
      <w:r>
        <w:rPr>
          <w:b/>
          <w:bCs/>
          <w:color w:val="0066CC"/>
          <w:sz w:val="26"/>
          <w:szCs w:val="26"/>
        </w:rPr>
        <w:t xml:space="preserve">NEAR-TERM PRIORITY (File within 60 days):</w:t>
      </w:r>
    </w:p>
    <w:p xmlns:wp14="http://schemas.microsoft.com/office/word/2010/wordml" w14:paraId="3328C4A4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#4: OpenADR 2.0b Synthetic Inertia Protocol (grid integration)</w:t>
      </w:r>
    </w:p>
    <w:p xmlns:wp14="http://schemas.microsoft.com/office/word/2010/wordml" w14:paraId="29B8AC02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#6: 101mm Stud-Bay Residential Integration (market scalability)</w:t>
      </w:r>
    </w:p>
    <w:p xmlns:wp14="http://schemas.microsoft.com/office/word/2010/wordml" w14:paraId="4AAAAC90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#9: Hybrid HTSC/PM Bearing System (operational reliability)</w:t>
      </w:r>
    </w:p>
    <w:p xmlns:wp14="http://schemas.microsoft.com/office/word/2010/wordml" w14:paraId="07967309" wp14:textId="77777777">
      <w:pPr>
        <w:spacing w:after="120"/>
      </w:pPr>
      <w:r>
        <w:rPr>
          <w:b/>
          <w:bCs/>
          <w:color w:val="006633"/>
          <w:sz w:val="26"/>
          <w:szCs w:val="26"/>
        </w:rPr>
        <w:t xml:space="preserve">FUTURE PRIORITY (File within 90 days):</w:t>
      </w:r>
    </w:p>
    <w:p xmlns:wp14="http://schemas.microsoft.com/office/word/2010/wordml" w14:paraId="67F262FD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Remaining patents #3, #7, #8, #10, #11, #12 (business model and integration patents)</w:t>
      </w:r>
    </w:p>
    <w:p xmlns:wp14="http://schemas.microsoft.com/office/word/2010/wordml" w14:paraId="6A0968EE" wp14:textId="77777777">
      <w:pPr>
        <w:pStyle w:val="Heading2"/>
        <w:spacing w:before="480"/>
      </w:pPr>
      <w:r>
        <w:t xml:space="preserve">Geographic Filing Strategy</w:t>
      </w:r>
    </w:p>
    <w:p xmlns:wp14="http://schemas.microsoft.com/office/word/2010/wordml" w14:paraId="6575CF47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United States: File all 12 patents with USPTO (provisional applications first for rapid filing)</w:t>
      </w:r>
    </w:p>
    <w:p xmlns:wp14="http://schemas.microsoft.com/office/word/2010/wordml" w14:paraId="24FA9585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PCT (Patent Cooperation Treaty): International application for Patents #1, #2, #4, #5 (highest commercial value)</w:t>
      </w:r>
    </w:p>
    <w:p xmlns:wp14="http://schemas.microsoft.com/office/word/2010/wordml" w14:paraId="12D54301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Priority Countries: China, EU (Germany, France), Japan, South Korea (HTS manufacturing hubs)</w:t>
      </w:r>
    </w:p>
    <w:p xmlns:wp14="http://schemas.microsoft.com/office/word/2010/wordml" w14:paraId="54B90B89" wp14:textId="77777777">
      <w:pPr>
        <w:spacing w:before="480"/>
        <w:jc w:val="center"/>
      </w:pPr>
      <w:r>
        <w:rPr>
          <w:b/>
          <w:bCs/>
          <w:color w:val="CC0000"/>
          <w:sz w:val="28"/>
          <w:szCs w:val="28"/>
        </w:rPr>
        <w:t xml:space="preserve">ESTIMATED IP PORTFOLIO VALUE: $450M - $750M based on comparable superconducting energy storage patents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3efe3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bd8c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93005F7"/>
  <w15:docId w15:val="{A8365B8F-504A-4AE1-926C-7D325212DEBA}"/>
  <w:rsids>
    <w:rsidRoot w:val="1361007A"/>
    <w:rsid w:val="1361007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CC0000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0066CC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Umanzor</lastModifiedBy>
  <revision>2</revision>
  <dcterms:created xsi:type="dcterms:W3CDTF">2026-02-11T22:05:14.7450000Z</dcterms:created>
  <dcterms:modified xsi:type="dcterms:W3CDTF">2026-06-14T19:11:19.6260411Z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