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color w:val="CC0000"/>
          <w:sz w:val="48"/>
          <w:szCs w:val="48"/>
        </w:rPr>
        <w:t xml:space="preserve">SOVEREIGN ENGINE</w:t>
      </w:r>
    </w:p>
    <w:p>
      <w:pPr>
        <w:spacing w:after="960"/>
        <w:jc w:val="center"/>
      </w:pPr>
      <w:r>
        <w:rPr>
          <w:b/>
          <w:bCs/>
          <w:color w:val="0066CC"/>
          <w:sz w:val="32"/>
          <w:szCs w:val="32"/>
        </w:rPr>
        <w:t xml:space="preserve">Patent Portfolio &amp; Intellectual Property Strategy</w:t>
      </w:r>
    </w:p>
    <w:p>
      <w:pPr>
        <w:pStyle w:val="Heading1"/>
      </w:pPr>
      <w:r>
        <w:t xml:space="preserve">CORE PATENTABLE INNOVATIONS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60"/>
        <w:gridCol w:w="2750"/>
        <w:gridCol w:w="275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Innovation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Technical Advantage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Patent Classification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θ-TaN Diamagnetic Containment System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2800°C thermal limit, 95% diamagnetic coefficient, EMI exclusion for residential deployment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H01F 6/06 (Superconducting coil shielding)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66CC"/>
                <w:sz w:val="24"/>
                <w:szCs w:val="24"/>
              </w:rPr>
              <w:t xml:space="preserve">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HTS REBCO 85kHz Kinetic Flux Recovery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Instantaneous flux absorption at 220mph braking (8-12 MW), 98.5% efficiency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H02K 35/02 (Superconducting generators)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Pentagonal Spiral REBCO Coil Winding Method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25mm minimum bend radius prevents ceramic fracture, optimizes magnetic field uniformity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H01F 41/04 (Superconducting coil construction)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66CC"/>
                <w:sz w:val="24"/>
                <w:szCs w:val="24"/>
              </w:rPr>
              <w:t xml:space="preserve">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OpenADR 2.0b Synthetic Inertia Protocol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&lt;10ms grid response for CAISO frequency regulation, TLS 1.3 mutual authentication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G06Q 50/06 (Energy distribution systems)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In-Bogie Rail Energy Recovery System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25% traction recovery @ 220mph (vs 12% BESS), zero additional footprint, Siemens Mireo integration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B60L 7/10 (Rail vehicle regenerative braking)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66CC"/>
                <w:sz w:val="24"/>
                <w:szCs w:val="24"/>
              </w:rPr>
              <w:t xml:space="preserve">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101mm Stud-Bay Residential Integration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Nano form factor (15 kWh), fits standard 14.5" stud bay, safe for occupied structures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H02J 3/28 (Distributed energy storage)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Blockchain Carbon Credit Settlement System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Real-time LCFS credit monetization via Xpansiv Omega platform, automated M&amp;V auditing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G06Q 20/38 (Blockchain payment systems)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66CC"/>
                <w:sz w:val="24"/>
                <w:szCs w:val="24"/>
              </w:rPr>
              <w:t xml:space="preserve">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Energy Banking Settlement Protocol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CDLS platform integration, kinetic energy tokens for dealer network, TimescaleDB settlement logic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G06Q 40/04 (Banking and settlement)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Hybrid HTSC/PM Bearing System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5mm levitation gap, superconducting magnetic suspension, 50,000 RPM operation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F16C 32/04 (Magnetic bearings)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66CC"/>
                <w:sz w:val="24"/>
                <w:szCs w:val="24"/>
              </w:rPr>
              <w:t xml:space="preserve">10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Mobile Charging Hub with Omega Discharge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B.E.S.T. Program mobile units, off-grid power + grid stabilization when parked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H02J 7/00 (Mobile charging stations)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11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Vacuum-Sealed Kinetic Flywheel Assembly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&lt;10⁻⁵ mbar pressure, solid-state ion pump, zero-drag operation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F03G 3/08 (Flywheel energy storage)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66CC"/>
                <w:sz w:val="24"/>
                <w:szCs w:val="24"/>
              </w:rPr>
              <w:t xml:space="preserve">12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Distributed VPP Coordination Algorithm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300,000-node synthetic inertia network, CAISO frequency regulation, millisecond coordination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H02J 3/00 (Virtual power plants)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INTELLECTUAL PROPERTY STRATEGY</w:t>
      </w:r>
    </w:p>
    <w:p>
      <w:pPr>
        <w:pStyle w:val="Heading2"/>
      </w:pPr>
      <w:r>
        <w:t xml:space="preserve">Filing Priority</w:t>
      </w:r>
    </w:p>
    <w:p>
      <w:pPr>
        <w:spacing w:after="120"/>
      </w:pPr>
      <w:r>
        <w:rPr>
          <w:b/>
          <w:bCs/>
          <w:color w:val="CC0000"/>
          <w:sz w:val="26"/>
          <w:szCs w:val="26"/>
        </w:rPr>
        <w:t xml:space="preserve">IMMEDIATE PRIORITY (File within 30 days):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Patent #1: θ-TaN Diamagnetic Containment System (HIGHEST PRIORITY - core safety innovation)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Patent #2: HTS REBCO 85kHz Kinetic Flux Recovery (core technical differentiation)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Patent #5: In-Bogie Rail Energy Recovery System (Siemens partnership enabler)</w:t>
      </w:r>
    </w:p>
    <w:p>
      <w:pPr>
        <w:spacing w:after="120"/>
      </w:pPr>
      <w:r>
        <w:rPr>
          <w:b/>
          <w:bCs/>
          <w:color w:val="0066CC"/>
          <w:sz w:val="26"/>
          <w:szCs w:val="26"/>
        </w:rPr>
        <w:t xml:space="preserve">NEAR-TERM PRIORITY (File within 60 days):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Patent #4: OpenADR 2.0b Synthetic Inertia Protocol (grid integration)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Patent #6: 101mm Stud-Bay Residential Integration (market scalability)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Patent #9: Hybrid HTSC/PM Bearing System (operational reliability)</w:t>
      </w:r>
    </w:p>
    <w:p>
      <w:pPr>
        <w:spacing w:after="120"/>
      </w:pPr>
      <w:r>
        <w:rPr>
          <w:b/>
          <w:bCs/>
          <w:color w:val="006633"/>
          <w:sz w:val="26"/>
          <w:szCs w:val="26"/>
        </w:rPr>
        <w:t xml:space="preserve">FUTURE PRIORITY (File within 90 days):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Remaining patents #3, #7, #8, #10, #11, #12 (business model and integration patents)</w:t>
      </w:r>
    </w:p>
    <w:p>
      <w:pPr>
        <w:pStyle w:val="Heading2"/>
        <w:spacing w:before="480"/>
      </w:pPr>
      <w:r>
        <w:t xml:space="preserve">Geographic Filing Strategy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United States: File all 12 patents with USPTO (provisional applications first for rapid filing)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PCT (Patent Cooperation Treaty): International application for Patents #1, #2, #4, #5 (highest commercial value)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Priority Countries: China, EU (Germany, France), Japan, South Korea (HTS manufacturing hubs)</w:t>
      </w:r>
    </w:p>
    <w:p>
      <w:pPr>
        <w:spacing w:before="480"/>
        <w:jc w:val="center"/>
      </w:pPr>
      <w:r>
        <w:rPr>
          <w:b/>
          <w:bCs/>
          <w:color w:val="CC0000"/>
          <w:sz w:val="28"/>
          <w:szCs w:val="28"/>
        </w:rPr>
        <w:t xml:space="preserve">ESTIMATED IP PORTFOLIO VALUE: $450M - $750M based on comparable superconducting energy storage patents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2026-02-11T22:05:14.745Z</dcterms:created>
  <dcterms:modified xsi:type="dcterms:W3CDTF">2026-02-11T22:05:14.746Z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