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4"/>
        </w:rPr>
        <w:t>CENTRO UNIVERSITÁRIO DAS FACULDADES METROPOLITANAS UNIDAS</w:t>
      </w:r>
    </w:p>
    <w:p>
      <w:pPr>
        <w:spacing w:after="80"/>
        <w:jc w:val="center"/>
      </w:pPr>
      <w:r>
        <w:rPr>
          <w:rFonts w:ascii="Times New Roman" w:hAnsi="Times New Roman"/>
          <w:b/>
          <w:sz w:val="24"/>
        </w:rPr>
        <w:t>UniFECAF</w:t>
      </w:r>
    </w:p>
    <w:p/>
    <w:p/>
    <w:p>
      <w:pPr>
        <w:spacing w:after="80"/>
        <w:jc w:val="center"/>
      </w:pPr>
      <w:r>
        <w:rPr>
          <w:rFonts w:ascii="Times New Roman" w:hAnsi="Times New Roman"/>
          <w:b w:val="0"/>
          <w:sz w:val="24"/>
        </w:rPr>
        <w:t>Jose Julio Alves Junior</w:t>
      </w:r>
    </w:p>
    <w:p/>
    <w:p/>
    <w:p/>
    <w:p>
      <w:pPr>
        <w:spacing w:after="80"/>
        <w:jc w:val="center"/>
      </w:pPr>
      <w:r>
        <w:rPr>
          <w:rFonts w:ascii="Times New Roman" w:hAnsi="Times New Roman"/>
          <w:b/>
          <w:sz w:val="28"/>
        </w:rPr>
        <w:t>COTAÇÃO ONLINE</w:t>
      </w:r>
    </w:p>
    <w:p>
      <w:pPr>
        <w:spacing w:after="80"/>
        <w:jc w:val="center"/>
      </w:pPr>
      <w:r>
        <w:rPr>
          <w:rFonts w:ascii="Times New Roman" w:hAnsi="Times New Roman"/>
          <w:b/>
          <w:sz w:val="24"/>
        </w:rPr>
        <w:t>Central Inteligente de Monitoramento de Cotações de Moedas</w:t>
      </w:r>
    </w:p>
    <w:p/>
    <w:p>
      <w:pPr>
        <w:spacing w:after="80"/>
        <w:jc w:val="center"/>
      </w:pPr>
      <w:r>
        <w:rPr>
          <w:rFonts w:ascii="Times New Roman" w:hAnsi="Times New Roman"/>
          <w:b w:val="0"/>
          <w:sz w:val="24"/>
        </w:rPr>
        <w:t>Parte Teórica – Análise e Discussão</w:t>
      </w:r>
    </w:p>
    <w:p/>
    <w:p/>
    <w:p/>
    <w:p/>
    <w:p/>
    <w:p/>
    <w:p>
      <w:pPr>
        <w:spacing w:after="80"/>
        <w:jc w:val="center"/>
      </w:pPr>
      <w:r>
        <w:rPr>
          <w:rFonts w:ascii="Times New Roman" w:hAnsi="Times New Roman"/>
          <w:b w:val="0"/>
          <w:sz w:val="24"/>
        </w:rPr>
        <w:t>São Paulo</w:t>
      </w:r>
    </w:p>
    <w:p>
      <w:pPr>
        <w:spacing w:after="80"/>
        <w:jc w:val="center"/>
      </w:pPr>
      <w:r>
        <w:rPr>
          <w:rFonts w:ascii="Times New Roman" w:hAnsi="Times New Roman"/>
          <w:b w:val="0"/>
          <w:sz w:val="24"/>
        </w:rPr>
        <w:t>2026</w:t>
      </w:r>
    </w:p>
    <w:p>
      <w:r>
        <w:br w:type="page"/>
      </w:r>
    </w:p>
    <w:p>
      <w:pPr>
        <w:spacing w:before="240" w:after="120"/>
        <w:jc w:val="left"/>
      </w:pPr>
      <w:r>
        <w:rPr>
          <w:rFonts w:ascii="Times New Roman" w:hAnsi="Times New Roman"/>
          <w:b/>
          <w:sz w:val="24"/>
        </w:rPr>
        <w:t>1. CONTEXTUALIZAÇÃO DO PROBLEMA</w:t>
      </w:r>
    </w:p>
    <w:p>
      <w:pPr>
        <w:spacing w:after="120" w:line="360" w:lineRule="exact"/>
        <w:ind w:firstLine="709"/>
        <w:jc w:val="both"/>
      </w:pPr>
      <w:r>
        <w:rPr>
          <w:rFonts w:ascii="Times New Roman" w:hAnsi="Times New Roman"/>
          <w:b w:val="0"/>
          <w:sz w:val="24"/>
        </w:rPr>
        <w:t>No cenário econômico atual, a volatilidade das taxas de câmbio impacta diretamente empresas, investidores e profissionais que operam com transações internacionais. O acompanhamento manual das cotações de moedas é um processo lento, sujeito a erros e que demanda acesso simultâneo a múltiplas fontes de informação. Colaboradores de diferentes departamentos precisam consultar plataformas distintas, consolidar dados em planilhas separadas e, frequentemente, tomar decisões com base em informações desatualizadas.</w:t>
      </w:r>
    </w:p>
    <w:p>
      <w:pPr>
        <w:spacing w:after="120" w:line="360" w:lineRule="exact"/>
        <w:ind w:firstLine="709"/>
        <w:jc w:val="both"/>
      </w:pPr>
      <w:r>
        <w:rPr>
          <w:rFonts w:ascii="Times New Roman" w:hAnsi="Times New Roman"/>
          <w:b w:val="0"/>
          <w:sz w:val="24"/>
        </w:rPr>
        <w:t>A ausência de uma solução centralizada cria gargalos operacionais significativos: o tempo dedicado à coleta manual de cotações poderia ser direcionado a atividades estratégicas, a falta de histórico organizado impede análises comparativas e a dispersão das informações em diferentes sistemas eleva o risco de inconsistências nos dados utilizados para tomada de decisão.</w:t>
      </w:r>
    </w:p>
    <w:p>
      <w:pPr>
        <w:spacing w:after="120" w:line="360" w:lineRule="exact"/>
        <w:ind w:firstLine="709"/>
        <w:jc w:val="both"/>
      </w:pPr>
      <w:r>
        <w:rPr>
          <w:rFonts w:ascii="Times New Roman" w:hAnsi="Times New Roman"/>
          <w:b w:val="0"/>
          <w:sz w:val="24"/>
        </w:rPr>
        <w:t>Diante desse contexto, identificou-se a oportunidade de desenvolver uma solução automatizada capaz de integrar fontes externas de dados cambiais, consolidar as informações em uma base estruturada e disponibilizá-las de forma segura e organizada aos usuários por meio de uma API própria. O projeto aqui descrito, denominado Cotação Online, responde diretamente a esse desafio.</w:t>
      </w:r>
    </w:p>
    <w:p>
      <w:pPr>
        <w:spacing w:before="240" w:after="120"/>
        <w:jc w:val="left"/>
      </w:pPr>
      <w:r>
        <w:rPr>
          <w:rFonts w:ascii="Times New Roman" w:hAnsi="Times New Roman"/>
          <w:b/>
          <w:sz w:val="24"/>
        </w:rPr>
        <w:t>2. DESCRIÇÃO DA SOLUÇÃO PROPOSTA</w:t>
      </w:r>
    </w:p>
    <w:p>
      <w:pPr>
        <w:spacing w:after="120" w:line="360" w:lineRule="exact"/>
        <w:ind w:firstLine="709"/>
        <w:jc w:val="both"/>
      </w:pPr>
      <w:r>
        <w:rPr>
          <w:rFonts w:ascii="Times New Roman" w:hAnsi="Times New Roman"/>
          <w:b w:val="0"/>
          <w:sz w:val="24"/>
        </w:rPr>
        <w:t>O Cotação Online é uma API RESTful desenvolvida em Python com o framework FastAPI, concebida para automatizar o monitoramento de cotações de moedas estrangeiras em relação ao Real Brasileiro (BRL). A solução atua como uma camada intermediária inteligente, conectando uma fonte pública de dados cambiais a um repositório estruturado na nuvem, e expondo essas informações de forma controlada e autenticada aos consumidores da API.</w:t>
      </w:r>
    </w:p>
    <w:p>
      <w:pPr>
        <w:spacing w:after="120" w:line="360" w:lineRule="exact"/>
        <w:ind w:firstLine="709"/>
        <w:jc w:val="both"/>
      </w:pPr>
      <w:r>
        <w:rPr>
          <w:rFonts w:ascii="Times New Roman" w:hAnsi="Times New Roman"/>
          <w:b w:val="0"/>
          <w:sz w:val="24"/>
        </w:rPr>
        <w:t>A arquitetura da solução é composta por três camadas principais: a camada de integração externa, responsável por consumir a AwesomeAPI para obtenção das cotações em tempo real; a camada de persistência, que utiliza o Airtable como banco de dados no-code para armazenar as moedas cadastradas e as respectivas cotações obtidas; e a camada de exposição, que disponibiliza endpoints autenticados para que os usuários possam gerenciar moedas, disparar sincronizações e consultar as cotações mais recentes.</w:t>
      </w:r>
    </w:p>
    <w:p>
      <w:pPr>
        <w:spacing w:after="120" w:line="360" w:lineRule="exact"/>
        <w:ind w:firstLine="709"/>
        <w:jc w:val="both"/>
      </w:pPr>
      <w:r>
        <w:rPr>
          <w:rFonts w:ascii="Times New Roman" w:hAnsi="Times New Roman"/>
          <w:b w:val="0"/>
          <w:sz w:val="24"/>
        </w:rPr>
        <w:t>O sistema prevê o cadastro inicial de três pares de moedas: USD-BRL (Dólar Americano), EUR-BRL (Euro) e ARS-BRL (Peso Argentino), com a possibilidade de expansão pelo próprio usuário. A solução implementa autenticação via JWT (JSON Web Token), garantindo que apenas usuários cadastrados e autenticados possam acessar os recursos disponíveis.</w:t>
      </w:r>
    </w:p>
    <w:p>
      <w:pPr>
        <w:spacing w:before="120" w:after="60"/>
        <w:jc w:val="left"/>
      </w:pPr>
      <w:r>
        <w:rPr>
          <w:rFonts w:ascii="Times New Roman" w:hAnsi="Times New Roman"/>
          <w:b/>
          <w:sz w:val="24"/>
        </w:rPr>
        <w:t>2.1 Funcionalidades Principais</w:t>
      </w:r>
    </w:p>
    <w:p>
      <w:pPr>
        <w:pStyle w:val="ListBullet"/>
        <w:spacing w:after="60" w:line="360" w:lineRule="exact"/>
        <w:jc w:val="both"/>
      </w:pPr>
      <w:r>
        <w:rPr>
          <w:rFonts w:ascii="Times New Roman" w:hAnsi="Times New Roman"/>
          <w:b w:val="0"/>
          <w:sz w:val="24"/>
        </w:rPr>
        <w:t>Cadastro e autenticação de usuários com geração de access token e refresh token;</w:t>
      </w:r>
    </w:p>
    <w:p>
      <w:pPr>
        <w:pStyle w:val="ListBullet"/>
        <w:spacing w:after="60" w:line="360" w:lineRule="exact"/>
        <w:jc w:val="both"/>
      </w:pPr>
      <w:r>
        <w:rPr>
          <w:rFonts w:ascii="Times New Roman" w:hAnsi="Times New Roman"/>
          <w:b w:val="0"/>
          <w:sz w:val="24"/>
        </w:rPr>
        <w:t>Listagem de moedas ativas cadastradas no sistema;</w:t>
      </w:r>
    </w:p>
    <w:p>
      <w:pPr>
        <w:pStyle w:val="ListBullet"/>
        <w:spacing w:after="60" w:line="360" w:lineRule="exact"/>
        <w:jc w:val="both"/>
      </w:pPr>
      <w:r>
        <w:rPr>
          <w:rFonts w:ascii="Times New Roman" w:hAnsi="Times New Roman"/>
          <w:b w:val="0"/>
          <w:sz w:val="24"/>
        </w:rPr>
        <w:t>Sincronização manual das cotações, consumindo a AwesomeAPI e persistindo os dados no Airtable;</w:t>
      </w:r>
    </w:p>
    <w:p>
      <w:pPr>
        <w:pStyle w:val="ListBullet"/>
        <w:spacing w:after="60" w:line="360" w:lineRule="exact"/>
        <w:jc w:val="both"/>
      </w:pPr>
      <w:r>
        <w:rPr>
          <w:rFonts w:ascii="Times New Roman" w:hAnsi="Times New Roman"/>
          <w:b w:val="0"/>
          <w:sz w:val="24"/>
        </w:rPr>
        <w:t>Consulta das últimas cotações disponíveis para cada moeda ativa;</w:t>
      </w:r>
    </w:p>
    <w:p>
      <w:pPr>
        <w:pStyle w:val="ListBullet"/>
        <w:spacing w:after="60" w:line="360" w:lineRule="exact"/>
        <w:jc w:val="both"/>
      </w:pPr>
      <w:r>
        <w:rPr>
          <w:rFonts w:ascii="Times New Roman" w:hAnsi="Times New Roman"/>
          <w:b w:val="0"/>
          <w:sz w:val="24"/>
        </w:rPr>
        <w:t>Renovação automática do token de acesso sem necessidade de novo login.</w:t>
      </w:r>
    </w:p>
    <w:p>
      <w:pPr>
        <w:spacing w:before="240" w:after="120"/>
        <w:jc w:val="left"/>
      </w:pPr>
      <w:r>
        <w:rPr>
          <w:rFonts w:ascii="Times New Roman" w:hAnsi="Times New Roman"/>
          <w:b/>
          <w:sz w:val="24"/>
        </w:rPr>
        <w:t>3. APIS UTILIZADAS E JUSTIFICATIVA DA ESCOLHA</w:t>
      </w:r>
    </w:p>
    <w:p>
      <w:pPr>
        <w:spacing w:before="120" w:after="60"/>
        <w:jc w:val="left"/>
      </w:pPr>
      <w:r>
        <w:rPr>
          <w:rFonts w:ascii="Times New Roman" w:hAnsi="Times New Roman"/>
          <w:b/>
          <w:sz w:val="24"/>
        </w:rPr>
        <w:t>3.1 AwesomeAPI – Cotações de Moedas</w:t>
      </w:r>
    </w:p>
    <w:p>
      <w:pPr>
        <w:spacing w:after="120" w:line="360" w:lineRule="exact"/>
        <w:ind w:firstLine="709"/>
        <w:jc w:val="both"/>
      </w:pPr>
      <w:r>
        <w:rPr>
          <w:rFonts w:ascii="Times New Roman" w:hAnsi="Times New Roman"/>
          <w:b w:val="0"/>
          <w:sz w:val="24"/>
        </w:rPr>
        <w:t>A AwesomeAPI (economia.awesomeapi.com.br) é uma API pública e gratuita brasileira que fornece cotações de câmbio em tempo real para dezenas de pares de moedas. Não exige autenticação para uso básico, o que simplifica significativamente a integração e elimina custos de licenciamento.</w:t>
      </w:r>
    </w:p>
    <w:p>
      <w:pPr>
        <w:spacing w:after="120" w:line="360" w:lineRule="exact"/>
        <w:ind w:firstLine="709"/>
        <w:jc w:val="both"/>
      </w:pPr>
      <w:r>
        <w:rPr>
          <w:rFonts w:ascii="Times New Roman" w:hAnsi="Times New Roman"/>
          <w:b w:val="0"/>
          <w:sz w:val="24"/>
        </w:rPr>
        <w:t>A escolha da AwesomeAPI justifica-se pelos seguintes fatores: disponibilidade gratuita e sem necessidade de cadastro prévio, cobertura ampla de pares cambiais relevantes para o mercado brasileiro, formato de resposta em JSON de fácil manipulação, alta disponibilidade e documentação clara. A API retorna, para cada par de moedas, informações como o valor de compra (bid), valor de venda (ask), variação percentual, mínimo e máximo do dia, além da data e hora da última atualização.</w:t>
      </w:r>
    </w:p>
    <w:p>
      <w:pPr>
        <w:spacing w:before="120" w:after="60"/>
        <w:jc w:val="left"/>
      </w:pPr>
      <w:r>
        <w:rPr>
          <w:rFonts w:ascii="Times New Roman" w:hAnsi="Times New Roman"/>
          <w:b/>
          <w:sz w:val="24"/>
        </w:rPr>
        <w:t>3.2 Airtable API – Banco de Dados No-Code</w:t>
      </w:r>
    </w:p>
    <w:p>
      <w:pPr>
        <w:spacing w:after="120" w:line="360" w:lineRule="exact"/>
        <w:ind w:firstLine="709"/>
        <w:jc w:val="both"/>
      </w:pPr>
      <w:r>
        <w:rPr>
          <w:rFonts w:ascii="Times New Roman" w:hAnsi="Times New Roman"/>
          <w:b w:val="0"/>
          <w:sz w:val="24"/>
        </w:rPr>
        <w:t>O Airtable é uma plataforma no-code que combina a flexibilidade de uma planilha com a robustez de um banco de dados relacional. Sua API REST permite criar, ler, atualizar e excluir registros de forma programática, tornando-o uma solução versátil para persistência de dados em projetos de integração.</w:t>
      </w:r>
    </w:p>
    <w:p>
      <w:pPr>
        <w:spacing w:after="120" w:line="360" w:lineRule="exact"/>
        <w:ind w:firstLine="709"/>
        <w:jc w:val="both"/>
      </w:pPr>
      <w:r>
        <w:rPr>
          <w:rFonts w:ascii="Times New Roman" w:hAnsi="Times New Roman"/>
          <w:b w:val="0"/>
          <w:sz w:val="24"/>
        </w:rPr>
        <w:t>A escolha do Airtable como camada de persistência deve-se à facilidade de configuração sem necessidade de infraestrutura própria de banco de dados, interface visual para inspeção e gerenciamento dos dados armazenados, API bem documentada com autenticação via token de acesso pessoal, suporte a múltiplas tabelas relacionadas dentro de uma mesma base, e plano gratuito adequado ao escopo do projeto acadêmico. São utilizadas duas tabelas: Currency, para armazenar as moedas cadastradas, e Exchange, para registrar as cotações obtidas a cada sincronização.</w:t>
      </w:r>
    </w:p>
    <w:p>
      <w:pPr>
        <w:spacing w:before="120" w:after="60"/>
        <w:jc w:val="left"/>
      </w:pPr>
      <w:r>
        <w:rPr>
          <w:rFonts w:ascii="Times New Roman" w:hAnsi="Times New Roman"/>
          <w:b/>
          <w:sz w:val="24"/>
        </w:rPr>
        <w:t>3.3 API Própria – Cotação Online</w:t>
      </w:r>
    </w:p>
    <w:p>
      <w:pPr>
        <w:spacing w:after="120" w:line="360" w:lineRule="exact"/>
        <w:ind w:firstLine="709"/>
        <w:jc w:val="both"/>
      </w:pPr>
      <w:r>
        <w:rPr>
          <w:rFonts w:ascii="Times New Roman" w:hAnsi="Times New Roman"/>
          <w:b w:val="0"/>
          <w:sz w:val="24"/>
        </w:rPr>
        <w:t>Além de consumir as APIs externas, o projeto também desenvolve e expõe sua própria API RESTful. Essa API, documentada por meio do padrão OpenAPI 3.1, oferece endpoints para autenticação de usuários, consulta de moedas cadastradas, sincronização de cotações e consulta das últimas taxas disponíveis. Dessa forma, o projeto integra ao menos duas APIs externas (AwesomeAPI e Airtable) e ainda produz uma terceira API como produto final da solução.</w:t>
      </w:r>
    </w:p>
    <w:p>
      <w:pPr>
        <w:spacing w:before="240" w:after="120"/>
        <w:jc w:val="left"/>
      </w:pPr>
      <w:r>
        <w:rPr>
          <w:rFonts w:ascii="Times New Roman" w:hAnsi="Times New Roman"/>
          <w:b/>
          <w:sz w:val="24"/>
        </w:rPr>
        <w:t>4. FLUXO DE INTEGRAÇÃO ENTRE OS SISTEMAS</w:t>
      </w:r>
    </w:p>
    <w:p>
      <w:pPr>
        <w:spacing w:after="120" w:line="360" w:lineRule="exact"/>
        <w:ind w:firstLine="709"/>
        <w:jc w:val="both"/>
      </w:pPr>
      <w:r>
        <w:rPr>
          <w:rFonts w:ascii="Times New Roman" w:hAnsi="Times New Roman"/>
          <w:b w:val="0"/>
          <w:sz w:val="24"/>
        </w:rPr>
        <w:t>O fluxo de integração da solução Cotação Online pode ser descrito em duas dimensões principais: o fluxo de autenticação do usuário e o fluxo de sincronização e consulta de cotações.</w:t>
      </w:r>
    </w:p>
    <w:p>
      <w:pPr>
        <w:spacing w:before="120" w:after="60"/>
        <w:jc w:val="left"/>
      </w:pPr>
      <w:r>
        <w:rPr>
          <w:rFonts w:ascii="Times New Roman" w:hAnsi="Times New Roman"/>
          <w:b/>
          <w:sz w:val="24"/>
        </w:rPr>
        <w:t>4.1 Fluxo de Autenticação</w:t>
      </w:r>
    </w:p>
    <w:p>
      <w:pPr>
        <w:spacing w:after="120" w:line="360" w:lineRule="exact"/>
        <w:ind w:firstLine="709"/>
        <w:jc w:val="both"/>
      </w:pPr>
      <w:r>
        <w:rPr>
          <w:rFonts w:ascii="Times New Roman" w:hAnsi="Times New Roman"/>
          <w:b w:val="0"/>
          <w:sz w:val="24"/>
        </w:rPr>
        <w:t>O usuário inicia interagindo com o endpoint de registro (POST /v1/auth/register), fornecendo nome, e-mail e senha. A API valida os dados, armazena o usuário e retorna a confirmação do cadastro. Em seguida, o usuário realiza o login via POST /v1/auth/login, recebendo um access token (com validade curta) e um refresh token (com validade estendida), ambos no formato JWT. O access token é utilizado no cabeçalho Authorization de todas as requisições subsequentes. Quando o access token expira, o usuário pode renová-lo sem novo login através do endpoint POST /v1/auth/refresh, passando o refresh token vigente.</w:t>
      </w:r>
    </w:p>
    <w:p>
      <w:pPr>
        <w:spacing w:before="120" w:after="60"/>
        <w:jc w:val="left"/>
      </w:pPr>
      <w:r>
        <w:rPr>
          <w:rFonts w:ascii="Times New Roman" w:hAnsi="Times New Roman"/>
          <w:b/>
          <w:sz w:val="24"/>
        </w:rPr>
        <w:t>4.2 Fluxo de Sincronização de Cotações</w:t>
      </w:r>
    </w:p>
    <w:p>
      <w:pPr>
        <w:pStyle w:val="ListBullet"/>
        <w:spacing w:after="60" w:line="360" w:lineRule="exact"/>
        <w:jc w:val="both"/>
      </w:pPr>
      <w:r>
        <w:rPr>
          <w:rFonts w:ascii="Times New Roman" w:hAnsi="Times New Roman"/>
          <w:b w:val="0"/>
          <w:sz w:val="24"/>
        </w:rPr>
        <w:t>1. O usuário autenticado dispara uma requisição POST /v1/exchanges/sync.</w:t>
      </w:r>
    </w:p>
    <w:p>
      <w:pPr>
        <w:pStyle w:val="ListBullet"/>
        <w:spacing w:after="60" w:line="360" w:lineRule="exact"/>
        <w:jc w:val="both"/>
      </w:pPr>
      <w:r>
        <w:rPr>
          <w:rFonts w:ascii="Times New Roman" w:hAnsi="Times New Roman"/>
          <w:b w:val="0"/>
          <w:sz w:val="24"/>
        </w:rPr>
        <w:t>2. A API consulta a tabela Currency no Airtable, obtendo todos os pares de moedas ativos.</w:t>
      </w:r>
    </w:p>
    <w:p>
      <w:pPr>
        <w:pStyle w:val="ListBullet"/>
        <w:spacing w:after="60" w:line="360" w:lineRule="exact"/>
        <w:jc w:val="both"/>
      </w:pPr>
      <w:r>
        <w:rPr>
          <w:rFonts w:ascii="Times New Roman" w:hAnsi="Times New Roman"/>
          <w:b w:val="0"/>
          <w:sz w:val="24"/>
        </w:rPr>
        <w:t>3. Para cada par de moeda ativo, a API faz uma requisição GET à AwesomeAPI, obtendo a cotação atualizada.</w:t>
      </w:r>
    </w:p>
    <w:p>
      <w:pPr>
        <w:pStyle w:val="ListBullet"/>
        <w:spacing w:after="60" w:line="360" w:lineRule="exact"/>
        <w:jc w:val="both"/>
      </w:pPr>
      <w:r>
        <w:rPr>
          <w:rFonts w:ascii="Times New Roman" w:hAnsi="Times New Roman"/>
          <w:b w:val="0"/>
          <w:sz w:val="24"/>
        </w:rPr>
        <w:t>4. Os dados retornados são tratados e normalizados (extração de bid, ask e timestamp).</w:t>
      </w:r>
    </w:p>
    <w:p>
      <w:pPr>
        <w:pStyle w:val="ListBullet"/>
        <w:spacing w:after="60" w:line="360" w:lineRule="exact"/>
        <w:jc w:val="both"/>
      </w:pPr>
      <w:r>
        <w:rPr>
          <w:rFonts w:ascii="Times New Roman" w:hAnsi="Times New Roman"/>
          <w:b w:val="0"/>
          <w:sz w:val="24"/>
        </w:rPr>
        <w:t>5. A API atualiza ou cria o registro correspondente na tabela Exchange do Airtable.</w:t>
      </w:r>
    </w:p>
    <w:p>
      <w:pPr>
        <w:pStyle w:val="ListBullet"/>
        <w:spacing w:after="60" w:line="360" w:lineRule="exact"/>
        <w:jc w:val="both"/>
      </w:pPr>
      <w:r>
        <w:rPr>
          <w:rFonts w:ascii="Times New Roman" w:hAnsi="Times New Roman"/>
          <w:b w:val="0"/>
          <w:sz w:val="24"/>
        </w:rPr>
        <w:t>6. A operação é concluída e a API retorna HTTP 200 confirmando a sincronização.</w:t>
      </w:r>
    </w:p>
    <w:p>
      <w:pPr>
        <w:pStyle w:val="ListBullet"/>
        <w:spacing w:after="60" w:line="360" w:lineRule="exact"/>
        <w:jc w:val="both"/>
      </w:pPr>
      <w:r>
        <w:rPr>
          <w:rFonts w:ascii="Times New Roman" w:hAnsi="Times New Roman"/>
          <w:b w:val="0"/>
          <w:sz w:val="24"/>
        </w:rPr>
        <w:t>7. O usuário pode então consultar as cotações atualizadas via GET /v1/exchanges.</w:t>
      </w:r>
    </w:p>
    <w:p>
      <w:pPr>
        <w:spacing w:before="120" w:after="60"/>
        <w:jc w:val="left"/>
      </w:pPr>
      <w:r>
        <w:rPr>
          <w:rFonts w:ascii="Times New Roman" w:hAnsi="Times New Roman"/>
          <w:b/>
          <w:sz w:val="24"/>
        </w:rPr>
        <w:t>4.3 Diagrama Simplificado do Fluxo</w:t>
      </w:r>
    </w:p>
    <w:p>
      <w:pPr>
        <w:spacing w:after="120" w:line="360" w:lineRule="exact"/>
        <w:ind w:firstLine="709"/>
        <w:jc w:val="both"/>
      </w:pPr>
      <w:r>
        <w:rPr>
          <w:rFonts w:ascii="Times New Roman" w:hAnsi="Times New Roman"/>
          <w:b w:val="0"/>
          <w:sz w:val="24"/>
        </w:rPr>
        <w:t>O diagrama a seguir representa de forma simplificada o fluxo de dados entre os componentes da solução:</w:t>
      </w:r>
    </w:p>
    <w:tbl>
      <w:tblPr>
        <w:tblStyle w:val="TableGrid"/>
        <w:tblW w:type="auto" w:w="0"/>
        <w:tblLook w:firstColumn="1" w:firstRow="1" w:lastColumn="0" w:lastRow="0" w:noHBand="0" w:noVBand="1" w:val="04A0"/>
      </w:tblPr>
      <w:tblGrid>
        <w:gridCol w:w="9405"/>
      </w:tblGrid>
      <w:tr>
        <w:tc>
          <w:tcPr>
            <w:tcW w:type="dxa" w:w="9405"/>
          </w:tcPr>
          <w:p>
            <w:pPr>
              <w:jc w:val="center"/>
            </w:pPr>
            <w:r/>
            <w:r>
              <w:rPr>
                <w:rFonts w:ascii="Courier New" w:hAnsi="Courier New"/>
                <w:sz w:val="20"/>
              </w:rPr>
              <w:t>Usuário</w:t>
              <w:br/>
              <w:t xml:space="preserve">   │</w:t>
              <w:br/>
              <w:t xml:space="preserve">   ▼ POST /v1/auth/login</w:t>
              <w:br/>
              <w:t>API Cotação Online (FastAPI + JWT)</w:t>
              <w:br/>
              <w:t xml:space="preserve">   │                    │</w:t>
              <w:br/>
              <w:t xml:space="preserve">   ▼ GET cotações        ▼ CRUD registros</w:t>
              <w:br/>
              <w:t>AwesomeAPI           Airtable</w:t>
              <w:br/>
              <w:t>(sem autenticação)   (API Token)</w:t>
              <w:br/>
            </w:r>
          </w:p>
        </w:tc>
      </w:tr>
    </w:tbl>
    <w:p/>
    <w:p>
      <w:pPr>
        <w:spacing w:before="240" w:after="120"/>
        <w:jc w:val="left"/>
      </w:pPr>
      <w:r>
        <w:rPr>
          <w:rFonts w:ascii="Times New Roman" w:hAnsi="Times New Roman"/>
          <w:b/>
          <w:sz w:val="24"/>
        </w:rPr>
        <w:t>5. ESTRATÉGIA DE AUTENTICAÇÃO E SEGURANÇA</w:t>
      </w:r>
    </w:p>
    <w:p>
      <w:pPr>
        <w:spacing w:before="120" w:after="60"/>
        <w:jc w:val="left"/>
      </w:pPr>
      <w:r>
        <w:rPr>
          <w:rFonts w:ascii="Times New Roman" w:hAnsi="Times New Roman"/>
          <w:b/>
          <w:sz w:val="24"/>
        </w:rPr>
        <w:t>5.1 Autenticação JWT na API Própria</w:t>
      </w:r>
    </w:p>
    <w:p>
      <w:pPr>
        <w:spacing w:after="120" w:line="360" w:lineRule="exact"/>
        <w:ind w:firstLine="709"/>
        <w:jc w:val="both"/>
      </w:pPr>
      <w:r>
        <w:rPr>
          <w:rFonts w:ascii="Times New Roman" w:hAnsi="Times New Roman"/>
          <w:b w:val="0"/>
          <w:sz w:val="24"/>
        </w:rPr>
        <w:t>A estratégia de autenticação adotada na API Cotação Online baseia-se em JSON Web Tokens (JWT), padrão amplamente utilizado em APIs RESTful modernas. O JWT é um token autocontido que carrega informações sobre o usuário (claims) de forma assinada digitalmente, eliminando a necessidade de consultar o banco de dados a cada requisição para validar a sessão.</w:t>
      </w:r>
    </w:p>
    <w:p>
      <w:pPr>
        <w:spacing w:after="120" w:line="360" w:lineRule="exact"/>
        <w:ind w:firstLine="709"/>
        <w:jc w:val="both"/>
      </w:pPr>
      <w:r>
        <w:rPr>
          <w:rFonts w:ascii="Times New Roman" w:hAnsi="Times New Roman"/>
          <w:b w:val="0"/>
          <w:sz w:val="24"/>
        </w:rPr>
        <w:t>São emitidos dois tokens distintos: o access token, com tempo de expiração curto (tipicamente 15 a 60 minutos), utilizado para autenticar cada requisição; e o refresh token, com validade mais longa (horas ou dias), utilizado exclusivamente para renovar o access token sem exigir novo login. Essa separação reduz o risco de comprometimento prolongado em caso de interceptação do access token.</w:t>
      </w:r>
    </w:p>
    <w:p>
      <w:pPr>
        <w:spacing w:before="120" w:after="60"/>
        <w:jc w:val="left"/>
      </w:pPr>
      <w:r>
        <w:rPr>
          <w:rFonts w:ascii="Times New Roman" w:hAnsi="Times New Roman"/>
          <w:b/>
          <w:sz w:val="24"/>
        </w:rPr>
        <w:t>5.2 Autenticação na API Airtable</w:t>
      </w:r>
    </w:p>
    <w:p>
      <w:pPr>
        <w:spacing w:after="120" w:line="360" w:lineRule="exact"/>
        <w:ind w:firstLine="709"/>
        <w:jc w:val="both"/>
      </w:pPr>
      <w:r>
        <w:rPr>
          <w:rFonts w:ascii="Times New Roman" w:hAnsi="Times New Roman"/>
          <w:b w:val="0"/>
          <w:sz w:val="24"/>
        </w:rPr>
        <w:t>A integração com o Airtable utiliza autenticação via Personal Access Token (PAT), um token de longa duração gerado na plataforma Airtable e armazenado como variável de ambiente na aplicação. Esse token é enviado no cabeçalho HTTP Authorization de cada requisição à API do Airtable. A utilização de variáveis de ambiente para armazenar credenciais segue a prática recomendada pelo padrão Twelve-Factor App, evitando a exposição de segredos no código-fonte.</w:t>
      </w:r>
    </w:p>
    <w:p>
      <w:pPr>
        <w:spacing w:before="120" w:after="60"/>
        <w:jc w:val="left"/>
      </w:pPr>
      <w:r>
        <w:rPr>
          <w:rFonts w:ascii="Times New Roman" w:hAnsi="Times New Roman"/>
          <w:b/>
          <w:sz w:val="24"/>
        </w:rPr>
        <w:t>5.3 Boas Práticas de Segurança Implementadas</w:t>
      </w:r>
    </w:p>
    <w:p>
      <w:pPr>
        <w:pStyle w:val="ListBullet"/>
        <w:spacing w:after="60" w:line="360" w:lineRule="exact"/>
        <w:jc w:val="both"/>
      </w:pPr>
      <w:r>
        <w:rPr>
          <w:rFonts w:ascii="Times New Roman" w:hAnsi="Times New Roman"/>
          <w:b w:val="0"/>
          <w:sz w:val="24"/>
        </w:rPr>
        <w:t>Senhas dos usuários armazenadas com hash bcrypt, garantindo que o valor original nunca seja persistido;</w:t>
      </w:r>
    </w:p>
    <w:p>
      <w:pPr>
        <w:pStyle w:val="ListBullet"/>
        <w:spacing w:after="60" w:line="360" w:lineRule="exact"/>
        <w:jc w:val="both"/>
      </w:pPr>
      <w:r>
        <w:rPr>
          <w:rFonts w:ascii="Times New Roman" w:hAnsi="Times New Roman"/>
          <w:b w:val="0"/>
          <w:sz w:val="24"/>
        </w:rPr>
        <w:t>Validação rigorosa dos dados de entrada utilizando Pydantic, prevenindo injeção de dados malformados;</w:t>
      </w:r>
    </w:p>
    <w:p>
      <w:pPr>
        <w:pStyle w:val="ListBullet"/>
        <w:spacing w:after="60" w:line="360" w:lineRule="exact"/>
        <w:jc w:val="both"/>
      </w:pPr>
      <w:r>
        <w:rPr>
          <w:rFonts w:ascii="Times New Roman" w:hAnsi="Times New Roman"/>
          <w:b w:val="0"/>
          <w:sz w:val="24"/>
        </w:rPr>
        <w:t>Tokens JWT assinados com algoritmo HS256 e chave secreta definida via variável de ambiente;</w:t>
      </w:r>
    </w:p>
    <w:p>
      <w:pPr>
        <w:pStyle w:val="ListBullet"/>
        <w:spacing w:after="60" w:line="360" w:lineRule="exact"/>
        <w:jc w:val="both"/>
      </w:pPr>
      <w:r>
        <w:rPr>
          <w:rFonts w:ascii="Times New Roman" w:hAnsi="Times New Roman"/>
          <w:b w:val="0"/>
          <w:sz w:val="24"/>
        </w:rPr>
        <w:t>Credenciais de APIs externas (Airtable token) jamais expostas no código-fonte ou repositório;</w:t>
      </w:r>
    </w:p>
    <w:p>
      <w:pPr>
        <w:pStyle w:val="ListBullet"/>
        <w:spacing w:after="60" w:line="360" w:lineRule="exact"/>
        <w:jc w:val="both"/>
      </w:pPr>
      <w:r>
        <w:rPr>
          <w:rFonts w:ascii="Times New Roman" w:hAnsi="Times New Roman"/>
          <w:b w:val="0"/>
          <w:sz w:val="24"/>
        </w:rPr>
        <w:t>Uso de HTTPS recomendado em ambiente de produção para cifrar o tráfego de dados;</w:t>
      </w:r>
    </w:p>
    <w:p>
      <w:pPr>
        <w:pStyle w:val="ListBullet"/>
        <w:spacing w:after="60" w:line="360" w:lineRule="exact"/>
        <w:jc w:val="both"/>
      </w:pPr>
      <w:r>
        <w:rPr>
          <w:rFonts w:ascii="Times New Roman" w:hAnsi="Times New Roman"/>
          <w:b w:val="0"/>
          <w:sz w:val="24"/>
        </w:rPr>
        <w:t>Separação de responsabilidades entre access token e refresh token para minimizar superfície de ataque.</w:t>
      </w:r>
    </w:p>
    <w:p>
      <w:pPr>
        <w:spacing w:before="240" w:after="120"/>
        <w:jc w:val="left"/>
      </w:pPr>
      <w:r>
        <w:rPr>
          <w:rFonts w:ascii="Times New Roman" w:hAnsi="Times New Roman"/>
          <w:b/>
          <w:sz w:val="24"/>
        </w:rPr>
        <w:t>6. FORMA DE ARMAZENAMENTO E MANIPULAÇÃO DOS DADOS</w:t>
      </w:r>
    </w:p>
    <w:p>
      <w:pPr>
        <w:spacing w:before="120" w:after="60"/>
        <w:jc w:val="left"/>
      </w:pPr>
      <w:r>
        <w:rPr>
          <w:rFonts w:ascii="Times New Roman" w:hAnsi="Times New Roman"/>
          <w:b/>
          <w:sz w:val="24"/>
        </w:rPr>
        <w:t>6.1 Estrutura de Dados no Airtable</w:t>
      </w:r>
    </w:p>
    <w:p>
      <w:pPr>
        <w:spacing w:after="120" w:line="360" w:lineRule="exact"/>
        <w:ind w:firstLine="709"/>
        <w:jc w:val="both"/>
      </w:pPr>
      <w:r>
        <w:rPr>
          <w:rFonts w:ascii="Times New Roman" w:hAnsi="Times New Roman"/>
          <w:b w:val="0"/>
          <w:sz w:val="24"/>
        </w:rPr>
        <w:t>O Airtable é utilizado como banco de dados no-code, organizado em duas tabelas dentro de uma única base (base Cotação Online):</w:t>
      </w:r>
    </w:p>
    <w:p>
      <w:pPr>
        <w:spacing w:before="120" w:after="60"/>
        <w:jc w:val="left"/>
      </w:pPr>
      <w:r>
        <w:rPr>
          <w:rFonts w:ascii="Times New Roman" w:hAnsi="Times New Roman"/>
          <w:b/>
          <w:sz w:val="24"/>
        </w:rPr>
        <w:t>Tabela Currency (Moedas Cadastradas)</w:t>
      </w:r>
    </w:p>
    <w:p>
      <w:pPr>
        <w:pStyle w:val="ListBullet"/>
        <w:spacing w:after="60" w:line="360" w:lineRule="exact"/>
        <w:jc w:val="both"/>
      </w:pPr>
      <w:r>
        <w:rPr>
          <w:rFonts w:ascii="Times New Roman" w:hAnsi="Times New Roman"/>
          <w:b w:val="0"/>
          <w:sz w:val="24"/>
        </w:rPr>
        <w:t>name (texto): nome do par de moedas, ex.: USD-BRL;</w:t>
      </w:r>
    </w:p>
    <w:p>
      <w:pPr>
        <w:pStyle w:val="ListBullet"/>
        <w:spacing w:after="60" w:line="360" w:lineRule="exact"/>
        <w:jc w:val="both"/>
      </w:pPr>
      <w:r>
        <w:rPr>
          <w:rFonts w:ascii="Times New Roman" w:hAnsi="Times New Roman"/>
          <w:b w:val="0"/>
          <w:sz w:val="24"/>
        </w:rPr>
        <w:t>code (texto): código da moeda de origem, ex.: USD;</w:t>
      </w:r>
    </w:p>
    <w:p>
      <w:pPr>
        <w:pStyle w:val="ListBullet"/>
        <w:spacing w:after="60" w:line="360" w:lineRule="exact"/>
        <w:jc w:val="both"/>
      </w:pPr>
      <w:r>
        <w:rPr>
          <w:rFonts w:ascii="Times New Roman" w:hAnsi="Times New Roman"/>
          <w:b w:val="0"/>
          <w:sz w:val="24"/>
        </w:rPr>
        <w:t>codein (texto): código da moeda de destino, ex.: BRL;</w:t>
      </w:r>
    </w:p>
    <w:p>
      <w:pPr>
        <w:pStyle w:val="ListBullet"/>
        <w:spacing w:after="60" w:line="360" w:lineRule="exact"/>
        <w:jc w:val="both"/>
      </w:pPr>
      <w:r>
        <w:rPr>
          <w:rFonts w:ascii="Times New Roman" w:hAnsi="Times New Roman"/>
          <w:b w:val="0"/>
          <w:sz w:val="24"/>
        </w:rPr>
        <w:t>is_active (booleano): indica se a moeda está ativa para cotação;</w:t>
      </w:r>
    </w:p>
    <w:p>
      <w:pPr>
        <w:pStyle w:val="ListBullet"/>
        <w:spacing w:after="60" w:line="360" w:lineRule="exact"/>
        <w:jc w:val="both"/>
      </w:pPr>
      <w:r>
        <w:rPr>
          <w:rFonts w:ascii="Times New Roman" w:hAnsi="Times New Roman"/>
          <w:b w:val="0"/>
          <w:sz w:val="24"/>
        </w:rPr>
        <w:t>last_date (data/hora): timestamp da última cotação obtida.</w:t>
      </w:r>
    </w:p>
    <w:p>
      <w:pPr>
        <w:spacing w:before="120" w:after="60"/>
        <w:jc w:val="left"/>
      </w:pPr>
      <w:r>
        <w:rPr>
          <w:rFonts w:ascii="Times New Roman" w:hAnsi="Times New Roman"/>
          <w:b/>
          <w:sz w:val="24"/>
        </w:rPr>
        <w:t>Tabela Exchange (Cotações)</w:t>
      </w:r>
    </w:p>
    <w:p>
      <w:pPr>
        <w:pStyle w:val="ListBullet"/>
        <w:spacing w:after="60" w:line="360" w:lineRule="exact"/>
        <w:jc w:val="both"/>
      </w:pPr>
      <w:r>
        <w:rPr>
          <w:rFonts w:ascii="Times New Roman" w:hAnsi="Times New Roman"/>
          <w:b w:val="0"/>
          <w:sz w:val="24"/>
        </w:rPr>
        <w:t>currency (vínculo): referência ao registro da tabela Currency;</w:t>
      </w:r>
    </w:p>
    <w:p>
      <w:pPr>
        <w:pStyle w:val="ListBullet"/>
        <w:spacing w:after="60" w:line="360" w:lineRule="exact"/>
        <w:jc w:val="both"/>
      </w:pPr>
      <w:r>
        <w:rPr>
          <w:rFonts w:ascii="Times New Roman" w:hAnsi="Times New Roman"/>
          <w:b w:val="0"/>
          <w:sz w:val="24"/>
        </w:rPr>
        <w:t>bid (número): valor de compra da moeda;</w:t>
      </w:r>
    </w:p>
    <w:p>
      <w:pPr>
        <w:pStyle w:val="ListBullet"/>
        <w:spacing w:after="60" w:line="360" w:lineRule="exact"/>
        <w:jc w:val="both"/>
      </w:pPr>
      <w:r>
        <w:rPr>
          <w:rFonts w:ascii="Times New Roman" w:hAnsi="Times New Roman"/>
          <w:b w:val="0"/>
          <w:sz w:val="24"/>
        </w:rPr>
        <w:t>ask (número): valor de venda da moeda;</w:t>
      </w:r>
    </w:p>
    <w:p>
      <w:pPr>
        <w:pStyle w:val="ListBullet"/>
        <w:spacing w:after="60" w:line="360" w:lineRule="exact"/>
        <w:jc w:val="both"/>
      </w:pPr>
      <w:r>
        <w:rPr>
          <w:rFonts w:ascii="Times New Roman" w:hAnsi="Times New Roman"/>
          <w:b w:val="0"/>
          <w:sz w:val="24"/>
        </w:rPr>
        <w:t>synced_at (data/hora): timestamp da sincronização realizada.</w:t>
      </w:r>
    </w:p>
    <w:p>
      <w:pPr>
        <w:spacing w:before="120" w:after="60"/>
        <w:jc w:val="left"/>
      </w:pPr>
      <w:r>
        <w:rPr>
          <w:rFonts w:ascii="Times New Roman" w:hAnsi="Times New Roman"/>
          <w:b/>
          <w:sz w:val="24"/>
        </w:rPr>
        <w:t>6.2 Fluxo de Manipulação dos Dados</w:t>
      </w:r>
    </w:p>
    <w:p>
      <w:pPr>
        <w:spacing w:after="120" w:line="360" w:lineRule="exact"/>
        <w:ind w:firstLine="709"/>
        <w:jc w:val="both"/>
      </w:pPr>
      <w:r>
        <w:rPr>
          <w:rFonts w:ascii="Times New Roman" w:hAnsi="Times New Roman"/>
          <w:b w:val="0"/>
          <w:sz w:val="24"/>
        </w:rPr>
        <w:t>Ao receber a resposta da AwesomeAPI, a aplicação realiza as seguintes etapas de tratamento de dados: desserialização do JSON retornado, extração dos campos relevantes (bid, ask, create_date), conversão de tipos (valores monetários são tratados como float; timestamps são normalizados para o padrão ISO 8601) e validação da integridade dos dados antes da persistência.</w:t>
      </w:r>
    </w:p>
    <w:p>
      <w:pPr>
        <w:spacing w:after="120" w:line="360" w:lineRule="exact"/>
        <w:ind w:firstLine="709"/>
        <w:jc w:val="both"/>
      </w:pPr>
      <w:r>
        <w:rPr>
          <w:rFonts w:ascii="Times New Roman" w:hAnsi="Times New Roman"/>
          <w:b w:val="0"/>
          <w:sz w:val="24"/>
        </w:rPr>
        <w:t>A estratégia de sincronização adota o padrão upsert: se já existir um registro de cotação para a moeda na tabela Exchange, ele é atualizado; caso contrário, um novo registro é criado. Isso garante que a tabela Exchange mantenha sempre a cotação mais recente para cada par de moedas, sem duplicações.</w:t>
      </w:r>
    </w:p>
    <w:p>
      <w:pPr>
        <w:spacing w:before="120" w:after="60"/>
        <w:jc w:val="left"/>
      </w:pPr>
      <w:r>
        <w:rPr>
          <w:rFonts w:ascii="Times New Roman" w:hAnsi="Times New Roman"/>
          <w:b/>
          <w:sz w:val="24"/>
        </w:rPr>
        <w:t>6.3 Armazenamento de Usuários</w:t>
      </w:r>
    </w:p>
    <w:p>
      <w:pPr>
        <w:spacing w:after="120" w:line="360" w:lineRule="exact"/>
        <w:ind w:firstLine="709"/>
        <w:jc w:val="both"/>
      </w:pPr>
      <w:r>
        <w:rPr>
          <w:rFonts w:ascii="Times New Roman" w:hAnsi="Times New Roman"/>
          <w:b w:val="0"/>
          <w:sz w:val="24"/>
        </w:rPr>
        <w:t>Os dados dos usuários (nome, e-mail e hash da senha) são armazenados também no Airtable, em uma tabela dedicada. O campo de senha nunca armazena o valor em texto claro: a aplicação aplica o algoritmo bcrypt antes de persistir qualquer credencial, garantindo que, mesmo em caso de acesso não autorizado ao banco de dados, as senhas dos usuários permaneçam protegidas.</w:t>
      </w:r>
    </w:p>
    <w:p>
      <w:pPr>
        <w:spacing w:before="240" w:after="120"/>
        <w:jc w:val="left"/>
      </w:pPr>
      <w:r>
        <w:rPr>
          <w:rFonts w:ascii="Times New Roman" w:hAnsi="Times New Roman"/>
          <w:b/>
          <w:sz w:val="24"/>
        </w:rPr>
        <w:t>7. LGPD, ÉTICA E GOVERNANÇA DAS INTEGRAÇÕES</w:t>
      </w:r>
    </w:p>
    <w:p>
      <w:pPr>
        <w:spacing w:before="120" w:after="60"/>
        <w:jc w:val="left"/>
      </w:pPr>
      <w:r>
        <w:rPr>
          <w:rFonts w:ascii="Times New Roman" w:hAnsi="Times New Roman"/>
          <w:b/>
          <w:sz w:val="24"/>
        </w:rPr>
        <w:t>7.1 Lei Geral de Proteção de Dados (LGPD)</w:t>
      </w:r>
    </w:p>
    <w:p>
      <w:pPr>
        <w:spacing w:after="120" w:line="360" w:lineRule="exact"/>
        <w:ind w:firstLine="709"/>
        <w:jc w:val="both"/>
      </w:pPr>
      <w:r>
        <w:rPr>
          <w:rFonts w:ascii="Times New Roman" w:hAnsi="Times New Roman"/>
          <w:b w:val="0"/>
          <w:sz w:val="24"/>
        </w:rPr>
        <w:t>A Lei Geral de Proteção de Dados (Lei nº 13.709/2018) estabelece regras sobre coleta, armazenamento, tratamento e compartilhamento de dados pessoais no Brasil. No contexto do Cotação Online, os dados pessoais tratados restringem-se às informações de cadastro dos usuários: nome e endereço de e-mail.</w:t>
      </w:r>
    </w:p>
    <w:p>
      <w:pPr>
        <w:spacing w:after="120" w:line="360" w:lineRule="exact"/>
        <w:ind w:firstLine="709"/>
        <w:jc w:val="both"/>
      </w:pPr>
      <w:r>
        <w:rPr>
          <w:rFonts w:ascii="Times New Roman" w:hAnsi="Times New Roman"/>
          <w:b w:val="0"/>
          <w:sz w:val="24"/>
        </w:rPr>
        <w:t>A solução adota as seguintes medidas de conformidade com a LGPD: coleta mínima de dados (apenas os estritamente necessários para autenticação), armazenamento seguro das credenciais com hash irreversível (bcrypt), ausência de compartilhamento dos dados dos usuários com terceiros e possibilidade de exclusão do cadastro a critério do titular dos dados.</w:t>
      </w:r>
    </w:p>
    <w:p>
      <w:pPr>
        <w:spacing w:after="120" w:line="360" w:lineRule="exact"/>
        <w:ind w:firstLine="709"/>
        <w:jc w:val="both"/>
      </w:pPr>
      <w:r>
        <w:rPr>
          <w:rFonts w:ascii="Times New Roman" w:hAnsi="Times New Roman"/>
          <w:b w:val="0"/>
          <w:sz w:val="24"/>
        </w:rPr>
        <w:t>É importante destacar que os dados de cotação de moedas, por serem informações públicas de natureza financeira, não se enquadram como dados pessoais nos termos da LGPD, não exigindo, portanto, consentimento específico para seu tratamento.</w:t>
      </w:r>
    </w:p>
    <w:p>
      <w:pPr>
        <w:spacing w:before="120" w:after="60"/>
        <w:jc w:val="left"/>
      </w:pPr>
      <w:r>
        <w:rPr>
          <w:rFonts w:ascii="Times New Roman" w:hAnsi="Times New Roman"/>
          <w:b/>
          <w:sz w:val="24"/>
        </w:rPr>
        <w:t>7.2 Ética no Uso das APIs Externas</w:t>
      </w:r>
    </w:p>
    <w:p>
      <w:pPr>
        <w:spacing w:after="120" w:line="360" w:lineRule="exact"/>
        <w:ind w:firstLine="709"/>
        <w:jc w:val="both"/>
      </w:pPr>
      <w:r>
        <w:rPr>
          <w:rFonts w:ascii="Times New Roman" w:hAnsi="Times New Roman"/>
          <w:b w:val="0"/>
          <w:sz w:val="24"/>
        </w:rPr>
        <w:t>A integração com a AwesomeAPI respeita integralmente os termos de uso da plataforma, que disponibiliza suas cotações gratuitamente para uso público. A aplicação não realiza requisições em volume excessivo (sem scraping agressivo), respeitando a infraestrutura do provedor. O uso da API é limitado às sincronizações disparadas manualmente pelo usuário, evitando sobrecarga desnecessária.</w:t>
      </w:r>
    </w:p>
    <w:p>
      <w:pPr>
        <w:spacing w:before="120" w:after="60"/>
        <w:jc w:val="left"/>
      </w:pPr>
      <w:r>
        <w:rPr>
          <w:rFonts w:ascii="Times New Roman" w:hAnsi="Times New Roman"/>
          <w:b/>
          <w:sz w:val="24"/>
        </w:rPr>
        <w:t>7.3 Governança das Integrações</w:t>
      </w:r>
    </w:p>
    <w:p>
      <w:pPr>
        <w:spacing w:after="120" w:line="360" w:lineRule="exact"/>
        <w:ind w:firstLine="709"/>
        <w:jc w:val="both"/>
      </w:pPr>
      <w:r>
        <w:rPr>
          <w:rFonts w:ascii="Times New Roman" w:hAnsi="Times New Roman"/>
          <w:b w:val="0"/>
          <w:sz w:val="24"/>
        </w:rPr>
        <w:t>A governança das integrações é garantida por um conjunto de práticas adotadas no desenvolvimento da solução:</w:t>
      </w:r>
    </w:p>
    <w:p>
      <w:pPr>
        <w:pStyle w:val="ListBullet"/>
        <w:spacing w:after="60" w:line="360" w:lineRule="exact"/>
        <w:jc w:val="both"/>
      </w:pPr>
      <w:r>
        <w:rPr>
          <w:rFonts w:ascii="Times New Roman" w:hAnsi="Times New Roman"/>
          <w:b w:val="0"/>
          <w:sz w:val="24"/>
        </w:rPr>
        <w:t>Documentação formal dos endpoints via OpenAPI 3.1, garantindo transparência sobre os contratos de integração;</w:t>
      </w:r>
    </w:p>
    <w:p>
      <w:pPr>
        <w:pStyle w:val="ListBullet"/>
        <w:spacing w:after="60" w:line="360" w:lineRule="exact"/>
        <w:jc w:val="both"/>
      </w:pPr>
      <w:r>
        <w:rPr>
          <w:rFonts w:ascii="Times New Roman" w:hAnsi="Times New Roman"/>
          <w:b w:val="0"/>
          <w:sz w:val="24"/>
        </w:rPr>
        <w:t>Controle de acesso baseado em autenticação JWT, assegurando que apenas usuários autorizados possam acionar as integrações;</w:t>
      </w:r>
    </w:p>
    <w:p>
      <w:pPr>
        <w:pStyle w:val="ListBullet"/>
        <w:spacing w:after="60" w:line="360" w:lineRule="exact"/>
        <w:jc w:val="both"/>
      </w:pPr>
      <w:r>
        <w:rPr>
          <w:rFonts w:ascii="Times New Roman" w:hAnsi="Times New Roman"/>
          <w:b w:val="0"/>
          <w:sz w:val="24"/>
        </w:rPr>
        <w:t>Separação de ambientes (desenvolvimento, staging e produção) com configurações independentes;</w:t>
      </w:r>
    </w:p>
    <w:p>
      <w:pPr>
        <w:pStyle w:val="ListBullet"/>
        <w:spacing w:after="60" w:line="360" w:lineRule="exact"/>
        <w:jc w:val="both"/>
      </w:pPr>
      <w:r>
        <w:rPr>
          <w:rFonts w:ascii="Times New Roman" w:hAnsi="Times New Roman"/>
          <w:b w:val="0"/>
          <w:sz w:val="24"/>
        </w:rPr>
        <w:t>Credenciais de APIs externas gerenciadas como variáveis de ambiente, nunca versionadas junto ao código-fonte;</w:t>
      </w:r>
    </w:p>
    <w:p>
      <w:pPr>
        <w:pStyle w:val="ListBullet"/>
        <w:spacing w:after="60" w:line="360" w:lineRule="exact"/>
        <w:jc w:val="both"/>
      </w:pPr>
      <w:r>
        <w:rPr>
          <w:rFonts w:ascii="Times New Roman" w:hAnsi="Times New Roman"/>
          <w:b w:val="0"/>
          <w:sz w:val="24"/>
        </w:rPr>
        <w:t>Logs de operação para rastreabilidade das sincronizações realizadas;</w:t>
      </w:r>
    </w:p>
    <w:p>
      <w:pPr>
        <w:pStyle w:val="ListBullet"/>
        <w:spacing w:after="60" w:line="360" w:lineRule="exact"/>
        <w:jc w:val="both"/>
      </w:pPr>
      <w:r>
        <w:rPr>
          <w:rFonts w:ascii="Times New Roman" w:hAnsi="Times New Roman"/>
          <w:b w:val="0"/>
          <w:sz w:val="24"/>
        </w:rPr>
        <w:t>Tratamento adequado de erros com mensagens padronizadas, evitando exposição de detalhes internos da implementação.</w:t>
      </w:r>
    </w:p>
    <w:p>
      <w:pPr>
        <w:spacing w:before="120" w:after="60"/>
        <w:jc w:val="left"/>
      </w:pPr>
      <w:r>
        <w:rPr>
          <w:rFonts w:ascii="Times New Roman" w:hAnsi="Times New Roman"/>
          <w:b/>
          <w:sz w:val="24"/>
        </w:rPr>
        <w:t>7.4 Considerações sobre Dados Financeiros</w:t>
      </w:r>
    </w:p>
    <w:p>
      <w:pPr>
        <w:spacing w:after="120" w:line="360" w:lineRule="exact"/>
        <w:ind w:firstLine="709"/>
        <w:jc w:val="both"/>
      </w:pPr>
      <w:r>
        <w:rPr>
          <w:rFonts w:ascii="Times New Roman" w:hAnsi="Times New Roman"/>
          <w:b w:val="0"/>
          <w:sz w:val="24"/>
        </w:rPr>
        <w:t>As cotações obtidas e armazenadas pela solução são dados de mercado de natureza pública, provenientes de uma fonte gratuita. O sistema não se propõe a oferecer assessoria financeira ou garantir a exatidão das cotações para fins de transações financeiras. Os usuários são responsáveis por validar as informações junto a fontes oficiais antes de utilizá-las em decisões comerciais ou de investimento.</w:t>
      </w:r>
    </w:p>
    <w:p>
      <w:pPr>
        <w:spacing w:before="240" w:after="120"/>
        <w:jc w:val="left"/>
      </w:pPr>
      <w:r>
        <w:rPr>
          <w:rFonts w:ascii="Times New Roman" w:hAnsi="Times New Roman"/>
          <w:b/>
          <w:sz w:val="24"/>
        </w:rPr>
        <w:t>8. CONCLUSÃO</w:t>
      </w:r>
    </w:p>
    <w:p>
      <w:pPr>
        <w:spacing w:after="120" w:line="360" w:lineRule="exact"/>
        <w:ind w:firstLine="709"/>
        <w:jc w:val="both"/>
      </w:pPr>
      <w:r>
        <w:rPr>
          <w:rFonts w:ascii="Times New Roman" w:hAnsi="Times New Roman"/>
          <w:b w:val="0"/>
          <w:sz w:val="24"/>
        </w:rPr>
        <w:t>O projeto Cotação Online demonstra, na prática, como a integração de APIs permite transformar dados dispersos em informações úteis, acessíveis e seguras. Ao conectar uma API pública de dados cambiais (AwesomeAPI) a um banco de dados no-code (Airtable) por meio de uma API própria desenvolvida em Python/FastAPI, a solução automatiza um processo que, de outra forma, seria manual, lento e sujeito a erros.</w:t>
      </w:r>
    </w:p>
    <w:p>
      <w:pPr>
        <w:spacing w:after="120" w:line="360" w:lineRule="exact"/>
        <w:ind w:firstLine="709"/>
        <w:jc w:val="both"/>
      </w:pPr>
      <w:r>
        <w:rPr>
          <w:rFonts w:ascii="Times New Roman" w:hAnsi="Times New Roman"/>
          <w:b w:val="0"/>
          <w:sz w:val="24"/>
        </w:rPr>
        <w:t>A adoção de boas práticas de segurança — como autenticação JWT, hash de senhas e gestão segura de credenciais — garante que a solução seja não apenas funcional, mas também confiável e alinhada com os princípios de proteção de dados preconizados pela LGPD. O projeto evidencia como conceitos de autenticação, manipulação de dados, integração de sistemas e governança podem ser aplicados de forma coesa em uma solução real de integração digital.</w:t>
      </w:r>
    </w:p>
    <w:p>
      <w:pPr>
        <w:spacing w:before="240" w:after="120"/>
        <w:jc w:val="left"/>
      </w:pPr>
      <w:r>
        <w:rPr>
          <w:rFonts w:ascii="Times New Roman" w:hAnsi="Times New Roman"/>
          <w:b/>
          <w:sz w:val="24"/>
        </w:rPr>
        <w:t>REFERÊNCIAS</w:t>
      </w:r>
    </w:p>
    <w:p>
      <w:pPr>
        <w:spacing w:after="120" w:line="360" w:lineRule="exact"/>
        <w:ind w:left="0" w:firstLine="0"/>
        <w:jc w:val="both"/>
      </w:pPr>
      <w:r>
        <w:rPr>
          <w:rFonts w:ascii="Times New Roman" w:hAnsi="Times New Roman"/>
          <w:b w:val="0"/>
          <w:sz w:val="24"/>
        </w:rPr>
        <w:t>AWESOME API. Documentação da API de Cotações. Disponível em: https://docs.awesomeapi.com.br. Acesso em: ago. 2026.</w:t>
      </w:r>
    </w:p>
    <w:p>
      <w:pPr>
        <w:spacing w:after="120" w:line="360" w:lineRule="exact"/>
        <w:ind w:left="0" w:firstLine="0"/>
        <w:jc w:val="both"/>
      </w:pPr>
      <w:r>
        <w:rPr>
          <w:rFonts w:ascii="Times New Roman" w:hAnsi="Times New Roman"/>
          <w:b w:val="0"/>
          <w:sz w:val="24"/>
        </w:rPr>
        <w:t>AIRTABLE. API Reference. Disponível em: https://airtable.com/developers/web/api/introduction. Acesso em: ago. 2026.</w:t>
      </w:r>
    </w:p>
    <w:p>
      <w:pPr>
        <w:spacing w:after="120" w:line="360" w:lineRule="exact"/>
        <w:ind w:left="0" w:firstLine="0"/>
        <w:jc w:val="both"/>
      </w:pPr>
      <w:r>
        <w:rPr>
          <w:rFonts w:ascii="Times New Roman" w:hAnsi="Times New Roman"/>
          <w:b w:val="0"/>
          <w:sz w:val="24"/>
        </w:rPr>
        <w:t>BRASIL. Lei nº 13.709, de 14 de agosto de 2018. Lei Geral de Proteção de Dados Pessoais (LGPD). Diário Oficial da União, Brasília, DF, 15 ago. 2018.</w:t>
      </w:r>
    </w:p>
    <w:p>
      <w:pPr>
        <w:spacing w:after="120" w:line="360" w:lineRule="exact"/>
        <w:ind w:left="0" w:firstLine="0"/>
        <w:jc w:val="both"/>
      </w:pPr>
      <w:r>
        <w:rPr>
          <w:rFonts w:ascii="Times New Roman" w:hAnsi="Times New Roman"/>
          <w:b w:val="0"/>
          <w:sz w:val="24"/>
        </w:rPr>
        <w:t>FASTAPI. FastAPI Documentation. Disponível em: https://fastapi.tiangolo.com. Acesso em: ago. 2026.</w:t>
      </w:r>
    </w:p>
    <w:p>
      <w:pPr>
        <w:spacing w:after="120" w:line="360" w:lineRule="exact"/>
        <w:ind w:left="0" w:firstLine="0"/>
        <w:jc w:val="both"/>
      </w:pPr>
      <w:r>
        <w:rPr>
          <w:rFonts w:ascii="Times New Roman" w:hAnsi="Times New Roman"/>
          <w:b w:val="0"/>
          <w:sz w:val="24"/>
        </w:rPr>
        <w:t>JONES, M.; BRADLEY, J.; SAKIMURA, N. RFC 7519 – JSON Web Token (JWT). IETF, 2015. Disponível em: https://datatracker.ietf.org/doc/html/rfc7519.</w:t>
      </w:r>
    </w:p>
    <w:p>
      <w:pPr>
        <w:spacing w:after="120" w:line="360" w:lineRule="exact"/>
        <w:ind w:left="0" w:firstLine="0"/>
        <w:jc w:val="both"/>
      </w:pPr>
      <w:r>
        <w:rPr>
          <w:rFonts w:ascii="Times New Roman" w:hAnsi="Times New Roman"/>
          <w:b w:val="0"/>
          <w:sz w:val="24"/>
        </w:rPr>
        <w:t>OPENAPI INITIATIVE. OpenAPI Specification 3.1.0. Disponível em: https://spec.openapis.org/oas/v3.1.0. Acesso em: ago. 2026.</w:t>
      </w:r>
    </w:p>
    <w:p>
      <w:pPr>
        <w:spacing w:after="120" w:line="360" w:lineRule="exact"/>
        <w:ind w:left="0" w:firstLine="0"/>
        <w:jc w:val="both"/>
      </w:pPr>
      <w:r>
        <w:rPr>
          <w:rFonts w:ascii="Times New Roman" w:hAnsi="Times New Roman"/>
          <w:b w:val="0"/>
          <w:sz w:val="24"/>
        </w:rPr>
        <w:t>FIELDING, R. T. Architectural Styles and the Design of Network-based Software Architectures. Tese de Doutorado. University of California, Irvine, 2000.</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