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120"/>
        <w:jc w:val="center"/>
        <w:rPr>
          <w:rStyle w:val="BookTitle"/>
        </w:rPr>
      </w:pPr>
      <w:r>
        <w:rPr>
          <w:rStyle w:val="BookTitle"/>
        </w:rPr>
        <w:t xml:space="preserve">LOS DESAFÍOS DE LA FORMACIÓN </w:t>
      </w:r>
    </w:p>
    <w:p>
      <w:pPr>
        <w:pStyle w:val="Ttulogeneral"/>
        <w:jc w:val="center"/>
        <w:rPr>
          <w:rStyle w:val="BookTitle"/>
        </w:rPr>
      </w:pPr>
      <w:r>
        <w:rPr>
          <w:rStyle w:val="BookTitle"/>
        </w:rPr>
        <w:t xml:space="preserve">TÉCNICO PROFESIONAL EN CHILE: </w:t>
      </w:r>
    </w:p>
    <w:p>
      <w:pPr>
        <w:pStyle w:val="Ttulogeneral"/>
        <w:jc w:val="center"/>
        <w:rPr>
          <w:rStyle w:val="BookTitle"/>
        </w:rPr>
      </w:pPr>
      <w:r>
        <w:rPr>
          <w:rStyle w:val="BookTitle"/>
        </w:rPr>
        <w:t>Fortaleciendo los procesos de retención estudiantil</w:t>
      </w:r>
    </w:p>
    <w:p>
      <w:pPr>
        <w:pStyle w:val="Ttulo1"/>
        <w:numPr>
          <w:ilvl w:val="0"/>
          <w:numId w:val="1"/>
        </w:numPr>
        <w:rPr/>
      </w:pPr>
      <w:r>
        <w:rPr/>
        <w:t>Introducción</w:t>
      </w:r>
    </w:p>
    <w:p>
      <w:pPr>
        <w:pStyle w:val="Normal"/>
        <w:spacing w:lineRule="auto" w:line="360"/>
        <w:jc w:val="both"/>
        <w:rPr/>
      </w:pPr>
      <w:r>
        <w:rPr/>
        <w:t xml:space="preserve">La Ley N°21.091 sobre Educación Superior define la Formación Técnico Profesional (FTP) “como todo proceso de enseñanza de carácter formal y no formal, que contemple el estudio de las tecnologías y las ciencias relacionadas, el desarrollo de aptitudes, competencias, habilidades y conocimientos relacionados con ocupaciones en diversos sectores económicos. Deberá promover el aprendizaje permanente de las personas y su integración en la sociedad”. En tanto, respecto al ámbito de la enseñanza formal, los niveles que la integran son: </w:t>
      </w:r>
    </w:p>
    <w:p>
      <w:pPr>
        <w:pStyle w:val="ListParagraph"/>
        <w:numPr>
          <w:ilvl w:val="0"/>
          <w:numId w:val="4"/>
        </w:numPr>
        <w:jc w:val="both"/>
        <w:rPr/>
      </w:pPr>
      <w:r>
        <w:rPr/>
        <w:t>Educación media de formación técnico profesional.</w:t>
      </w:r>
    </w:p>
    <w:p>
      <w:pPr>
        <w:pStyle w:val="ListParagraph"/>
        <w:numPr>
          <w:ilvl w:val="0"/>
          <w:numId w:val="4"/>
        </w:numPr>
        <w:jc w:val="both"/>
        <w:rPr/>
      </w:pPr>
      <w:r>
        <w:rPr/>
        <w:t xml:space="preserve">Educación superior técnico profesional. </w:t>
      </w:r>
    </w:p>
    <w:p>
      <w:pPr>
        <w:pStyle w:val="Normal"/>
        <w:spacing w:lineRule="auto" w:line="360"/>
        <w:jc w:val="both"/>
        <w:rPr/>
      </w:pPr>
      <w:r>
        <w:rPr/>
        <w:t xml:space="preserve">Ahora bien, la educación superior técnico profesional representó el año 2021 el 42,6% (IP 31,4% y CFT 11,2%) de la matrícula total de Pregrado (Servicio de Información de Educación Superior, 2021) En este contexto, el Ministerio de Educación y el Ministerio del Trabajo y Previsión Social (2020) reconocen la importancia de la formación técnico profesional (FTP) para el país, pues esta contribuye no solo a elevar el estándar de las habilidades laborales, sino también, se relaciona con la mayor productividad y mejor calidad de vida de las personas. A pesar de su importancia, se reconocen una serie de nudos críticos con respecto a la FTP, entre estos destacan las barreras para el desarrollo de las trayectorias educativas y laborales. </w:t>
      </w:r>
    </w:p>
    <w:p>
      <w:pPr>
        <w:pStyle w:val="Normal"/>
        <w:spacing w:lineRule="auto" w:line="360"/>
        <w:jc w:val="both"/>
        <w:rPr/>
      </w:pPr>
      <w:r>
        <w:rPr/>
        <w:t xml:space="preserve">Con tal objeto, dado este nudo crítico, se ha establecido la importancia de diseñar, implementar e impulsar rutas formativas y laborales acordes con los itinerarios de los diferentes sectores económicos, como también contar con un sistema de orientación vocacional y labora. </w:t>
      </w:r>
    </w:p>
    <w:p>
      <w:pPr>
        <w:pStyle w:val="Normal"/>
        <w:spacing w:lineRule="auto" w:line="360"/>
        <w:jc w:val="both"/>
        <w:rPr/>
      </w:pPr>
      <w:r>
        <w:rPr/>
        <w:t xml:space="preserve">Bajo esta perspectiva, las orientaciones señaladas anteriormente buscan realzar las experiencias existentes en el estudiante, y atendiendo las necesidades de las personas en el desarrollo de sus trayectorias educativas y laborales. </w:t>
      </w:r>
    </w:p>
    <w:p>
      <w:pPr>
        <w:pStyle w:val="Normal"/>
        <w:spacing w:lineRule="auto" w:line="360"/>
        <w:jc w:val="both"/>
        <w:rPr/>
      </w:pPr>
      <w:r>
        <w:rPr/>
        <w:t xml:space="preserve">En consecuencia, estas orientaciones implican la importancia de sistematizar las características de los estudiantes que ingresan a este tipo de formación, pues con estas se podrían generar itinerarios educativos acorde con las experiencias de los estudiantes.  En este sentido, levantar perfiles de ingreso para cada carrera se constituye como un insumo valioso para la toma de decisiones de las instituciones, ya que puede contribuir a disminuir este nudo crítico detectado a nivel nacional. </w:t>
      </w:r>
    </w:p>
    <w:p>
      <w:pPr>
        <w:pStyle w:val="Normal"/>
        <w:spacing w:lineRule="auto" w:line="360"/>
        <w:jc w:val="both"/>
        <w:rPr/>
      </w:pPr>
      <w:r>
        <w:rPr/>
        <w:t xml:space="preserve">Otro elemento considerado crítico en el sistema de FTP es la retención de los estudiantes, la que si bien ha aumentado con el paso de los años, aún se constituye como un desafío, pues en la FTP los niveles de retención no superan el 73% (Bruner, Labraña y Álvarez, 2020). </w:t>
      </w:r>
    </w:p>
    <w:p>
      <w:pPr>
        <w:pStyle w:val="Normal"/>
        <w:spacing w:lineRule="auto" w:line="360"/>
        <w:jc w:val="both"/>
        <w:rPr/>
      </w:pPr>
      <w:r>
        <w:rPr/>
        <w:t xml:space="preserve">Así, para Bordón, Canals y Rojas (2015), la retención en la educación técnico profesional está asociada a una serie de variables, como el establecimiento de educación secundaria de proveniencia, la edad del estudiante, y el tener o no acceso a ayudas económicas del Estado. Asimismo, para Herrera (2017) el aumento de la retención se vincula con la mejora de los mecanismos de nivelación y orientación vocacional para los estudiantes de primer año, los acuerdos de convalidación de aprendizajes para avanzar en la articulación, y la generación de más información sobre las características de los estudiantes de este nivel (Perfil de Ingreso). </w:t>
      </w:r>
    </w:p>
    <w:p>
      <w:pPr>
        <w:pStyle w:val="Normal"/>
        <w:spacing w:lineRule="auto" w:line="360"/>
        <w:jc w:val="both"/>
        <w:rPr/>
      </w:pPr>
      <w:r>
        <w:rPr/>
        <w:t xml:space="preserve">Por último, Brunner, Labraña y Álvarez (2020) señalan que en este nivel educativo es importante avanzar en diferentes temáticas, todas ellas con el fin de aumentar las tasas de retención. A saber: a) una docencia centrada en los estudiantes, personalizada y que reconozca los diferentes perfiles, b) flexibilidad en las trayectorias de aprendizaje y c) fomento del sentido de pertenencia. En este sentido, las instituciones deben contar con información que les permitan avanzar en las temáticas planteadas, propiciando el desarrollo de políticas institucionales que apunten a la retención de los estudiantes, como también al desarrollo de trayectorias académicas exitosas. </w:t>
      </w:r>
    </w:p>
    <w:p>
      <w:pPr>
        <w:pStyle w:val="Normal"/>
        <w:spacing w:lineRule="auto" w:line="360"/>
        <w:jc w:val="both"/>
        <w:rPr/>
      </w:pPr>
      <w:r>
        <w:rPr/>
        <w:t xml:space="preserve">Con todo, caracterizar a los estudiantes y sus experiencias laborales pueden contribuir a este cometido, lo mismo conocer el grado de pertenencia con la institución, y la disponibilidad de tiempo para las comprometerse con las diferentes actividades formativas que se proponen. Y por cierto, diseñando estrategias que reconozcan las características de los estudiantes matriculados en este nivel educativo (edad, estado civil, hijos, situación laboral). </w:t>
      </w:r>
    </w:p>
    <w:p>
      <w:pPr>
        <w:pStyle w:val="Ttulo1"/>
        <w:numPr>
          <w:ilvl w:val="0"/>
          <w:numId w:val="1"/>
        </w:numPr>
        <w:rPr/>
      </w:pPr>
      <w:r>
        <w:rPr/>
        <w:t xml:space="preserve">Cuestionario Instituto Tecnológico Universidad de Playa Ancha (ITEC-UPLA) </w:t>
      </w:r>
    </w:p>
    <w:p>
      <w:pPr>
        <w:pStyle w:val="Normal"/>
        <w:spacing w:lineRule="auto" w:line="360"/>
        <w:jc w:val="both"/>
        <w:rPr/>
      </w:pPr>
      <w:r>
        <w:rPr/>
        <w:t xml:space="preserve">El Instituto Tecnológico de la Universidad de Playa Ancha, al inicio del año académico 2022, aplico un cuestionario a sus estudiantes de primer año con el fin de recabar información relevante para potenciar la retención estudiantil, y focalizar los recursos para la admisión 2023. </w:t>
      </w:r>
    </w:p>
    <w:p>
      <w:pPr>
        <w:pStyle w:val="Normal"/>
        <w:spacing w:lineRule="auto" w:line="360"/>
        <w:jc w:val="both"/>
        <w:rPr/>
      </w:pPr>
      <w:r>
        <w:rPr/>
        <w:t>En esta línea, el cuestionario aplicado se compone de 27 ítems, de los cuales, casi el 60% (16) de ellos se enfocan en recolectar información desconocida por la institución, y relevante para la caracterización de sus estudiantes. De cualquier manera, es dable mencionar que 11 ítems consultados tienen por objetivo recolectar información que estaría dentro de los datos recolectados por la institución durante el proceso de matrícula de sus estudiantes. Así, los datos mencionados apuntan hacia características demográficas e historial académico de nivel secundario.</w:t>
      </w:r>
    </w:p>
    <w:p>
      <w:pPr>
        <w:pStyle w:val="Normal"/>
        <w:spacing w:lineRule="auto" w:line="360"/>
        <w:jc w:val="both"/>
        <w:rPr/>
      </w:pPr>
      <w:r>
        <w:rPr/>
        <w:t xml:space="preserve">En este orden de ideas, los ítems que conforman el instrumento aplicado en 2022 pueden ser agrupados en cinco (05) dimensiones. A saber: Identificación, Perfil de ingreso, Uso del tiempo, Sentido de pertinencia y Vulnerabilidad social (Mas detalles en Tabla 1).  Así, considerando que aproximadamente la mitad de la información recolectada por el instrumento corresponden a datos que posee la institución, el instrumento encuentra su fortaleza en 16 ítems, los cuales levantan información posible de agrupar en las dimensiones </w:t>
      </w:r>
      <w:r>
        <w:rPr>
          <w:b/>
          <w:bCs/>
        </w:rPr>
        <w:t>a)</w:t>
      </w:r>
      <w:r>
        <w:rPr/>
        <w:t xml:space="preserve"> Vulnerabilidad social, </w:t>
      </w:r>
      <w:r>
        <w:rPr>
          <w:b/>
          <w:bCs/>
        </w:rPr>
        <w:t>b)</w:t>
      </w:r>
      <w:r>
        <w:rPr/>
        <w:t xml:space="preserve"> Sentido de pertinencia y </w:t>
      </w:r>
      <w:r>
        <w:rPr>
          <w:b/>
          <w:bCs/>
        </w:rPr>
        <w:t>c)</w:t>
      </w:r>
      <w:r>
        <w:rPr/>
        <w:t xml:space="preserve"> Uso del tiempo.</w:t>
      </w:r>
    </w:p>
    <w:p>
      <w:pPr>
        <w:pStyle w:val="Normal"/>
        <w:spacing w:lineRule="auto" w:line="360"/>
        <w:jc w:val="both"/>
        <w:rPr/>
      </w:pPr>
      <w:r>
        <w:rPr/>
        <w:t>En este marco, es primordial señalar que, en el transcurso del año 2021, la Unidad de Análisis y Estudio de la Progresión Académica (ANEPA), desarrolló un modelo teórico-empírico para explicar el fenómeno de la retención universitaria. Este modelo considera una serie de variables e indicadores que, agrupados en tres dimensiones, se transforma en una herramienta capaz de apoyar las acciones tendientes a lograr un aumento de las tasas de persistencia estudiantil.</w:t>
      </w:r>
    </w:p>
    <w:p>
      <w:pPr>
        <w:pStyle w:val="Normal"/>
        <w:spacing w:lineRule="auto" w:line="360"/>
        <w:jc w:val="both"/>
        <w:rPr/>
      </w:pPr>
      <w:r>
        <w:rPr/>
        <w:t xml:space="preserve">Sin embargo, pese a que el modelo propuesto por ANEPA (2021) encuentra su fortaleza en el ámbito de la educación universitaria, es posible encontrar puntos en común (Ver tabla 2) con las propuestas orientadas hacia la retención estudiantil en la educación técnico profesional y descritas en párrafos anteriores (Bordón, Canals y Rojas, 2015; Herrera, 2017; Acción Educar, 2018). </w:t>
      </w:r>
    </w:p>
    <w:p>
      <w:pPr>
        <w:pStyle w:val="Normal"/>
        <w:spacing w:lineRule="auto" w:line="360"/>
        <w:jc w:val="both"/>
        <w:rPr/>
      </w:pPr>
      <w:r>
        <w:rPr/>
        <w:t>No obstante, Acción Educar (2018) hace una propuesta respecto a los tipos de incentivos que en la educación técnico profesional potencian las acciones tendientes hacia el fortalecimiento de la persistencia estudiantil.</w:t>
      </w:r>
    </w:p>
    <w:p>
      <w:pPr>
        <w:pStyle w:val="ListParagraph"/>
        <w:numPr>
          <w:ilvl w:val="0"/>
          <w:numId w:val="3"/>
        </w:numPr>
        <w:jc w:val="both"/>
        <w:rPr/>
      </w:pPr>
      <w:r>
        <w:rPr/>
        <w:t>Incentivos económicos para alumnos de excelencia</w:t>
      </w:r>
    </w:p>
    <w:p>
      <w:pPr>
        <w:pStyle w:val="ListParagraph"/>
        <w:numPr>
          <w:ilvl w:val="0"/>
          <w:numId w:val="3"/>
        </w:numPr>
        <w:jc w:val="both"/>
        <w:rPr/>
      </w:pPr>
      <w:r>
        <w:rPr/>
        <w:t>Creación de pasantías en empresas del estado</w:t>
      </w:r>
    </w:p>
    <w:p>
      <w:pPr>
        <w:pStyle w:val="ListParagraph"/>
        <w:numPr>
          <w:ilvl w:val="0"/>
          <w:numId w:val="3"/>
        </w:numPr>
        <w:jc w:val="both"/>
        <w:rPr/>
      </w:pPr>
      <w:r>
        <w:rPr/>
        <w:t>Sistema de fondos concursables para la investigación y la innovación</w:t>
      </w:r>
    </w:p>
    <w:p>
      <w:pPr>
        <w:pStyle w:val="Normal"/>
        <w:jc w:val="both"/>
        <w:rPr/>
      </w:pPr>
      <w:r>
        <w:rPr/>
      </w:r>
    </w:p>
    <w:p>
      <w:pPr>
        <w:pStyle w:val="Normal"/>
        <w:jc w:val="both"/>
        <w:rPr/>
      </w:pPr>
      <w:r>
        <w:rPr>
          <w:b/>
          <w:bCs/>
        </w:rPr>
        <w:t>Tabla 1.</w:t>
      </w:r>
      <w:r>
        <w:rPr/>
        <w:t xml:space="preserve"> Ítems incluidos en instrumento aplicado por ITEC-UPLA en 2022 y agrupados por dimensión.</w:t>
      </w:r>
    </w:p>
    <w:tbl>
      <w:tblPr>
        <w:tblStyle w:val="Tablanormal2"/>
        <w:tblW w:w="88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0"/>
        <w:gridCol w:w="1815"/>
        <w:gridCol w:w="1813"/>
        <w:gridCol w:w="1920"/>
        <w:gridCol w:w="1697"/>
      </w:tblGrid>
      <w:tr>
        <w:trPr>
          <w:cnfStyle w:val="100000000000" w:firstRow="1" w:lastRow="0" w:firstColumn="0" w:lastColumn="0" w:oddVBand="0" w:evenVBand="0" w:oddHBand="0" w:evenHBand="0" w:firstRowFirstColumn="0" w:firstRowLastColumn="0" w:lastRowFirstColumn="0" w:lastRowLastColumn="0"/>
        </w:trPr>
        <w:tc>
          <w:tcPr>
            <w:tcW w:w="1590" w:type="dxa"/>
            <w:cnfStyle w:val="001000000000" w:firstRow="0" w:lastRow="0" w:firstColumn="1" w:lastColumn="0" w:oddVBand="0" w:evenVBand="0" w:oddHBand="0" w:evenHBand="0" w:firstRowFirstColumn="0" w:firstRowLastColumn="0" w:lastRowFirstColumn="0" w:lastRowLastColumn="0"/>
            <w:tcBorders>
              <w:bottom w:val="single" w:sz="4" w:space="0" w:color="000000"/>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Identificación Demográfica</w:t>
            </w:r>
          </w:p>
        </w:tc>
        <w:tc>
          <w:tcPr>
            <w:tcW w:w="1815" w:type="dxa"/>
            <w:tcBorders>
              <w:bottom w:val="single" w:sz="4" w:space="0" w:color="000000"/>
            </w:tcBorders>
          </w:tcPr>
          <w:p>
            <w:pPr>
              <w:pStyle w:val="Contenidodelatabla"/>
              <w:widowControl w:val="false"/>
              <w:suppressAutoHyphens w:val="true"/>
              <w:spacing w:before="0" w:after="160"/>
              <w:jc w:val="left"/>
              <w:cnfStyle w:val="100000000000" w:firstRow="1" w:lastRow="0" w:firstColumn="0" w:lastColumn="0" w:oddVBand="0" w:evenVBand="0" w:oddHBand="0" w:evenHBand="0" w:firstRowFirstColumn="0" w:firstRowLastColumn="0" w:lastRowFirstColumn="0" w:lastRowLastColumn="0"/>
              <w:rPr>
                <w:color w:val="000000"/>
                <w:sz w:val="16"/>
                <w:szCs w:val="16"/>
              </w:rPr>
            </w:pPr>
            <w:r>
              <w:rPr>
                <w:rFonts w:eastAsia="Calibri" w:cs=""/>
                <w:b/>
                <w:bCs/>
                <w:color w:val="000000"/>
                <w:kern w:val="0"/>
                <w:sz w:val="16"/>
                <w:szCs w:val="16"/>
                <w:lang w:val="es-CL" w:eastAsia="en-US" w:bidi="ar-SA"/>
              </w:rPr>
              <w:t>Perfil de Ingreso</w:t>
            </w:r>
          </w:p>
        </w:tc>
        <w:tc>
          <w:tcPr>
            <w:tcW w:w="1813" w:type="dxa"/>
            <w:tcBorders>
              <w:bottom w:val="single" w:sz="4" w:space="0" w:color="000000"/>
            </w:tcBorders>
          </w:tcPr>
          <w:p>
            <w:pPr>
              <w:pStyle w:val="Contenidodelatabla"/>
              <w:widowControl w:val="false"/>
              <w:suppressAutoHyphens w:val="true"/>
              <w:spacing w:before="0" w:after="160"/>
              <w:jc w:val="left"/>
              <w:cnfStyle w:val="100000000000" w:firstRow="1" w:lastRow="0" w:firstColumn="0" w:lastColumn="0" w:oddVBand="0" w:evenVBand="0" w:oddHBand="0" w:evenHBand="0" w:firstRowFirstColumn="0" w:firstRowLastColumn="0" w:lastRowFirstColumn="0" w:lastRowLastColumn="0"/>
              <w:rPr>
                <w:color w:val="000000"/>
                <w:sz w:val="16"/>
                <w:szCs w:val="16"/>
              </w:rPr>
            </w:pPr>
            <w:r>
              <w:rPr>
                <w:rFonts w:eastAsia="Calibri" w:cs=""/>
                <w:b/>
                <w:bCs/>
                <w:color w:val="000000"/>
                <w:kern w:val="0"/>
                <w:sz w:val="16"/>
                <w:szCs w:val="16"/>
                <w:lang w:val="es-CL" w:eastAsia="en-US" w:bidi="ar-SA"/>
              </w:rPr>
              <w:t>Uso del tiempo</w:t>
            </w:r>
          </w:p>
        </w:tc>
        <w:tc>
          <w:tcPr>
            <w:tcW w:w="1920" w:type="dxa"/>
            <w:tcBorders>
              <w:bottom w:val="single" w:sz="4" w:space="0" w:color="000000"/>
            </w:tcBorders>
          </w:tcPr>
          <w:p>
            <w:pPr>
              <w:pStyle w:val="Contenidodelatabla"/>
              <w:widowControl w:val="false"/>
              <w:suppressAutoHyphens w:val="true"/>
              <w:spacing w:before="0" w:after="160"/>
              <w:jc w:val="left"/>
              <w:cnfStyle w:val="100000000000" w:firstRow="1" w:lastRow="0" w:firstColumn="0" w:lastColumn="0" w:oddVBand="0" w:evenVBand="0" w:oddHBand="0" w:evenHBand="0" w:firstRowFirstColumn="0" w:firstRowLastColumn="0" w:lastRowFirstColumn="0" w:lastRowLastColumn="0"/>
              <w:rPr>
                <w:color w:val="000000"/>
                <w:sz w:val="16"/>
                <w:szCs w:val="16"/>
              </w:rPr>
            </w:pPr>
            <w:r>
              <w:rPr>
                <w:rFonts w:eastAsia="Calibri" w:cs=""/>
                <w:b/>
                <w:bCs/>
                <w:color w:val="000000"/>
                <w:kern w:val="0"/>
                <w:sz w:val="16"/>
                <w:szCs w:val="16"/>
                <w:lang w:val="es-CL" w:eastAsia="en-US" w:bidi="ar-SA"/>
              </w:rPr>
              <w:t>Sentido Pertinencia</w:t>
            </w:r>
          </w:p>
        </w:tc>
        <w:tc>
          <w:tcPr>
            <w:tcW w:w="1697" w:type="dxa"/>
            <w:tcBorders>
              <w:bottom w:val="single" w:sz="4" w:space="0" w:color="000000"/>
            </w:tcBorders>
          </w:tcPr>
          <w:p>
            <w:pPr>
              <w:pStyle w:val="Contenidodelatabla"/>
              <w:widowControl w:val="false"/>
              <w:suppressAutoHyphens w:val="true"/>
              <w:spacing w:before="0" w:after="160"/>
              <w:jc w:val="left"/>
              <w:cnfStyle w:val="100000000000" w:firstRow="1" w:lastRow="0" w:firstColumn="0" w:lastColumn="0" w:oddVBand="0" w:evenVBand="0" w:oddHBand="0" w:evenHBand="0" w:firstRowFirstColumn="0" w:firstRowLastColumn="0" w:lastRowFirstColumn="0" w:lastRowLastColumn="0"/>
              <w:rPr>
                <w:sz w:val="16"/>
                <w:szCs w:val="16"/>
              </w:rPr>
            </w:pPr>
            <w:r>
              <w:rPr>
                <w:rFonts w:eastAsia="Calibri" w:cs=""/>
                <w:b/>
                <w:bCs/>
                <w:kern w:val="0"/>
                <w:sz w:val="16"/>
                <w:szCs w:val="16"/>
                <w:lang w:val="es-CL" w:eastAsia="en-US" w:bidi="ar-SA"/>
              </w:rPr>
              <w:t>Vulnerabilidad Social</w:t>
            </w:r>
          </w:p>
        </w:tc>
      </w:tr>
      <w:tr>
        <w:trPr>
          <w:cnfStyle w:val="000000100000" w:firstRow="0" w:lastRow="0" w:firstColumn="0" w:lastColumn="0" w:oddVBand="0" w:evenVBand="0" w:oddHBand="1" w:evenHBand="0" w:firstRowFirstColumn="0" w:firstRowLastColumn="0" w:lastRowFirstColumn="0" w:lastRowLastColumn="0"/>
        </w:trPr>
        <w:tc>
          <w:tcPr>
            <w:tcW w:w="1590"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RUT</w:t>
            </w:r>
          </w:p>
        </w:tc>
        <w:tc>
          <w:tcPr>
            <w:tcW w:w="1815"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Nombre del establecimiento educativo donde finalizó su Enseñanza Media</w:t>
            </w:r>
          </w:p>
        </w:tc>
        <w:tc>
          <w:tcPr>
            <w:tcW w:w="1813"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En la actualidad ¿desarrolla alguna actividad remunerada?</w:t>
            </w:r>
          </w:p>
        </w:tc>
        <w:tc>
          <w:tcPr>
            <w:tcW w:w="192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Por cuál o cuáles medios se enteró de las carreras que imparte el Instituto Tecnológico de la Universidad de Playa Ancha (puede marcar más de una opción)</w:t>
            </w:r>
          </w:p>
        </w:tc>
        <w:tc>
          <w:tcPr>
            <w:tcW w:w="1697"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¿Tiene problemas para asistir o regresar de las clases presenciales en la Universidad?</w:t>
            </w:r>
          </w:p>
        </w:tc>
      </w:tr>
      <w:tr>
        <w:trPr/>
        <w:tc>
          <w:tcPr>
            <w:tcW w:w="15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 xml:space="preserve">Nombre, Primer Apellido y Segundo Apellido </w:t>
            </w:r>
          </w:p>
        </w:tc>
        <w:tc>
          <w:tcPr>
            <w:tcW w:w="1815"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Tipo de programa que cursó para finalizar su Enseñanza Media</w:t>
            </w:r>
          </w:p>
        </w:tc>
        <w:tc>
          <w:tcPr>
            <w:tcW w:w="1813"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En caso de haber respondido "Si" a la pregunta anterior, ¿en qué modalidad de trabajo se encuentra?</w:t>
            </w:r>
          </w:p>
        </w:tc>
        <w:tc>
          <w:tcPr>
            <w:tcW w:w="1920"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Por cuál o cuáles motivos escogió la carrera técnica que estudia actualmente (puede marcar más de una opción)</w:t>
            </w:r>
          </w:p>
        </w:tc>
        <w:tc>
          <w:tcPr>
            <w:tcW w:w="1697"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En caso de haber respondido "SI" o "A veces" a la pregunta anterior, ¿cuál o cuáles son esos problemas?</w:t>
            </w:r>
          </w:p>
        </w:tc>
      </w:tr>
      <w:tr>
        <w:trPr>
          <w:cnfStyle w:val="000000100000" w:firstRow="0" w:lastRow="0" w:firstColumn="0" w:lastColumn="0" w:oddVBand="0" w:evenVBand="0" w:oddHBand="1" w:evenHBand="0" w:firstRowFirstColumn="0" w:firstRowLastColumn="0" w:lastRowFirstColumn="0" w:lastRowLastColumn="0"/>
        </w:trPr>
        <w:tc>
          <w:tcPr>
            <w:tcW w:w="1590"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Edad y Rango Etareo</w:t>
            </w:r>
          </w:p>
        </w:tc>
        <w:tc>
          <w:tcPr>
            <w:tcW w:w="1815"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Año en que egresó de la Enseñanza Media</w:t>
            </w:r>
          </w:p>
        </w:tc>
        <w:tc>
          <w:tcPr>
            <w:tcW w:w="1813"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En caso de haber respondido "Si" a la pregunta sobre alguna actividad remunerada, ¿cuántas horas semanales dedica a esa actividad?</w:t>
            </w:r>
          </w:p>
        </w:tc>
        <w:tc>
          <w:tcPr>
            <w:tcW w:w="192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¿Está utilizando su correo institucional?</w:t>
            </w:r>
          </w:p>
        </w:tc>
        <w:tc>
          <w:tcPr>
            <w:tcW w:w="1697"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22"/>
                <w:szCs w:val="22"/>
                <w:lang w:val="es-CL" w:eastAsia="en-US" w:bidi="ar-SA"/>
              </w:rPr>
            </w:r>
          </w:p>
        </w:tc>
      </w:tr>
      <w:tr>
        <w:trPr/>
        <w:tc>
          <w:tcPr>
            <w:tcW w:w="15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Rango Etareo</w:t>
            </w:r>
          </w:p>
        </w:tc>
        <w:tc>
          <w:tcPr>
            <w:tcW w:w="1815"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Modalidad de Educación que cursó durante la Enseñanza Media</w:t>
            </w:r>
          </w:p>
        </w:tc>
        <w:tc>
          <w:tcPr>
            <w:tcW w:w="1813"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920"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¿Ha ingresado a las aulas virtuales de las asignaturas que está cursando?</w:t>
            </w:r>
          </w:p>
        </w:tc>
        <w:tc>
          <w:tcPr>
            <w:tcW w:w="1697"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590"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Comuna donde reside actualmente; Si su respuesta anterior fue "Otra comuna", mencione la que corresponde</w:t>
            </w:r>
          </w:p>
        </w:tc>
        <w:tc>
          <w:tcPr>
            <w:tcW w:w="1815"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En caso de haber cursado la Educación Media Técnico Profesional, ¿cuál es el nombre de la especialidad que cursó?</w:t>
            </w:r>
          </w:p>
        </w:tc>
        <w:tc>
          <w:tcPr>
            <w:tcW w:w="1813"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92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¿Qué tan satisfecho/a se encuentra hasta el momento con el desarrollo de las clases?</w:t>
            </w:r>
          </w:p>
        </w:tc>
        <w:tc>
          <w:tcPr>
            <w:tcW w:w="1697"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sz w:val="16"/>
                <w:szCs w:val="16"/>
              </w:rPr>
            </w:pPr>
            <w:r>
              <w:rPr>
                <w:rFonts w:eastAsia="Calibri" w:cs=""/>
                <w:kern w:val="0"/>
                <w:sz w:val="22"/>
                <w:szCs w:val="22"/>
                <w:lang w:val="es-CL" w:eastAsia="en-US" w:bidi="ar-SA"/>
              </w:rPr>
            </w:r>
          </w:p>
        </w:tc>
      </w:tr>
      <w:tr>
        <w:trPr/>
        <w:tc>
          <w:tcPr>
            <w:tcW w:w="159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Carrera que cursa actualmente en el Instituto Tecnológico de la Universidad de Playa Ancha</w:t>
            </w:r>
          </w:p>
        </w:tc>
        <w:tc>
          <w:tcPr>
            <w:tcW w:w="1815"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22"/>
                <w:szCs w:val="22"/>
                <w:lang w:val="es-CL" w:eastAsia="en-US" w:bidi="ar-SA"/>
              </w:rPr>
            </w:r>
          </w:p>
        </w:tc>
        <w:tc>
          <w:tcPr>
            <w:tcW w:w="1813"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920"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Calibri" w:cs=""/>
                <w:color w:val="000000"/>
                <w:kern w:val="0"/>
                <w:sz w:val="16"/>
                <w:szCs w:val="16"/>
                <w:lang w:val="es-CL" w:eastAsia="en-US" w:bidi="ar-SA"/>
              </w:rPr>
              <w:t>Si desea, puede escribe otros comentarios que considere importante comunicarnos</w:t>
            </w:r>
          </w:p>
        </w:tc>
        <w:tc>
          <w:tcPr>
            <w:tcW w:w="1697"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590"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Correo electrónico personal</w:t>
            </w:r>
          </w:p>
        </w:tc>
        <w:tc>
          <w:tcPr>
            <w:tcW w:w="1815"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22"/>
                <w:szCs w:val="22"/>
                <w:lang w:val="es-CL" w:eastAsia="en-US" w:bidi="ar-SA"/>
              </w:rPr>
            </w:r>
          </w:p>
        </w:tc>
        <w:tc>
          <w:tcPr>
            <w:tcW w:w="1813"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92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color w:val="000000"/>
                <w:sz w:val="16"/>
                <w:szCs w:val="16"/>
              </w:rPr>
            </w:pPr>
            <w:r>
              <w:rPr>
                <w:rFonts w:eastAsia="Calibri" w:cs=""/>
                <w:color w:val="000000"/>
                <w:kern w:val="0"/>
                <w:sz w:val="22"/>
                <w:szCs w:val="22"/>
                <w:lang w:val="es-CL" w:eastAsia="en-US" w:bidi="ar-SA"/>
              </w:rPr>
            </w:r>
          </w:p>
        </w:tc>
        <w:tc>
          <w:tcPr>
            <w:tcW w:w="1697"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sz w:val="16"/>
                <w:szCs w:val="16"/>
              </w:rPr>
            </w:pPr>
            <w:r>
              <w:rPr>
                <w:rFonts w:eastAsia="Calibri" w:cs=""/>
                <w:kern w:val="0"/>
                <w:sz w:val="22"/>
                <w:szCs w:val="22"/>
                <w:lang w:val="es-CL" w:eastAsia="en-US" w:bidi="ar-SA"/>
              </w:rPr>
            </w:r>
          </w:p>
        </w:tc>
      </w:tr>
      <w:tr>
        <w:trPr/>
        <w:tc>
          <w:tcPr>
            <w:tcW w:w="1590" w:type="dxa"/>
            <w:cnfStyle w:val="001000000000" w:firstRow="0" w:lastRow="0" w:firstColumn="1" w:lastColumn="0" w:oddVBand="0" w:evenVBand="0" w:oddHBand="0" w:evenHBand="0" w:firstRowFirstColumn="0" w:firstRowLastColumn="0" w:lastRowFirstColumn="0" w:lastRowLastColumn="0"/>
            <w:tcBorders>
              <w:top w:val="nil"/>
            </w:tcBorders>
          </w:tcPr>
          <w:p>
            <w:pPr>
              <w:pStyle w:val="Contenidodelatabla"/>
              <w:widowControl w:val="false"/>
              <w:suppressAutoHyphens w:val="true"/>
              <w:spacing w:before="0" w:after="160"/>
              <w:jc w:val="left"/>
              <w:rPr>
                <w:color w:val="000000"/>
                <w:sz w:val="16"/>
                <w:szCs w:val="16"/>
              </w:rPr>
            </w:pPr>
            <w:r>
              <w:rPr>
                <w:rFonts w:eastAsia="Calibri" w:cs=""/>
                <w:b/>
                <w:bCs/>
                <w:color w:val="000000"/>
                <w:kern w:val="0"/>
                <w:sz w:val="16"/>
                <w:szCs w:val="16"/>
                <w:lang w:val="es-CL" w:eastAsia="en-US" w:bidi="ar-SA"/>
              </w:rPr>
              <w:t>N° de celular</w:t>
            </w:r>
          </w:p>
        </w:tc>
        <w:tc>
          <w:tcPr>
            <w:tcW w:w="1815" w:type="dxa"/>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813" w:type="dxa"/>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920" w:type="dxa"/>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c>
          <w:tcPr>
            <w:tcW w:w="1697" w:type="dxa"/>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sz w:val="16"/>
                <w:szCs w:val="16"/>
              </w:rPr>
            </w:pPr>
            <w:r>
              <w:rPr>
                <w:rFonts w:eastAsia="Calibri" w:cs=""/>
                <w:kern w:val="0"/>
                <w:sz w:val="22"/>
                <w:szCs w:val="22"/>
                <w:lang w:val="es-CL" w:eastAsia="en-US" w:bidi="ar-SA"/>
              </w:rPr>
            </w:r>
          </w:p>
        </w:tc>
      </w:tr>
    </w:tbl>
    <w:p>
      <w:pPr>
        <w:pStyle w:val="Normal"/>
        <w:jc w:val="both"/>
        <w:rPr/>
      </w:pPr>
      <w:r>
        <w:rPr>
          <w:b/>
          <w:bCs/>
        </w:rPr>
        <w:t>Fuente</w:t>
      </w:r>
      <w:r>
        <w:rPr/>
        <w:t>: Elaboración propia basado en Cuestionario 2022 aplicado por ITEC-UPLA</w:t>
      </w:r>
    </w:p>
    <w:p>
      <w:pPr>
        <w:pStyle w:val="Normal"/>
        <w:jc w:val="both"/>
        <w:rPr/>
      </w:pPr>
      <w:r>
        <w:rPr/>
        <w:t xml:space="preserve"> </w:t>
      </w:r>
    </w:p>
    <w:p>
      <w:pPr>
        <w:pStyle w:val="Normal"/>
        <w:jc w:val="both"/>
        <w:rPr/>
      </w:pPr>
      <w:r>
        <w:rPr>
          <w:b/>
          <w:bCs/>
        </w:rPr>
        <w:t>Tabla 2.</w:t>
      </w:r>
      <w:r>
        <w:rPr/>
        <w:t xml:space="preserve"> Dimensiones Modelo retención propuesto por ANEPA (2021) y su intersección con otros modelos de retención orientados a la educación técnico profesional.</w:t>
      </w:r>
    </w:p>
    <w:tbl>
      <w:tblPr>
        <w:tblStyle w:val="Tablanormal2"/>
        <w:tblW w:w="88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3"/>
        <w:gridCol w:w="3570"/>
        <w:gridCol w:w="2822"/>
      </w:tblGrid>
      <w:tr>
        <w:trPr>
          <w:cnfStyle w:val="100000000000" w:firstRow="1" w:lastRow="0" w:firstColumn="0" w:lastColumn="0" w:oddVBand="0" w:evenVBand="0" w:oddHBand="0" w:evenHBand="0" w:firstRowFirstColumn="0" w:firstRowLastColumn="0" w:lastRowFirstColumn="0" w:lastRowLastColumn="0"/>
        </w:trPr>
        <w:tc>
          <w:tcPr>
            <w:tcW w:w="2443" w:type="dxa"/>
            <w:cnfStyle w:val="001000000000" w:firstRow="0" w:lastRow="0" w:firstColumn="1" w:lastColumn="0" w:oddVBand="0" w:evenVBand="0" w:oddHBand="0" w:evenHBand="0" w:firstRowFirstColumn="0" w:firstRowLastColumn="0" w:lastRowFirstColumn="0" w:lastRowLastColumn="0"/>
            <w:tcBorders>
              <w:bottom w:val="single" w:sz="4" w:space="0" w:color="000000"/>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t>Dimensión</w:t>
            </w:r>
          </w:p>
        </w:tc>
        <w:tc>
          <w:tcPr>
            <w:tcW w:w="3570" w:type="dxa"/>
            <w:tcBorders>
              <w:bottom w:val="single" w:sz="4" w:space="0" w:color="000000"/>
            </w:tcBorders>
          </w:tcPr>
          <w:p>
            <w:pPr>
              <w:pStyle w:val="Contenidodelatabla"/>
              <w:widowControl w:val="false"/>
              <w:suppressAutoHyphens w:val="true"/>
              <w:spacing w:before="0" w:after="160"/>
              <w:jc w:val="left"/>
              <w:cnfStyle w:val="100000000000" w:firstRow="1" w:lastRow="0" w:firstColumn="0" w:lastColumn="0" w:oddVBand="0" w:evenVBand="0" w:oddHBand="0" w:evenHBand="0" w:firstRowFirstColumn="0" w:firstRowLastColumn="0" w:lastRowFirstColumn="0" w:lastRowLastColumn="0"/>
              <w:rPr>
                <w:rFonts w:ascii="Calibri" w:hAnsi="Calibri" w:eastAsia="Calibri"/>
              </w:rPr>
            </w:pPr>
            <w:r>
              <w:rPr>
                <w:rFonts w:eastAsia="Calibri" w:cs=""/>
                <w:b/>
                <w:bCs/>
                <w:kern w:val="0"/>
                <w:sz w:val="22"/>
                <w:szCs w:val="22"/>
                <w:lang w:val="es-CL" w:eastAsia="en-US" w:bidi="ar-SA"/>
              </w:rPr>
              <w:t>Subdimensión</w:t>
            </w:r>
          </w:p>
        </w:tc>
        <w:tc>
          <w:tcPr>
            <w:tcW w:w="2822" w:type="dxa"/>
            <w:tcBorders>
              <w:bottom w:val="single" w:sz="4" w:space="0" w:color="000000"/>
            </w:tcBorders>
          </w:tcPr>
          <w:p>
            <w:pPr>
              <w:pStyle w:val="Contenidodelatabla"/>
              <w:widowControl w:val="false"/>
              <w:suppressAutoHyphens w:val="true"/>
              <w:spacing w:before="0" w:after="160"/>
              <w:jc w:val="left"/>
              <w:cnfStyle w:val="100000000000" w:firstRow="1" w:lastRow="0" w:firstColumn="0" w:lastColumn="0" w:oddVBand="0" w:evenVBand="0" w:oddHBand="0" w:evenHBand="0" w:firstRowFirstColumn="0" w:firstRowLastColumn="0" w:lastRowFirstColumn="0" w:lastRowLastColumn="0"/>
              <w:rPr>
                <w:rFonts w:ascii="Calibri" w:hAnsi="Calibri" w:eastAsia="Calibri"/>
              </w:rPr>
            </w:pPr>
            <w:r>
              <w:rPr>
                <w:rFonts w:eastAsia="Calibri" w:cs=""/>
                <w:b/>
                <w:bCs/>
                <w:kern w:val="0"/>
                <w:sz w:val="22"/>
                <w:szCs w:val="22"/>
                <w:lang w:val="es-CL" w:eastAsia="en-US" w:bidi="ar-SA"/>
              </w:rPr>
              <w:t>Presente en</w:t>
            </w:r>
          </w:p>
        </w:tc>
      </w:tr>
      <w:tr>
        <w:trPr>
          <w:trHeight w:val="299" w:hRule="atLeast"/>
          <w:cnfStyle w:val="000000100000" w:firstRow="0" w:lastRow="0" w:firstColumn="0" w:lastColumn="0" w:oddVBand="0" w:evenVBand="0" w:oddHBand="1" w:evenHBand="0" w:firstRowFirstColumn="0" w:firstRowLastColumn="0" w:lastRowFirstColumn="0" w:lastRowLastColumn="0"/>
        </w:trPr>
        <w:tc>
          <w:tcPr>
            <w:tcW w:w="2443"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bottom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t>Condiciones Iniciales Potenciales de Riesgo</w:t>
            </w:r>
          </w:p>
        </w:tc>
        <w:tc>
          <w:tcPr>
            <w:tcW w:w="357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Académicas</w:t>
            </w:r>
          </w:p>
        </w:tc>
        <w:tc>
          <w:tcPr>
            <w:tcW w:w="2822" w:type="dxa"/>
            <w:vMerge w:val="restart"/>
            <w:tcBorders>
              <w:top w:val="single" w:sz="4" w:space="0" w:color="000000"/>
              <w:bottom w:val="nil"/>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Bordón, Canals y Rojas (2015)</w:t>
            </w:r>
          </w:p>
        </w:tc>
      </w:tr>
      <w:tr>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nil"/>
              <w:bottom w:val="nil"/>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Socio Económicas</w:t>
            </w:r>
          </w:p>
        </w:tc>
        <w:tc>
          <w:tcPr>
            <w:tcW w:w="2822" w:type="dxa"/>
            <w:vMerge w:val="continue"/>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single" w:sz="4" w:space="0" w:color="000000"/>
              <w:bottom w:val="single" w:sz="4" w:space="0" w:color="000000"/>
            </w:tcBorders>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Diversidad</w:t>
            </w:r>
          </w:p>
        </w:tc>
        <w:tc>
          <w:tcPr>
            <w:tcW w:w="2822"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Ausente</w:t>
            </w:r>
          </w:p>
        </w:tc>
      </w:tr>
      <w:tr>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Psicológicas</w:t>
            </w:r>
          </w:p>
        </w:tc>
        <w:tc>
          <w:tcPr>
            <w:tcW w:w="2822"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Ausente</w:t>
            </w:r>
          </w:p>
        </w:tc>
      </w:tr>
      <w:tr>
        <w:trPr>
          <w:cnfStyle w:val="000000100000" w:firstRow="0" w:lastRow="0" w:firstColumn="0" w:lastColumn="0" w:oddVBand="0" w:evenVBand="0" w:oddHBand="1" w:evenHBand="0" w:firstRowFirstColumn="0" w:firstRowLastColumn="0" w:lastRowFirstColumn="0" w:lastRowLastColumn="0"/>
        </w:trPr>
        <w:tc>
          <w:tcPr>
            <w:tcW w:w="2443"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bottom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t>Progresión del Itinerario Formativo</w:t>
            </w:r>
          </w:p>
        </w:tc>
        <w:tc>
          <w:tcPr>
            <w:tcW w:w="357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Desempeño Académico</w:t>
            </w:r>
          </w:p>
        </w:tc>
        <w:tc>
          <w:tcPr>
            <w:tcW w:w="2822"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Ausente</w:t>
            </w:r>
          </w:p>
        </w:tc>
      </w:tr>
      <w:tr>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Indicadores Riesgo Académico</w:t>
            </w:r>
          </w:p>
        </w:tc>
        <w:tc>
          <w:tcPr>
            <w:tcW w:w="2822" w:type="dxa"/>
            <w:vMerge w:val="restart"/>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 xml:space="preserve">Herrera (2017) </w:t>
            </w:r>
          </w:p>
        </w:tc>
      </w:tr>
      <w:tr>
        <w:trPr>
          <w:cnfStyle w:val="000000100000" w:firstRow="0" w:lastRow="0" w:firstColumn="0" w:lastColumn="0" w:oddVBand="0" w:evenVBand="0" w:oddHBand="1" w:evenHBand="0" w:firstRowFirstColumn="0" w:firstRowLastColumn="0" w:lastRowFirstColumn="0" w:lastRowLastColumn="0"/>
        </w:trPr>
        <w:tc>
          <w:tcPr>
            <w:tcW w:w="2443"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t>Estrategias de Retención y Seguimiento</w:t>
            </w:r>
          </w:p>
        </w:tc>
        <w:tc>
          <w:tcPr>
            <w:tcW w:w="357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Académicas, Psicológicas y Vocacionales</w:t>
            </w:r>
          </w:p>
        </w:tc>
        <w:tc>
          <w:tcPr>
            <w:tcW w:w="2822" w:type="dxa"/>
            <w:vMerge w:val="continue"/>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r>
          </w:p>
        </w:tc>
      </w:tr>
      <w:tr>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Integración Institucional</w:t>
            </w:r>
          </w:p>
        </w:tc>
        <w:tc>
          <w:tcPr>
            <w:tcW w:w="2822" w:type="dxa"/>
            <w:vMerge w:val="continue"/>
            <w:tcBorders>
              <w:top w:val="nil"/>
              <w:bottom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Bienestar Estudiantil</w:t>
            </w:r>
          </w:p>
        </w:tc>
        <w:tc>
          <w:tcPr>
            <w:tcW w:w="2822" w:type="dxa"/>
            <w:vMerge w:val="continue"/>
            <w:tcBorders>
              <w:top w:val="single" w:sz="4" w:space="0" w:color="000000"/>
              <w:bottom w:val="single" w:sz="4" w:space="0" w:color="000000"/>
            </w:tcBorders>
          </w:tcPr>
          <w:p>
            <w:pPr>
              <w:pStyle w:val="Contenidodelatabla"/>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r>
          </w:p>
        </w:tc>
      </w:tr>
      <w:tr>
        <w:trPr/>
        <w:tc>
          <w:tcPr>
            <w:tcW w:w="2443" w:type="dxa"/>
            <w:vMerge w:val="continue"/>
            <w:cnfStyle w:val="001000000000" w:firstRow="0" w:lastRow="0" w:firstColumn="1" w:lastColumn="0" w:oddVBand="0" w:evenVBand="0" w:oddHBand="0" w:evenHBand="0" w:firstRowFirstColumn="0" w:firstRowLastColumn="0" w:lastRowFirstColumn="0" w:lastRowLastColumn="0"/>
            <w:tcBorders>
              <w:top w:val="nil"/>
            </w:tcBorders>
          </w:tcPr>
          <w:p>
            <w:pPr>
              <w:pStyle w:val="Contenidodelatabla"/>
              <w:widowControl w:val="false"/>
              <w:suppressAutoHyphens w:val="true"/>
              <w:spacing w:before="0" w:after="160"/>
              <w:jc w:val="left"/>
              <w:rPr>
                <w:rFonts w:ascii="Calibri" w:hAnsi="Calibri" w:eastAsia="Calibri"/>
              </w:rPr>
            </w:pPr>
            <w:r>
              <w:rPr>
                <w:rFonts w:eastAsia="Calibri" w:cs=""/>
                <w:b/>
                <w:bCs/>
                <w:kern w:val="0"/>
                <w:sz w:val="22"/>
                <w:szCs w:val="22"/>
                <w:lang w:val="es-CL" w:eastAsia="en-US" w:bidi="ar-SA"/>
              </w:rPr>
            </w:r>
          </w:p>
        </w:tc>
        <w:tc>
          <w:tcPr>
            <w:tcW w:w="3570" w:type="dxa"/>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t>Gestión del Seguimiento</w:t>
            </w:r>
          </w:p>
        </w:tc>
        <w:tc>
          <w:tcPr>
            <w:tcW w:w="2822" w:type="dxa"/>
            <w:vMerge w:val="continue"/>
            <w:tcBorders>
              <w:top w:val="nil"/>
            </w:tcBorders>
          </w:tcPr>
          <w:p>
            <w:pPr>
              <w:pStyle w:val="Contenidodelatabla"/>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s-CL" w:eastAsia="en-US" w:bidi="ar-SA"/>
              </w:rPr>
            </w:r>
          </w:p>
        </w:tc>
      </w:tr>
    </w:tbl>
    <w:p>
      <w:pPr>
        <w:pStyle w:val="Normal"/>
        <w:jc w:val="both"/>
        <w:rPr>
          <w:b/>
          <w:b/>
          <w:bCs/>
        </w:rPr>
      </w:pPr>
      <w:r>
        <w:rPr>
          <w:b/>
          <w:bCs/>
        </w:rPr>
        <w:t xml:space="preserve">Fuente: </w:t>
      </w:r>
      <w:r>
        <w:rPr/>
        <w:t>Elaboración propia</w:t>
      </w:r>
    </w:p>
    <w:p>
      <w:pPr>
        <w:pStyle w:val="Ttulo1"/>
        <w:numPr>
          <w:ilvl w:val="0"/>
          <w:numId w:val="1"/>
        </w:numPr>
        <w:rPr/>
      </w:pPr>
      <w:r>
        <w:rPr/>
        <w:t>Propuesta cuestionario 2023</w:t>
      </w:r>
    </w:p>
    <w:p>
      <w:pPr>
        <w:pStyle w:val="Normal"/>
        <w:spacing w:lineRule="auto" w:line="360"/>
        <w:jc w:val="both"/>
        <w:rPr/>
      </w:pPr>
      <w:r>
        <w:rPr/>
        <w:t xml:space="preserve">Dada las dimensiones presentadas en la Tabla 2, resulta relevante orientar las preguntas del Cuestionario 2023 hacia la información que contribuya a establecer mecanismos de retención y permanencia de los estudiantes en el sistema. Así, en lo referido a las “Condiciones Iniciales Potenciales de Riesgo”, es importante levantar un Perfil de Ingreso de los estudiantes, esto mediante preguntas asociadas a las características académicas y socioeconómicas de los estudiantes. Además, es necesario recolectar datos referentes a los intereses y experiencias en el ámbito de la carrera, esto con el fin de diseñar itinerarios formativos acordes a las necesidades de quienes ingresan a la educación técnico profesional. De igual forma, el Cuestionario 2023 debería incorporar preguntas asociadas al ámbito psicológico de los estudiantes, tales como niveles de estrés, agotamiento y procrastinación de las tareas universitarias (organización del tiempo), ellas enfocadas en el diseño de actividades que contribuyan a disminuir los factores de abandono. </w:t>
      </w:r>
    </w:p>
    <w:p>
      <w:pPr>
        <w:pStyle w:val="Normal"/>
        <w:spacing w:lineRule="auto" w:line="360"/>
        <w:jc w:val="both"/>
        <w:rPr/>
      </w:pPr>
      <w:r>
        <w:rPr/>
        <w:t>Aún más, la literatura científica refiere la importancia de generar un sentido de pertenencia en los estudiantes, pues este podría contribuir fuertemente retención estudiantil. En este sentido, indagar en cómo el/la estudiante se vincula e identifica con la institución, puede permitir el diseño de experiencias que contribuyan a generar relaciones positivas, las cuales incidirán en el logro académico (Brea, 2015).</w:t>
      </w:r>
    </w:p>
    <w:p>
      <w:pPr>
        <w:pStyle w:val="Normal"/>
        <w:spacing w:lineRule="auto" w:line="360"/>
        <w:jc w:val="both"/>
        <w:rPr/>
      </w:pPr>
      <w:r>
        <w:rPr/>
        <w:t>En definitiva, la nueva versión del cuestionario debería incluir:</w:t>
      </w:r>
    </w:p>
    <w:p>
      <w:pPr>
        <w:pStyle w:val="ListParagraph"/>
        <w:numPr>
          <w:ilvl w:val="0"/>
          <w:numId w:val="5"/>
        </w:numPr>
        <w:ind w:left="851" w:hanging="425"/>
        <w:jc w:val="both"/>
        <w:rPr/>
      </w:pPr>
      <w:r>
        <w:rPr/>
        <w:t>Perfil de ingreso:</w:t>
      </w:r>
    </w:p>
    <w:p>
      <w:pPr>
        <w:pStyle w:val="ListParagraph"/>
        <w:numPr>
          <w:ilvl w:val="1"/>
          <w:numId w:val="5"/>
        </w:numPr>
        <w:ind w:left="851" w:hanging="284"/>
        <w:jc w:val="both"/>
        <w:rPr/>
      </w:pPr>
      <w:r>
        <w:rPr/>
        <w:t>Caracterización académica</w:t>
      </w:r>
    </w:p>
    <w:p>
      <w:pPr>
        <w:pStyle w:val="ListParagraph"/>
        <w:numPr>
          <w:ilvl w:val="1"/>
          <w:numId w:val="5"/>
        </w:numPr>
        <w:ind w:left="851" w:hanging="284"/>
        <w:jc w:val="both"/>
        <w:rPr/>
      </w:pPr>
      <w:r>
        <w:rPr/>
        <w:t>Caracterización socioeconómica</w:t>
      </w:r>
    </w:p>
    <w:p>
      <w:pPr>
        <w:pStyle w:val="ListParagraph"/>
        <w:numPr>
          <w:ilvl w:val="1"/>
          <w:numId w:val="5"/>
        </w:numPr>
        <w:ind w:left="851" w:hanging="284"/>
        <w:jc w:val="both"/>
        <w:rPr/>
      </w:pPr>
      <w:r>
        <w:rPr/>
        <w:t>Identificación de intereses</w:t>
      </w:r>
    </w:p>
    <w:p>
      <w:pPr>
        <w:pStyle w:val="ListParagraph"/>
        <w:numPr>
          <w:ilvl w:val="1"/>
          <w:numId w:val="5"/>
        </w:numPr>
        <w:ind w:left="851" w:hanging="284"/>
        <w:jc w:val="both"/>
        <w:rPr/>
      </w:pPr>
      <w:r>
        <w:rPr/>
        <w:t>Identificación de experiencias asociadas a la carrera</w:t>
      </w:r>
    </w:p>
    <w:p>
      <w:pPr>
        <w:pStyle w:val="ListParagraph"/>
        <w:numPr>
          <w:ilvl w:val="1"/>
          <w:numId w:val="5"/>
        </w:numPr>
        <w:ind w:left="851" w:hanging="284"/>
        <w:jc w:val="both"/>
        <w:rPr/>
      </w:pPr>
      <w:r>
        <w:rPr/>
        <w:t>Identificación de elementos asociados al estrés y al agotamiento</w:t>
      </w:r>
    </w:p>
    <w:p>
      <w:pPr>
        <w:pStyle w:val="ListParagraph"/>
        <w:numPr>
          <w:ilvl w:val="1"/>
          <w:numId w:val="5"/>
        </w:numPr>
        <w:ind w:left="851" w:hanging="284"/>
        <w:jc w:val="both"/>
        <w:rPr/>
      </w:pPr>
      <w:r>
        <w:rPr/>
        <w:t>Identificación de uso y organización del tiempo (procrastinación)</w:t>
      </w:r>
    </w:p>
    <w:p>
      <w:pPr>
        <w:pStyle w:val="ListParagraph"/>
        <w:numPr>
          <w:ilvl w:val="0"/>
          <w:numId w:val="5"/>
        </w:numPr>
        <w:ind w:left="567" w:hanging="283"/>
        <w:jc w:val="both"/>
        <w:rPr/>
      </w:pPr>
      <w:r>
        <w:rPr/>
        <w:t>Sentido de pertenencia</w:t>
      </w:r>
    </w:p>
    <w:p>
      <w:pPr>
        <w:pStyle w:val="Ttulo1"/>
        <w:numPr>
          <w:ilvl w:val="0"/>
          <w:numId w:val="1"/>
        </w:numPr>
        <w:rPr/>
      </w:pPr>
      <w:r>
        <w:rPr/>
        <w:t>Trabajo futuro</w:t>
      </w:r>
    </w:p>
    <w:p>
      <w:pPr>
        <w:pStyle w:val="ListParagraph"/>
        <w:spacing w:lineRule="auto" w:line="360"/>
        <w:ind w:left="0" w:hanging="0"/>
        <w:jc w:val="both"/>
        <w:rPr/>
      </w:pPr>
      <w:r>
        <w:rPr/>
        <w:t xml:space="preserve">Los próximos pasos para este proyecto se asocian con el diseño del Cuestionario 2023, finalizando con el esquema del reporte que debe acompañar </w:t>
      </w:r>
      <w:r>
        <w:rPr/>
        <w:t>e</w:t>
      </w:r>
      <w:r>
        <w:rPr/>
        <w:t xml:space="preserve">l análisis de los resultados. </w:t>
      </w:r>
    </w:p>
    <w:p>
      <w:pPr>
        <w:pStyle w:val="Ttulo1"/>
        <w:numPr>
          <w:ilvl w:val="0"/>
          <w:numId w:val="1"/>
        </w:numPr>
        <w:rPr/>
      </w:pPr>
      <w:r>
        <w:rPr/>
        <w:t>Referencias</w:t>
      </w:r>
    </w:p>
    <w:p>
      <w:pPr>
        <w:pStyle w:val="ListParagraph"/>
        <w:numPr>
          <w:ilvl w:val="0"/>
          <w:numId w:val="2"/>
        </w:numPr>
        <w:jc w:val="both"/>
        <w:rPr/>
      </w:pPr>
      <w:r>
        <w:rPr/>
        <w:t xml:space="preserve">Acción Educar. (2018). Propuesta para avanzar en calidad de la educación técnica profesional. </w:t>
        <w:tab/>
        <w:t xml:space="preserve">Acción Educar. </w:t>
      </w:r>
      <w:r>
        <w:rPr>
          <w:rStyle w:val="EnlacedeInternet"/>
        </w:rPr>
        <w:t>https://rebrand.ly/bokd682</w:t>
      </w:r>
    </w:p>
    <w:p>
      <w:pPr>
        <w:pStyle w:val="ListParagraph"/>
        <w:numPr>
          <w:ilvl w:val="0"/>
          <w:numId w:val="2"/>
        </w:numPr>
        <w:jc w:val="both"/>
        <w:rPr/>
      </w:pPr>
      <w:r>
        <w:rPr/>
        <w:t xml:space="preserve">ANEPA (2021). Modelo de </w:t>
        <w:tab/>
        <w:t xml:space="preserve">Seguimiento Académico y apoyo al Avance Curricular para la retención y titulación oportunas. </w:t>
        <w:tab/>
        <w:t>UPLA.</w:t>
      </w:r>
    </w:p>
    <w:p>
      <w:pPr>
        <w:pStyle w:val="ListParagraph"/>
        <w:numPr>
          <w:ilvl w:val="0"/>
          <w:numId w:val="2"/>
        </w:numPr>
        <w:jc w:val="both"/>
        <w:rPr/>
      </w:pPr>
      <w:r>
        <w:rPr/>
        <w:t>Bordón, P., Canals, C., &amp; Rojas, S. (2015). Retención en los programas e instituciones de educación superior. Nueva evidencia para Chile. Centro de Estudios del Ministerio de Educación.</w:t>
      </w:r>
    </w:p>
    <w:p>
      <w:pPr>
        <w:pStyle w:val="ListParagraph"/>
        <w:numPr>
          <w:ilvl w:val="0"/>
          <w:numId w:val="2"/>
        </w:numPr>
        <w:jc w:val="both"/>
        <w:rPr/>
      </w:pPr>
      <w:r>
        <w:rPr/>
        <w:t xml:space="preserve">Brea, L. (2015). Factores que determinan el sentido de pertenencia de los estudiantes de la PUCMM-CSTA. Cuaderno de Pedagogía Universitaria, 12(24), 21-38. </w:t>
      </w:r>
      <w:hyperlink r:id="rId2">
        <w:r>
          <w:rPr>
            <w:rStyle w:val="EnlacedeInternet"/>
          </w:rPr>
          <w:t>https://doi.org/10.29197/cpu.v12i24.243</w:t>
        </w:r>
      </w:hyperlink>
      <w:r>
        <w:rPr/>
        <w:t xml:space="preserve"> </w:t>
      </w:r>
    </w:p>
    <w:p>
      <w:pPr>
        <w:pStyle w:val="ListParagraph"/>
        <w:numPr>
          <w:ilvl w:val="0"/>
          <w:numId w:val="2"/>
        </w:numPr>
        <w:jc w:val="both"/>
        <w:rPr/>
      </w:pPr>
      <w:r>
        <w:rPr/>
        <w:t xml:space="preserve">Brunner, J.J., Labraña, J., &amp; Álvarez, J. (2020). Retención en la Educación Superior con foco en la Educación Superior Técnico Profesional. Enfoque de políticas ESTP, 13. ISSN: 2452-6142. Disponible en </w:t>
      </w:r>
      <w:hyperlink r:id="rId3">
        <w:r>
          <w:rPr>
            <w:rStyle w:val="EnlacedeInternet"/>
          </w:rPr>
          <w:t>https://vertebralchile.cl/wp-content/uploads/2021/08/CPCE_13_DIC_EDIT_PDF-1.pdf</w:t>
        </w:r>
      </w:hyperlink>
      <w:r>
        <w:rPr/>
        <w:t xml:space="preserve"> </w:t>
      </w:r>
    </w:p>
    <w:p>
      <w:pPr>
        <w:pStyle w:val="ListParagraph"/>
        <w:numPr>
          <w:ilvl w:val="0"/>
          <w:numId w:val="2"/>
        </w:numPr>
        <w:jc w:val="both"/>
        <w:rPr/>
      </w:pPr>
      <w:r>
        <w:rPr/>
        <w:t>Herrera, M. (2017). Estrategias institucionales de retención de estudiantes en carreras técnicas del sector no universitario en el sistema de educación superior chileno: Acciones enfocadas en el éxito del proceso de enseñanza-aprendizaje. Facultad de Ciencias Sociales de la Universidad de Chile.</w:t>
      </w:r>
    </w:p>
    <w:p>
      <w:pPr>
        <w:pStyle w:val="ListParagraph"/>
        <w:numPr>
          <w:ilvl w:val="0"/>
          <w:numId w:val="2"/>
        </w:numPr>
        <w:jc w:val="both"/>
        <w:rPr/>
      </w:pPr>
      <w:r>
        <w:rPr/>
        <w:t xml:space="preserve">Ley N°21.091 sobre Educación Superior. Disponible en </w:t>
      </w:r>
      <w:hyperlink r:id="rId4">
        <w:r>
          <w:rPr>
            <w:rStyle w:val="EnlacedeInternet"/>
          </w:rPr>
          <w:t>https://www.bcn.cl/leychile/navegar?idNorma=1118991&amp;idParte=9917404</w:t>
        </w:r>
      </w:hyperlink>
      <w:r>
        <w:rPr/>
        <w:t xml:space="preserve"> </w:t>
      </w:r>
    </w:p>
    <w:p>
      <w:pPr>
        <w:pStyle w:val="ListParagraph"/>
        <w:numPr>
          <w:ilvl w:val="0"/>
          <w:numId w:val="2"/>
        </w:numPr>
        <w:jc w:val="both"/>
        <w:rPr/>
      </w:pPr>
      <w:r>
        <w:rPr/>
        <w:t xml:space="preserve">Ministerio de Educación y Ministerio del Trabajo y Previsión Social (2020) Estrategia Nacional de Formación Técnico Profesional. Disponible en </w:t>
      </w:r>
      <w:hyperlink r:id="rId5">
        <w:r>
          <w:rPr>
            <w:rStyle w:val="EnlacedeInternet"/>
          </w:rPr>
          <w:t>https://educacionsuperior.mineduc.cl/wp-content/uploads/sites/49/2020/12/Estrategia-FTP.pdf</w:t>
        </w:r>
      </w:hyperlink>
      <w:r>
        <w:rPr/>
        <w:t xml:space="preserve"> </w:t>
      </w:r>
    </w:p>
    <w:p>
      <w:pPr>
        <w:pStyle w:val="ListParagraph"/>
        <w:numPr>
          <w:ilvl w:val="0"/>
          <w:numId w:val="2"/>
        </w:numPr>
        <w:jc w:val="both"/>
        <w:rPr/>
      </w:pPr>
      <w:r>
        <w:rPr/>
        <w:t xml:space="preserve">Servicio de Información de Educación Superior (2021). Informe 2021 matrícula de pregrado en Educación Superior. Disponible en </w:t>
      </w:r>
      <w:hyperlink r:id="rId6">
        <w:r>
          <w:rPr>
            <w:rStyle w:val="EnlacedeInternet"/>
          </w:rPr>
          <w:t>https://diario.uach.cl/wp-content/uploads/2021/06/Informe-Matricula-Pregrado-2021_SIES.pdf</w:t>
        </w:r>
      </w:hyperlink>
      <w:r>
        <w:rPr/>
        <w:t xml:space="preserve"> </w:t>
      </w:r>
    </w:p>
    <w:p>
      <w:pPr>
        <w:pStyle w:val="Normal"/>
        <w:widowControl/>
        <w:suppressAutoHyphens w:val="true"/>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1">
    <w:name w:val="Heading 1"/>
    <w:basedOn w:val="Ttulogeneral"/>
    <w:next w:val="Cuerpodetexto"/>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791887"/>
    <w:rPr>
      <w:color w:val="0563C1" w:themeColor="hyperlink"/>
      <w:u w:val="single"/>
    </w:rPr>
  </w:style>
  <w:style w:type="character" w:styleId="UnresolvedMention">
    <w:name w:val="Unresolved Mention"/>
    <w:basedOn w:val="DefaultParagraphFont"/>
    <w:uiPriority w:val="99"/>
    <w:semiHidden/>
    <w:unhideWhenUsed/>
    <w:qFormat/>
    <w:rsid w:val="00cf1623"/>
    <w:rPr>
      <w:color w:val="605E5C"/>
      <w:shd w:fill="E1DFDD" w:val="clear"/>
    </w:rPr>
  </w:style>
  <w:style w:type="character" w:styleId="Smbolosdenumeracin" w:customStyle="1">
    <w:name w:val="Símbolos de numeración"/>
    <w:qFormat/>
    <w:rPr/>
  </w:style>
  <w:style w:type="character" w:styleId="BookTitle">
    <w:name w:val="Book Title"/>
    <w:basedOn w:val="DefaultParagraphFont"/>
    <w:uiPriority w:val="33"/>
    <w:qFormat/>
    <w:rsid w:val="005b54af"/>
    <w:rPr>
      <w:b/>
      <w:bCs/>
      <w:i/>
      <w:iCs/>
      <w:spacing w:val="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918ad"/>
    <w:pPr>
      <w:spacing w:before="0" w:after="160"/>
      <w:ind w:left="720" w:hanging="0"/>
      <w:contextualSpacing/>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normal2">
    <w:name w:val="Plain Table 2"/>
    <w:basedOn w:val="Tablanormal"/>
    <w:uiPriority w:val="42"/>
    <w:rsid w:val="00807ef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197/cpu.v12i24.243" TargetMode="External"/><Relationship Id="rId3" Type="http://schemas.openxmlformats.org/officeDocument/2006/relationships/hyperlink" Target="https://vertebralchile.cl/wp-content/uploads/2021/08/CPCE_13_DIC_EDIT_PDF-1.pdf" TargetMode="External"/><Relationship Id="rId4" Type="http://schemas.openxmlformats.org/officeDocument/2006/relationships/hyperlink" Target="https://www.bcn.cl/leychile/navegar?idNorma=1118991&amp;idParte=9917404" TargetMode="External"/><Relationship Id="rId5" Type="http://schemas.openxmlformats.org/officeDocument/2006/relationships/hyperlink" Target="https://educacionsuperior.mineduc.cl/wp-content/uploads/sites/49/2020/12/Estrategia-FTP.pdf" TargetMode="External"/><Relationship Id="rId6" Type="http://schemas.openxmlformats.org/officeDocument/2006/relationships/hyperlink" Target="https://diario.uach.cl/wp-content/uploads/2021/06/Informe-Matricula-Pregrado-2021_SIES.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LibreOffice/7.3.6.2$Linux_X86_64 LibreOffice_project/30$Build-2</Application>
  <AppVersion>15.0000</AppVersion>
  <Pages>7</Pages>
  <Words>1985</Words>
  <Characters>11815</Characters>
  <CharactersWithSpaces>13705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2022-10-21T01:49:00Z</dcterms:created>
  <dc:creator>Karen Patricia Núñez Valdés</dc:creator>
  <dc:description/>
  <dc:language>es-CL</dc:language>
  <cp:lastModifiedBy>Julio Lopez-Nunez</cp:lastModifiedBy>
  <dcterms:modified xsi:type="dcterms:W3CDTF">2022-10-22T01:33:24Z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