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3000"/>
            </w:pPr>
          </w:p>
          <w:p>
            <w:pPr>
              <w:pBdr>
                <w:bottom w:val="single" w:color="529286" w:sz="6" w:space="8"/>
              </w:pBdr>
              <w:spacing w:after="500"/>
              <w:ind w:left="1200" w:right="800"/>
            </w:pPr>
            <w:r>
              <w:rPr>
                <w:rFonts w:ascii="Calibri"/>
                <w:color w:val="529286"/>
                <w:spacing w:val="40"/>
                <w:sz w:val="18"/>
                <w:szCs w:val="18"/>
              </w:rPr>
              <w:t xml:space="preserve">S     Y     S     T     E     M           A     R     C     H     I     T     E     C     T     U     R     E</w:t>
            </w:r>
          </w:p>
          <w:p>
            <w:pPr>
              <w:spacing w:after="300" w:line="782" w:lineRule="atLeast"/>
              <w:ind w:left="1200"/>
            </w:pPr>
            <w:r>
              <w:rPr>
                <w:rFonts w:ascii="Arial" w:eastAsia="SimHei"/>
                <w:b/>
                <w:bCs/>
                <w:color w:val="FFFFFF"/>
                <w:sz w:val="68"/>
                <w:szCs w:val="68"/>
              </w:rPr>
              <w:t xml:space="preserve">Arquitectura de Ejes Temáticos y Modelo Multi-Eje</w:t>
            </w:r>
          </w:p>
          <w:p>
            <w:pPr>
              <w:spacing w:after="800"/>
              <w:ind w:left="1200"/>
            </w:pPr>
            <w:r>
              <w:rPr>
                <w:rFonts w:ascii="Arial" w:eastAsia="Microsoft YaHei"/>
                <w:color w:val="B0B8C0"/>
                <w:sz w:val="24"/>
                <w:szCs w:val="24"/>
              </w:rPr>
              <w:t xml:space="preserve">DECODEX Bolivia ONION200 v0.16.0</w:t>
            </w:r>
          </w:p>
          <w:p>
            <w:pPr>
              <w:pBdr>
                <w:left w:val="single" w:color="529286" w:sz="8" w:space="12"/>
              </w:pBdr>
              <w:spacing w:after="80"/>
              <w:ind w:left="1400"/>
            </w:pPr>
            <w:r>
              <w:rPr>
                <w:rFonts w:ascii="Arial" w:eastAsia="Microsoft YaHei"/>
                <w:color w:val="90989F"/>
                <w:sz w:val="24"/>
                <w:szCs w:val="24"/>
              </w:rPr>
              <w:t xml:space="preserve">Documento de diseño arquitectónico y epistemológico</w:t>
            </w:r>
          </w:p>
          <w:p>
            <w:pPr>
              <w:pBdr>
                <w:left w:val="single" w:color="529286" w:sz="8" w:space="12"/>
              </w:pBdr>
              <w:spacing w:after="80"/>
              <w:ind w:left="1400"/>
            </w:pPr>
            <w:r>
              <w:rPr>
                <w:rFonts w:ascii="Arial" w:eastAsia="Microsoft YaHei"/>
                <w:color w:val="90989F"/>
                <w:sz w:val="24"/>
                <w:szCs w:val="24"/>
              </w:rPr>
              <w:t xml:space="preserve">Fundamentos constitucionales, modelo de datos, ruta de implementación</w:t>
            </w:r>
          </w:p>
          <w:p>
            <w:pPr>
              <w:pBdr>
                <w:left w:val="single" w:color="529286" w:sz="8" w:space="12"/>
              </w:pBdr>
              <w:spacing w:after="80"/>
              <w:ind w:left="1400"/>
            </w:pPr>
            <w:r>
              <w:rPr>
                <w:rFonts w:ascii="Arial" w:eastAsia="Microsoft YaHei"/>
                <w:color w:val="90989F"/>
                <w:sz w:val="24"/>
                <w:szCs w:val="24"/>
              </w:rPr>
              <w:t xml:space="preserve">Junio 2026</w:t>
            </w:r>
          </w:p>
          <w:p>
            <w:pPr>
              <w:spacing w:before="2500"/>
            </w:pPr>
          </w:p>
          <w:p>
            <w:pPr>
              <w:pBdr>
                <w:top w:val="single" w:color="529286" w:sz="2" w:space="8"/>
              </w:pBdr>
              <w:ind w:left="1200" w:right="800"/>
            </w:pPr>
            <w:r>
              <w:rPr>
                <w:rFonts w:ascii="Arial"/>
                <w:color w:val="687078"/>
                <w:sz w:val="16"/>
                <w:szCs w:val="16"/>
              </w:rPr>
              <w:t xml:space="preserve">DECODEX Bolivia</w:t>
            </w:r>
            <w:r>
              <w:rPr>
                <w:sz w:val="16"/>
                <w:szCs w:val="16"/>
              </w:rPr>
              <w:t xml:space="preserve">                                                              </w:t>
            </w:r>
            <w:r>
              <w:rPr>
                <w:rFonts w:ascii="Arial"/>
                <w:color w:val="687078"/>
                <w:sz w:val="16"/>
                <w:szCs w:val="16"/>
              </w:rPr>
              <w:t xml:space="preserve">Documento Interno v1.0</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SimHei"/>
          <w:b/>
          <w:bCs/>
          <w:sz w:val="32"/>
          <w:szCs w:val="32"/>
        </w:rPr>
        <w:t xml:space="preserve">Índice</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Diagnóstico del Estado Actual</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Problemas Estructurales Identificados</w:t>
            </w:r>
            <w:r>
              <w:tab/>
            </w:r>
            <w:r>
              <w:fldChar w:fldCharType="begin"/>
            </w:r>
            <w:r>
              <w:instrText xml:space="preserve"> PAGEREF _Toc100001 \h </w:instrText>
            </w:r>
            <w:r>
              <w:fldChar w:fldCharType="separate"/>
            </w:r>
            <w:r>
              <w:t>1</w:t>
            </w:r>
            <w:r>
              <w:fldChar w:fldCharType="end"/>
            </w:r>
          </w:hyperlink>
        </w:p>
        <w:p>
          <w:pPr>
            <w:pStyle w:val="12"/>
            <w:ind w:left="720"/>
            <w:tabs>
              <w:tab w:val="right" w:leader="dot" w:pos="9026"/>
            </w:tabs>
            <w:spacing w:before="120" w:after="60"/>
          </w:pPr>
          <w:hyperlink w:anchor="_Toc100002" w:history="1">
            <w:r>
              <w:rPr>
                <w:rStyle w:val="Hyperlink"/>
              </w:rPr>
              <w:t>A. Mezcla de niveles de abstracción</w:t>
            </w:r>
            <w:r>
              <w:tab/>
            </w:r>
            <w:r>
              <w:fldChar w:fldCharType="begin"/>
            </w:r>
            <w:r>
              <w:instrText xml:space="preserve"> PAGEREF _Toc100002 \h </w:instrText>
            </w:r>
            <w:r>
              <w:fldChar w:fldCharType="separate"/>
            </w:r>
            <w:r>
              <w:t>2</w:t>
            </w:r>
            <w:r>
              <w:fldChar w:fldCharType="end"/>
            </w:r>
          </w:hyperlink>
        </w:p>
        <w:p>
          <w:pPr>
            <w:pStyle w:val="12"/>
            <w:ind w:left="720"/>
            <w:tabs>
              <w:tab w:val="right" w:leader="dot" w:pos="9026"/>
            </w:tabs>
            <w:spacing w:before="120" w:after="60"/>
          </w:pPr>
          <w:hyperlink w:anchor="_Toc100003" w:history="1">
            <w:r>
              <w:rPr>
                <w:rStyle w:val="Hyperlink"/>
              </w:rPr>
              <w:t>B. Ambigüedad categorial</w:t>
            </w:r>
            <w:r>
              <w:tab/>
            </w:r>
            <w:r>
              <w:fldChar w:fldCharType="begin"/>
            </w:r>
            <w:r>
              <w:instrText xml:space="preserve"> PAGEREF _Toc100003 \h </w:instrText>
            </w:r>
            <w:r>
              <w:fldChar w:fldCharType="separate"/>
            </w:r>
            <w:r>
              <w:t>2</w:t>
            </w:r>
            <w:r>
              <w:fldChar w:fldCharType="end"/>
            </w:r>
          </w:hyperlink>
        </w:p>
        <w:p>
          <w:pPr>
            <w:pStyle w:val="12"/>
            <w:ind w:left="720"/>
            <w:tabs>
              <w:tab w:val="right" w:leader="dot" w:pos="9026"/>
            </w:tabs>
            <w:spacing w:before="120" w:after="60"/>
          </w:pPr>
          <w:hyperlink w:anchor="_Toc100004" w:history="1">
            <w:r>
              <w:rPr>
                <w:rStyle w:val="Hyperlink"/>
              </w:rPr>
              <w:t>C. Criminalización de la demanda social</w:t>
            </w:r>
            <w:r>
              <w:tab/>
            </w:r>
            <w:r>
              <w:fldChar w:fldCharType="begin"/>
            </w:r>
            <w:r>
              <w:instrText xml:space="preserve"> PAGEREF _Toc100004 \h </w:instrText>
            </w:r>
            <w:r>
              <w:fldChar w:fldCharType="separate"/>
            </w:r>
            <w:r>
              <w:t>2</w:t>
            </w:r>
            <w:r>
              <w:fldChar w:fldCharType="end"/>
            </w:r>
          </w:hyperlink>
        </w:p>
        <w:p>
          <w:pPr>
            <w:pStyle w:val="12"/>
            <w:ind w:left="720"/>
            <w:tabs>
              <w:tab w:val="right" w:leader="dot" w:pos="9026"/>
            </w:tabs>
            <w:spacing w:before="120" w:after="60"/>
          </w:pPr>
          <w:hyperlink w:anchor="_Toc100005" w:history="1">
            <w:r>
              <w:rPr>
                <w:rStyle w:val="Hyperlink"/>
              </w:rPr>
              <w:t>D. Monopolio de la acción colectiva</w:t>
            </w:r>
            <w:r>
              <w:tab/>
            </w:r>
            <w:r>
              <w:fldChar w:fldCharType="begin"/>
            </w:r>
            <w:r>
              <w:instrText xml:space="preserve"> PAGEREF _Toc100005 \h </w:instrText>
            </w:r>
            <w:r>
              <w:fldChar w:fldCharType="separate"/>
            </w:r>
            <w:r>
              <w:t>2</w:t>
            </w:r>
            <w:r>
              <w:fldChar w:fldCharType="end"/>
            </w:r>
          </w:hyperlink>
        </w:p>
        <w:p>
          <w:pPr>
            <w:pStyle w:val="12"/>
            <w:ind w:left="720"/>
            <w:tabs>
              <w:tab w:val="right" w:leader="dot" w:pos="9026"/>
            </w:tabs>
            <w:spacing w:before="120" w:after="60"/>
          </w:pPr>
          <w:hyperlink w:anchor="_Toc100006" w:history="1">
            <w:r>
              <w:rPr>
                <w:rStyle w:val="Hyperlink"/>
              </w:rPr>
              <w:t>E. Reducción de la política al parlamento</w:t>
            </w:r>
            <w:r>
              <w:tab/>
            </w:r>
            <w:r>
              <w:fldChar w:fldCharType="begin"/>
            </w:r>
            <w:r>
              <w:instrText xml:space="preserve"> PAGEREF _Toc100006 \h </w:instrText>
            </w:r>
            <w:r>
              <w:fldChar w:fldCharType="separate"/>
            </w:r>
            <w:r>
              <w:t>3</w:t>
            </w:r>
            <w:r>
              <w:fldChar w:fldCharType="end"/>
            </w:r>
          </w:hyperlink>
        </w:p>
        <w:p>
          <w:pPr>
            <w:pStyle w:val="12"/>
            <w:ind w:left="720"/>
            <w:tabs>
              <w:tab w:val="right" w:leader="dot" w:pos="9026"/>
            </w:tabs>
            <w:spacing w:before="120" w:after="60"/>
          </w:pPr>
          <w:hyperlink w:anchor="_Toc100007" w:history="1">
            <w:r>
              <w:rPr>
                <w:rStyle w:val="Hyperlink"/>
              </w:rPr>
              <w:t>F. Falsa separación entre dominios interconectados</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1.2 Datos del Sistema Actual</w:t>
            </w:r>
            <w:r>
              <w:tab/>
            </w:r>
            <w:r>
              <w:fldChar w:fldCharType="begin"/>
            </w:r>
            <w:r>
              <w:instrText xml:space="preserve"> PAGEREF _Toc100008 \h </w:instrText>
            </w:r>
            <w:r>
              <w:fldChar w:fldCharType="separate"/>
            </w:r>
            <w:r>
              <w:t>3</w:t>
            </w:r>
            <w:r>
              <w:fldChar w:fldCharType="end"/>
            </w:r>
          </w:hyperlink>
        </w:p>
        <w:p>
          <w:pPr>
            <w:pStyle w:val="9"/>
            <w:tabs>
              <w:tab w:val="right" w:leader="dot" w:pos="9026"/>
            </w:tabs>
            <w:spacing w:before="120" w:after="60"/>
          </w:pPr>
          <w:hyperlink w:anchor="_Toc100009" w:history="1">
            <w:r>
              <w:rPr>
                <w:rStyle w:val="Hyperlink"/>
              </w:rPr>
              <w:t>2. Principios Epistemológicos Fundacionales</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2.1 Marco Constitucional</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2.2 Marco Internacional de Derechos Humanos</w:t>
            </w:r>
            <w:r>
              <w:tab/>
            </w:r>
            <w:r>
              <w:fldChar w:fldCharType="begin"/>
            </w:r>
            <w:r>
              <w:instrText xml:space="preserve"> PAGEREF _Toc100011 \h </w:instrText>
            </w:r>
            <w:r>
              <w:fldChar w:fldCharType="separate"/>
            </w:r>
            <w:r>
              <w:t>4</w:t>
            </w:r>
            <w:r>
              <w:fldChar w:fldCharType="end"/>
            </w:r>
          </w:hyperlink>
        </w:p>
        <w:p>
          <w:pPr>
            <w:pStyle w:val="11"/>
            <w:ind w:left="360"/>
            <w:tabs>
              <w:tab w:val="right" w:leader="dot" w:pos="9026"/>
            </w:tabs>
            <w:spacing w:before="120" w:after="60"/>
          </w:pPr>
          <w:hyperlink w:anchor="_Toc100012" w:history="1">
            <w:r>
              <w:rPr>
                <w:rStyle w:val="Hyperlink"/>
              </w:rPr>
              <w:t>2.3 Principios Rectores del Nuevo Modelo</w:t>
            </w:r>
            <w:r>
              <w:tab/>
            </w:r>
            <w:r>
              <w:fldChar w:fldCharType="begin"/>
            </w:r>
            <w:r>
              <w:instrText xml:space="preserve"> PAGEREF _Toc100012 \h </w:instrText>
            </w:r>
            <w:r>
              <w:fldChar w:fldCharType="separate"/>
            </w:r>
            <w:r>
              <w:t>5</w:t>
            </w:r>
            <w:r>
              <w:fldChar w:fldCharType="end"/>
            </w:r>
          </w:hyperlink>
        </w:p>
        <w:p>
          <w:pPr>
            <w:pStyle w:val="9"/>
            <w:tabs>
              <w:tab w:val="right" w:leader="dot" w:pos="9026"/>
            </w:tabs>
            <w:spacing w:before="120" w:after="60"/>
          </w:pPr>
          <w:hyperlink w:anchor="_Toc100013" w:history="1">
            <w:r>
              <w:rPr>
                <w:rStyle w:val="Hyperlink"/>
              </w:rPr>
              <w:t>3. Modelo Multi-Eje: Arquitectura Propuesta</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3.1 Del Mono-Eje al Multi-Eje</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3.2 Distinción Fundamental: Ejes vs. Lentes</w:t>
            </w:r>
            <w:r>
              <w:tab/>
            </w:r>
            <w:r>
              <w:fldChar w:fldCharType="begin"/>
            </w:r>
            <w:r>
              <w:instrText xml:space="preserve"> PAGEREF _Toc100015 \h </w:instrText>
            </w:r>
            <w:r>
              <w:fldChar w:fldCharType="separate"/>
            </w:r>
            <w:r>
              <w:t>5</w:t>
            </w:r>
            <w:r>
              <w:fldChar w:fldCharType="end"/>
            </w:r>
          </w:hyperlink>
        </w:p>
        <w:p>
          <w:pPr>
            <w:pStyle w:val="11"/>
            <w:ind w:left="360"/>
            <w:tabs>
              <w:tab w:val="right" w:leader="dot" w:pos="9026"/>
            </w:tabs>
            <w:spacing w:before="120" w:after="60"/>
          </w:pPr>
          <w:hyperlink w:anchor="_Toc100016" w:history="1">
            <w:r>
              <w:rPr>
                <w:rStyle w:val="Hyperlink"/>
              </w:rPr>
              <w:t>3.3 Control de Ruido en el Multi-Eje</w:t>
            </w:r>
            <w:r>
              <w:tab/>
            </w:r>
            <w:r>
              <w:fldChar w:fldCharType="begin"/>
            </w:r>
            <w:r>
              <w:instrText xml:space="preserve"> PAGEREF _Toc100016 \h </w:instrText>
            </w:r>
            <w:r>
              <w:fldChar w:fldCharType="separate"/>
            </w:r>
            <w:r>
              <w:t>6</w:t>
            </w:r>
            <w:r>
              <w:fldChar w:fldCharType="end"/>
            </w:r>
          </w:hyperlink>
        </w:p>
        <w:p>
          <w:pPr>
            <w:pStyle w:val="9"/>
            <w:tabs>
              <w:tab w:val="right" w:leader="dot" w:pos="9026"/>
            </w:tabs>
            <w:spacing w:before="120" w:after="60"/>
          </w:pPr>
          <w:hyperlink w:anchor="_Toc100017" w:history="1">
            <w:r>
              <w:rPr>
                <w:rStyle w:val="Hyperlink"/>
              </w:rPr>
              <w:t>4. Tabla Maestra de Ejes Temáticos</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4.1 Estructura Jerárquica</w:t>
            </w:r>
            <w:r>
              <w:tab/>
            </w:r>
            <w:r>
              <w:fldChar w:fldCharType="begin"/>
            </w:r>
            <w:r>
              <w:instrText xml:space="preserve"> PAGEREF _Toc100018 \h </w:instrText>
            </w:r>
            <w:r>
              <w:fldChar w:fldCharType="separate"/>
            </w:r>
            <w:r>
              <w:t>6</w:t>
            </w:r>
            <w:r>
              <w:fldChar w:fldCharType="end"/>
            </w:r>
          </w:hyperlink>
        </w:p>
        <w:p>
          <w:pPr>
            <w:pStyle w:val="11"/>
            <w:ind w:left="360"/>
            <w:tabs>
              <w:tab w:val="right" w:leader="dot" w:pos="9026"/>
            </w:tabs>
            <w:spacing w:before="120" w:after="60"/>
          </w:pPr>
          <w:hyperlink w:anchor="_Toc100019" w:history="1">
            <w:r>
              <w:rPr>
                <w:rStyle w:val="Hyperlink"/>
              </w:rPr>
              <w:t>4.2 Dominios Propuestos</w:t>
            </w:r>
            <w:r>
              <w:tab/>
            </w:r>
            <w:r>
              <w:fldChar w:fldCharType="begin"/>
            </w:r>
            <w:r>
              <w:instrText xml:space="preserve"> PAGEREF _Toc100019 \h </w:instrText>
            </w:r>
            <w:r>
              <w:fldChar w:fldCharType="separate"/>
            </w:r>
            <w:r>
              <w:t>7</w:t>
            </w:r>
            <w:r>
              <w:fldChar w:fldCharType="end"/>
            </w:r>
          </w:hyperlink>
        </w:p>
        <w:p>
          <w:pPr>
            <w:pStyle w:val="12"/>
            <w:ind w:left="720"/>
            <w:tabs>
              <w:tab w:val="right" w:leader="dot" w:pos="9026"/>
            </w:tabs>
            <w:spacing w:before="120" w:after="60"/>
          </w:pPr>
          <w:hyperlink w:anchor="_Toc100020" w:history="1">
            <w:r>
              <w:rPr>
                <w:rStyle w:val="Hyperlink"/>
              </w:rPr>
              <w:t>Dominio 1: Hidrocarburos y Energía</w:t>
            </w:r>
            <w:r>
              <w:tab/>
            </w:r>
            <w:r>
              <w:fldChar w:fldCharType="begin"/>
            </w:r>
            <w:r>
              <w:instrText xml:space="preserve"> PAGEREF _Toc100020 \h </w:instrText>
            </w:r>
            <w:r>
              <w:fldChar w:fldCharType="separate"/>
            </w:r>
            <w:r>
              <w:t>7</w:t>
            </w:r>
            <w:r>
              <w:fldChar w:fldCharType="end"/>
            </w:r>
          </w:hyperlink>
        </w:p>
        <w:p>
          <w:pPr>
            <w:pStyle w:val="12"/>
            <w:ind w:left="720"/>
            <w:tabs>
              <w:tab w:val="right" w:leader="dot" w:pos="9026"/>
            </w:tabs>
            <w:spacing w:before="120" w:after="60"/>
          </w:pPr>
          <w:hyperlink w:anchor="_Toc100021" w:history="1">
            <w:r>
              <w:rPr>
                <w:rStyle w:val="Hyperlink"/>
              </w:rPr>
              <w:t>Dominio 2: Economía, Modelo de Desarrollo y Empleo</w:t>
            </w:r>
            <w:r>
              <w:tab/>
            </w:r>
            <w:r>
              <w:fldChar w:fldCharType="begin"/>
            </w:r>
            <w:r>
              <w:instrText xml:space="preserve"> PAGEREF _Toc100021 \h </w:instrText>
            </w:r>
            <w:r>
              <w:fldChar w:fldCharType="separate"/>
            </w:r>
            <w:r>
              <w:t>7</w:t>
            </w:r>
            <w:r>
              <w:fldChar w:fldCharType="end"/>
            </w:r>
          </w:hyperlink>
        </w:p>
        <w:p>
          <w:pPr>
            <w:pStyle w:val="12"/>
            <w:ind w:left="720"/>
            <w:tabs>
              <w:tab w:val="right" w:leader="dot" w:pos="9026"/>
            </w:tabs>
            <w:spacing w:before="120" w:after="60"/>
          </w:pPr>
          <w:hyperlink w:anchor="_Toc100022" w:history="1">
            <w:r>
              <w:rPr>
                <w:rStyle w:val="Hyperlink"/>
              </w:rPr>
              <w:t>Dominio 3: Salud y Determinantes Sociales</w:t>
            </w:r>
            <w:r>
              <w:tab/>
            </w:r>
            <w:r>
              <w:fldChar w:fldCharType="begin"/>
            </w:r>
            <w:r>
              <w:instrText xml:space="preserve"> PAGEREF _Toc100022 \h </w:instrText>
            </w:r>
            <w:r>
              <w:fldChar w:fldCharType="separate"/>
            </w:r>
            <w:r>
              <w:t>7</w:t>
            </w:r>
            <w:r>
              <w:fldChar w:fldCharType="end"/>
            </w:r>
          </w:hyperlink>
        </w:p>
        <w:p>
          <w:pPr>
            <w:pStyle w:val="12"/>
            <w:ind w:left="720"/>
            <w:tabs>
              <w:tab w:val="right" w:leader="dot" w:pos="9026"/>
            </w:tabs>
            <w:spacing w:before="120" w:after="60"/>
          </w:pPr>
          <w:hyperlink w:anchor="_Toc100023" w:history="1">
            <w:r>
              <w:rPr>
                <w:rStyle w:val="Hyperlink"/>
              </w:rPr>
              <w:t>Dominio 4: Minería y Metales Estratégicos</w:t>
            </w:r>
            <w:r>
              <w:tab/>
            </w:r>
            <w:r>
              <w:fldChar w:fldCharType="begin"/>
            </w:r>
            <w:r>
              <w:instrText xml:space="preserve"> PAGEREF _Toc100023 \h </w:instrText>
            </w:r>
            <w:r>
              <w:fldChar w:fldCharType="separate"/>
            </w:r>
            <w:r>
              <w:t>8</w:t>
            </w:r>
            <w:r>
              <w:fldChar w:fldCharType="end"/>
            </w:r>
          </w:hyperlink>
        </w:p>
        <w:p>
          <w:pPr>
            <w:pStyle w:val="12"/>
            <w:ind w:left="720"/>
            <w:tabs>
              <w:tab w:val="right" w:leader="dot" w:pos="9026"/>
            </w:tabs>
            <w:spacing w:before="120" w:after="60"/>
          </w:pPr>
          <w:hyperlink w:anchor="_Toc100024" w:history="1">
            <w:r>
              <w:rPr>
                <w:rStyle w:val="Hyperlink"/>
              </w:rPr>
              <w:t>Dominio 5: Medio Ambiente y Territorio</w:t>
            </w:r>
            <w:r>
              <w:tab/>
            </w:r>
            <w:r>
              <w:fldChar w:fldCharType="begin"/>
            </w:r>
            <w:r>
              <w:instrText xml:space="preserve"> PAGEREF _Toc100024 \h </w:instrText>
            </w:r>
            <w:r>
              <w:fldChar w:fldCharType="separate"/>
            </w:r>
            <w:r>
              <w:t>8</w:t>
            </w:r>
            <w:r>
              <w:fldChar w:fldCharType="end"/>
            </w:r>
          </w:hyperlink>
        </w:p>
        <w:p>
          <w:pPr>
            <w:pStyle w:val="12"/>
            <w:ind w:left="720"/>
            <w:tabs>
              <w:tab w:val="right" w:leader="dot" w:pos="9026"/>
            </w:tabs>
            <w:spacing w:before="120" w:after="60"/>
          </w:pPr>
          <w:hyperlink w:anchor="_Toc100025" w:history="1">
            <w:r>
              <w:rPr>
                <w:rStyle w:val="Hyperlink"/>
              </w:rPr>
              <w:t>Dominio 6: Participación y Acción Colectiva</w:t>
            </w:r>
            <w:r>
              <w:tab/>
            </w:r>
            <w:r>
              <w:fldChar w:fldCharType="begin"/>
            </w:r>
            <w:r>
              <w:instrText xml:space="preserve"> PAGEREF _Toc100025 \h </w:instrText>
            </w:r>
            <w:r>
              <w:fldChar w:fldCharType="separate"/>
            </w:r>
            <w:r>
              <w:t>8</w:t>
            </w:r>
            <w:r>
              <w:fldChar w:fldCharType="end"/>
            </w:r>
          </w:hyperlink>
        </w:p>
        <w:p>
          <w:pPr>
            <w:pStyle w:val="12"/>
            <w:ind w:left="720"/>
            <w:tabs>
              <w:tab w:val="right" w:leader="dot" w:pos="9026"/>
            </w:tabs>
            <w:spacing w:before="120" w:after="60"/>
          </w:pPr>
          <w:hyperlink w:anchor="_Toc100026" w:history="1">
            <w:r>
              <w:rPr>
                <w:rStyle w:val="Hyperlink"/>
              </w:rPr>
              <w:t>Dominio 7: Gestión Pública e Institucional</w:t>
            </w:r>
            <w:r>
              <w:tab/>
            </w:r>
            <w:r>
              <w:fldChar w:fldCharType="begin"/>
            </w:r>
            <w:r>
              <w:instrText xml:space="preserve"> PAGEREF _Toc100026 \h </w:instrText>
            </w:r>
            <w:r>
              <w:fldChar w:fldCharType="separate"/>
            </w:r>
            <w:r>
              <w:t>9</w:t>
            </w:r>
            <w:r>
              <w:fldChar w:fldCharType="end"/>
            </w:r>
          </w:hyperlink>
        </w:p>
        <w:p>
          <w:pPr>
            <w:pStyle w:val="12"/>
            <w:ind w:left="720"/>
            <w:tabs>
              <w:tab w:val="right" w:leader="dot" w:pos="9026"/>
            </w:tabs>
            <w:spacing w:before="120" w:after="60"/>
          </w:pPr>
          <w:hyperlink w:anchor="_Toc100027" w:history="1">
            <w:r>
              <w:rPr>
                <w:rStyle w:val="Hyperlink"/>
              </w:rPr>
              <w:t>Dominio 8: Organización Política y Procesos Electorales</w:t>
            </w:r>
            <w:r>
              <w:tab/>
            </w:r>
            <w:r>
              <w:fldChar w:fldCharType="begin"/>
            </w:r>
            <w:r>
              <w:instrText xml:space="preserve"> PAGEREF _Toc100027 \h </w:instrText>
            </w:r>
            <w:r>
              <w:fldChar w:fldCharType="separate"/>
            </w:r>
            <w:r>
              <w:t>9</w:t>
            </w:r>
            <w:r>
              <w:fldChar w:fldCharType="end"/>
            </w:r>
          </w:hyperlink>
        </w:p>
        <w:p>
          <w:pPr>
            <w:pStyle w:val="12"/>
            <w:ind w:left="720"/>
            <w:tabs>
              <w:tab w:val="right" w:leader="dot" w:pos="9026"/>
            </w:tabs>
            <w:spacing w:before="120" w:after="60"/>
          </w:pPr>
          <w:hyperlink w:anchor="_Toc100028" w:history="1">
            <w:r>
              <w:rPr>
                <w:rStyle w:val="Hyperlink"/>
              </w:rPr>
              <w:t>Dominio 9: Justicia, Derechos Humanos e Impunidad</w:t>
            </w:r>
            <w:r>
              <w:tab/>
            </w:r>
            <w:r>
              <w:fldChar w:fldCharType="begin"/>
            </w:r>
            <w:r>
              <w:instrText xml:space="preserve"> PAGEREF _Toc100028 \h </w:instrText>
            </w:r>
            <w:r>
              <w:fldChar w:fldCharType="separate"/>
            </w:r>
            <w:r>
              <w:t>9</w:t>
            </w:r>
            <w:r>
              <w:fldChar w:fldCharType="end"/>
            </w:r>
          </w:hyperlink>
        </w:p>
        <w:p>
          <w:pPr>
            <w:pStyle w:val="12"/>
            <w:ind w:left="720"/>
            <w:tabs>
              <w:tab w:val="right" w:leader="dot" w:pos="9026"/>
            </w:tabs>
            <w:spacing w:before="120" w:after="60"/>
          </w:pPr>
          <w:hyperlink w:anchor="_Toc100029" w:history="1">
            <w:r>
              <w:rPr>
                <w:rStyle w:val="Hyperlink"/>
              </w:rPr>
              <w:t>Dominio 10: Educación, Cultura e Identidad</w:t>
            </w:r>
            <w:r>
              <w:tab/>
            </w:r>
            <w:r>
              <w:fldChar w:fldCharType="begin"/>
            </w:r>
            <w:r>
              <w:instrText xml:space="preserve"> PAGEREF _Toc100029 \h </w:instrText>
            </w:r>
            <w:r>
              <w:fldChar w:fldCharType="separate"/>
            </w:r>
            <w:r>
              <w:t>9</w:t>
            </w:r>
            <w:r>
              <w:fldChar w:fldCharType="end"/>
            </w:r>
          </w:hyperlink>
        </w:p>
        <w:p>
          <w:pPr>
            <w:pStyle w:val="12"/>
            <w:ind w:left="720"/>
            <w:tabs>
              <w:tab w:val="right" w:leader="dot" w:pos="9026"/>
            </w:tabs>
            <w:spacing w:before="120" w:after="60"/>
          </w:pPr>
          <w:hyperlink w:anchor="_Toc100030" w:history="1">
            <w:r>
              <w:rPr>
                <w:rStyle w:val="Hyperlink"/>
              </w:rPr>
              <w:t>Dominio 11: Geopolítica, Relaciones Internacionales y Soberanía</w:t>
            </w:r>
            <w:r>
              <w:tab/>
            </w:r>
            <w:r>
              <w:fldChar w:fldCharType="begin"/>
            </w:r>
            <w:r>
              <w:instrText xml:space="preserve"> PAGEREF _Toc100030 \h </w:instrText>
            </w:r>
            <w:r>
              <w:fldChar w:fldCharType="separate"/>
            </w:r>
            <w:r>
              <w:t>10</w:t>
            </w:r>
            <w:r>
              <w:fldChar w:fldCharType="end"/>
            </w:r>
          </w:hyperlink>
        </w:p>
        <w:p>
          <w:pPr>
            <w:pStyle w:val="12"/>
            <w:ind w:left="720"/>
            <w:tabs>
              <w:tab w:val="right" w:leader="dot" w:pos="9026"/>
            </w:tabs>
            <w:spacing w:before="120" w:after="60"/>
          </w:pPr>
          <w:hyperlink w:anchor="_Toc100031" w:history="1">
            <w:r>
              <w:rPr>
                <w:rStyle w:val="Hyperlink"/>
              </w:rPr>
              <w:t>Dominio 12: Territorio, Población y Derechos Colectivos</w:t>
            </w:r>
            <w:r>
              <w:tab/>
            </w:r>
            <w:r>
              <w:fldChar w:fldCharType="begin"/>
            </w:r>
            <w:r>
              <w:instrText xml:space="preserve"> PAGEREF _Toc100031 \h </w:instrText>
            </w:r>
            <w:r>
              <w:fldChar w:fldCharType="separate"/>
            </w:r>
            <w:r>
              <w:t>10</w:t>
            </w:r>
            <w:r>
              <w:fldChar w:fldCharType="end"/>
            </w:r>
          </w:hyperlink>
        </w:p>
        <w:p>
          <w:pPr>
            <w:pStyle w:val="9"/>
            <w:tabs>
              <w:tab w:val="right" w:leader="dot" w:pos="9026"/>
            </w:tabs>
            <w:spacing w:before="120" w:after="60"/>
          </w:pPr>
          <w:hyperlink w:anchor="_Toc100032" w:history="1">
            <w:r>
              <w:rPr>
                <w:rStyle w:val="Hyperlink"/>
              </w:rPr>
              <w:t>5. Lentes Transversales</w:t>
            </w:r>
            <w:r>
              <w:tab/>
            </w:r>
            <w:r>
              <w:fldChar w:fldCharType="begin"/>
            </w:r>
            <w:r>
              <w:instrText xml:space="preserve"> PAGEREF _Toc100032 \h </w:instrText>
            </w:r>
            <w:r>
              <w:fldChar w:fldCharType="separate"/>
            </w:r>
            <w:r>
              <w:t>10</w:t>
            </w:r>
            <w:r>
              <w:fldChar w:fldCharType="end"/>
            </w:r>
          </w:hyperlink>
        </w:p>
        <w:p>
          <w:pPr>
            <w:pStyle w:val="9"/>
            <w:tabs>
              <w:tab w:val="right" w:leader="dot" w:pos="9026"/>
            </w:tabs>
            <w:spacing w:before="120" w:after="60"/>
          </w:pPr>
          <w:hyperlink w:anchor="_Toc100033" w:history="1">
            <w:r>
              <w:rPr>
                <w:rStyle w:val="Hyperlink"/>
              </w:rPr>
              <w:t>6. Modelo de Datos</w:t>
            </w:r>
            <w:r>
              <w:tab/>
            </w:r>
            <w:r>
              <w:fldChar w:fldCharType="begin"/>
            </w:r>
            <w:r>
              <w:instrText xml:space="preserve"> PAGEREF _Toc100033 \h </w:instrText>
            </w:r>
            <w:r>
              <w:fldChar w:fldCharType="separate"/>
            </w:r>
            <w:r>
              <w:t>10</w:t>
            </w:r>
            <w:r>
              <w:fldChar w:fldCharType="end"/>
            </w:r>
          </w:hyperlink>
        </w:p>
        <w:p>
          <w:pPr>
            <w:pStyle w:val="11"/>
            <w:ind w:left="360"/>
            <w:tabs>
              <w:tab w:val="right" w:leader="dot" w:pos="9026"/>
            </w:tabs>
            <w:spacing w:before="120" w:after="60"/>
          </w:pPr>
          <w:hyperlink w:anchor="_Toc100034" w:history="1">
            <w:r>
              <w:rPr>
                <w:rStyle w:val="Hyperlink"/>
              </w:rPr>
              <w:t>6.1 Schema Propuesto</w:t>
            </w:r>
            <w:r>
              <w:tab/>
            </w:r>
            <w:r>
              <w:fldChar w:fldCharType="begin"/>
            </w:r>
            <w:r>
              <w:instrText xml:space="preserve"> PAGEREF _Toc100034 \h </w:instrText>
            </w:r>
            <w:r>
              <w:fldChar w:fldCharType="separate"/>
            </w:r>
            <w:r>
              <w:t>10</w:t>
            </w:r>
            <w:r>
              <w:fldChar w:fldCharType="end"/>
            </w:r>
          </w:hyperlink>
        </w:p>
        <w:p>
          <w:pPr>
            <w:pStyle w:val="11"/>
            <w:ind w:left="360"/>
            <w:tabs>
              <w:tab w:val="right" w:leader="dot" w:pos="9026"/>
            </w:tabs>
            <w:spacing w:before="120" w:after="60"/>
          </w:pPr>
          <w:hyperlink w:anchor="_Toc100035" w:history="1">
            <w:r>
              <w:rPr>
                <w:rStyle w:val="Hyperlink"/>
              </w:rPr>
              <w:t>6.2 Ejemplo de Clasificación Multi-Eje</w:t>
            </w:r>
            <w:r>
              <w:tab/>
            </w:r>
            <w:r>
              <w:fldChar w:fldCharType="begin"/>
            </w:r>
            <w:r>
              <w:instrText xml:space="preserve"> PAGEREF _Toc100035 \h </w:instrText>
            </w:r>
            <w:r>
              <w:fldChar w:fldCharType="separate"/>
            </w:r>
            <w:r>
              <w:t>11</w:t>
            </w:r>
            <w:r>
              <w:fldChar w:fldCharType="end"/>
            </w:r>
          </w:hyperlink>
        </w:p>
        <w:p>
          <w:pPr>
            <w:pStyle w:val="9"/>
            <w:tabs>
              <w:tab w:val="right" w:leader="dot" w:pos="9026"/>
            </w:tabs>
            <w:spacing w:before="120" w:after="60"/>
          </w:pPr>
          <w:hyperlink w:anchor="_Toc100036" w:history="1">
            <w:r>
              <w:rPr>
                <w:rStyle w:val="Hyperlink"/>
              </w:rPr>
              <w:t>7. Impacto en la Arquitectura de Productos</w:t>
            </w:r>
            <w:r>
              <w:tab/>
            </w:r>
            <w:r>
              <w:fldChar w:fldCharType="begin"/>
            </w:r>
            <w:r>
              <w:instrText xml:space="preserve"> PAGEREF _Toc100036 \h </w:instrText>
            </w:r>
            <w:r>
              <w:fldChar w:fldCharType="separate"/>
            </w:r>
            <w:r>
              <w:t>11</w:t>
            </w:r>
            <w:r>
              <w:fldChar w:fldCharType="end"/>
            </w:r>
          </w:hyperlink>
        </w:p>
        <w:p>
          <w:pPr>
            <w:pStyle w:val="11"/>
            <w:ind w:left="360"/>
            <w:tabs>
              <w:tab w:val="right" w:leader="dot" w:pos="9026"/>
            </w:tabs>
            <w:spacing w:before="120" w:after="60"/>
          </w:pPr>
          <w:hyperlink w:anchor="_Toc100037" w:history="1">
            <w:r>
              <w:rPr>
                <w:rStyle w:val="Hyperlink"/>
              </w:rPr>
              <w:t>7.1 Productos Reestructurados</w:t>
            </w:r>
            <w:r>
              <w:tab/>
            </w:r>
            <w:r>
              <w:fldChar w:fldCharType="begin"/>
            </w:r>
            <w:r>
              <w:instrText xml:space="preserve"> PAGEREF _Toc100037 \h </w:instrText>
            </w:r>
            <w:r>
              <w:fldChar w:fldCharType="separate"/>
            </w:r>
            <w:r>
              <w:t>11</w:t>
            </w:r>
            <w:r>
              <w:fldChar w:fldCharType="end"/>
            </w:r>
          </w:hyperlink>
        </w:p>
        <w:p>
          <w:pPr>
            <w:pStyle w:val="11"/>
            <w:ind w:left="360"/>
            <w:tabs>
              <w:tab w:val="right" w:leader="dot" w:pos="9026"/>
            </w:tabs>
            <w:spacing w:before="120" w:after="60"/>
          </w:pPr>
          <w:hyperlink w:anchor="_Toc100038" w:history="1">
            <w:r>
              <w:rPr>
                <w:rStyle w:val="Hyperlink"/>
              </w:rPr>
              <w:t>7.2 El Especializado como Modelo, No Como Producto</w:t>
            </w:r>
            <w:r>
              <w:tab/>
            </w:r>
            <w:r>
              <w:fldChar w:fldCharType="begin"/>
            </w:r>
            <w:r>
              <w:instrText xml:space="preserve"> PAGEREF _Toc100038 \h </w:instrText>
            </w:r>
            <w:r>
              <w:fldChar w:fldCharType="separate"/>
            </w:r>
            <w:r>
              <w:t>12</w:t>
            </w:r>
            <w:r>
              <w:fldChar w:fldCharType="end"/>
            </w:r>
          </w:hyperlink>
        </w:p>
        <w:p>
          <w:pPr>
            <w:pStyle w:val="11"/>
            <w:ind w:left="360"/>
            <w:tabs>
              <w:tab w:val="right" w:leader="dot" w:pos="9026"/>
            </w:tabs>
            <w:spacing w:before="120" w:after="60"/>
          </w:pPr>
          <w:hyperlink w:anchor="_Toc100039" w:history="1">
            <w:r>
              <w:rPr>
                <w:rStyle w:val="Hyperlink"/>
              </w:rPr>
              <w:t>7.3 Relación Medio-Producto</w:t>
            </w:r>
            <w:r>
              <w:tab/>
            </w:r>
            <w:r>
              <w:fldChar w:fldCharType="begin"/>
            </w:r>
            <w:r>
              <w:instrText xml:space="preserve"> PAGEREF _Toc100039 \h </w:instrText>
            </w:r>
            <w:r>
              <w:fldChar w:fldCharType="separate"/>
            </w:r>
            <w:r>
              <w:t>12</w:t>
            </w:r>
            <w:r>
              <w:fldChar w:fldCharType="end"/>
            </w:r>
          </w:hyperlink>
        </w:p>
        <w:p>
          <w:pPr>
            <w:pStyle w:val="9"/>
            <w:tabs>
              <w:tab w:val="right" w:leader="dot" w:pos="9026"/>
            </w:tabs>
            <w:spacing w:before="120" w:after="60"/>
          </w:pPr>
          <w:hyperlink w:anchor="_Toc100040" w:history="1">
            <w:r>
              <w:rPr>
                <w:rStyle w:val="Hyperlink"/>
              </w:rPr>
              <w:t>8. Ruta de Implementación</w:t>
            </w:r>
            <w:r>
              <w:tab/>
            </w:r>
            <w:r>
              <w:fldChar w:fldCharType="begin"/>
            </w:r>
            <w:r>
              <w:instrText xml:space="preserve"> PAGEREF _Toc100040 \h </w:instrText>
            </w:r>
            <w:r>
              <w:fldChar w:fldCharType="separate"/>
            </w:r>
            <w:r>
              <w:t>12</w:t>
            </w:r>
            <w:r>
              <w:fldChar w:fldCharType="end"/>
            </w:r>
          </w:hyperlink>
        </w:p>
        <w:p>
          <w:pPr>
            <w:pStyle w:val="11"/>
            <w:ind w:left="360"/>
            <w:tabs>
              <w:tab w:val="right" w:leader="dot" w:pos="9026"/>
            </w:tabs>
            <w:spacing w:before="120" w:after="60"/>
          </w:pPr>
          <w:hyperlink w:anchor="_Toc100041" w:history="1">
            <w:r>
              <w:rPr>
                <w:rStyle w:val="Hyperlink"/>
              </w:rPr>
              <w:t>8.1 Fases</w:t>
            </w:r>
            <w:r>
              <w:tab/>
            </w:r>
            <w:r>
              <w:fldChar w:fldCharType="begin"/>
            </w:r>
            <w:r>
              <w:instrText xml:space="preserve"> PAGEREF _Toc100041 \h </w:instrText>
            </w:r>
            <w:r>
              <w:fldChar w:fldCharType="separate"/>
            </w:r>
            <w:r>
              <w:t>13</w:t>
            </w:r>
            <w:r>
              <w:fldChar w:fldCharType="end"/>
            </w:r>
          </w:hyperlink>
        </w:p>
        <w:p>
          <w:pPr>
            <w:pStyle w:val="11"/>
            <w:ind w:left="360"/>
            <w:tabs>
              <w:tab w:val="right" w:leader="dot" w:pos="9026"/>
            </w:tabs>
            <w:spacing w:before="120" w:after="60"/>
          </w:pPr>
          <w:hyperlink w:anchor="_Toc100042" w:history="1">
            <w:r>
              <w:rPr>
                <w:rStyle w:val="Hyperlink"/>
              </w:rPr>
              <w:t>8.2 Decisiones Pendientes</w:t>
            </w:r>
            <w:r>
              <w:tab/>
            </w:r>
            <w:r>
              <w:fldChar w:fldCharType="begin"/>
            </w:r>
            <w:r>
              <w:instrText xml:space="preserve"> PAGEREF _Toc100042 \h </w:instrText>
            </w:r>
            <w:r>
              <w:fldChar w:fldCharType="separate"/>
            </w:r>
            <w:r>
              <w:t>13</w:t>
            </w:r>
            <w:r>
              <w:fldChar w:fldCharType="end"/>
            </w:r>
          </w:hyperlink>
        </w:p>
        <w:p>
          <w:r>
            <w:fldChar w:fldCharType="end"/>
          </w:r>
        </w:p>
      </w:sdtContent>
    </w:sdt>
    <w:p>
      <w:pPr>
        <w:spacing w:before="200"/>
      </w:pPr>
      <w:r>
        <w:rPr>
          <w:i/>
          <w:iCs/>
          <w:color w:val="888888"/>
          <w:sz w:val="18"/>
          <w:szCs w:val="18"/>
        </w:rPr>
        <w:t xml:space="preserve">Nota: Este índice se genera mediante códigos de campo. Para actualizar los números de página, haga clic derecho sobre el índice y seleccione «Actualizar campo».</w:t>
      </w:r>
    </w:p>
    <w:p>
      <w:r>
        <w:br w:type="page"/>
      </w:r>
    </w:p>
    <w:p>
      <w:pPr>
        <w:pStyle w:val="Heading1"/>
        <w:spacing w:after="180" w:before="360"/>
      </w:pPr>
      <w:bookmarkStart w:id="100000" w:name="_Toc100000"/>
      <w:r>
        <w:rPr>
          <w:rFonts w:ascii="Times New Roman" w:eastAsia="SimHei"/>
          <w:b/>
          <w:bCs/>
          <w:color w:val="000000"/>
          <w:sz w:val="32"/>
          <w:szCs w:val="32"/>
        </w:rPr>
        <w:t xml:space="preserve">1. Diagnóstico del Estado Actual</w:t>
      </w:r>
      <w:bookmarkEnd w:id="100000"/>
    </w:p>
    <w:p>
      <w:pPr>
        <w:sectPr>
          <w:footerReference w:type="default" r:id="rId7"/>
          <w:type w:val="nextPage"/>
          <w:pgSz w:w="11906" w:h="16838" w:orient="portrait"/>
          <w:pgMar w:top="1440" w:right="1417" w:bottom="1440" w:left="1701" w:header="708" w:footer="708" w:gutter="0"/>
          <w:pgNumType w:start="1" w:fmt="UPPER_ROMAN"/>
          <w:docGrid w:linePitch="360"/>
        </w:sectPr>
      </w:pPr>
    </w:p>
    <w:p>
      <w:pPr>
        <w:pStyle w:val="Heading2"/>
        <w:spacing w:after="140" w:before="280"/>
      </w:pPr>
      <w:bookmarkStart w:id="100001" w:name="_Toc100001"/>
      <w:r>
        <w:rPr>
          <w:rFonts w:ascii="Times New Roman" w:eastAsia="SimHei"/>
          <w:b/>
          <w:bCs/>
          <w:color w:val="000000"/>
          <w:sz w:val="28"/>
          <w:szCs w:val="28"/>
        </w:rPr>
        <w:t xml:space="preserve">1.1 Problemas Estructurales Identificados</w:t>
      </w:r>
      <w:bookmarkEnd w:id="100001"/>
    </w:p>
    <w:p>
      <w:pPr>
        <w:spacing w:after="80" w:line="312"/>
        <w:ind w:firstLine="480"/>
        <w:jc w:val="both"/>
      </w:pPr>
      <w:r>
        <w:rPr>
          <w:rFonts w:ascii="Times New Roman" w:eastAsia="SimSun"/>
          <w:color w:val="000000"/>
          <w:sz w:val="24"/>
          <w:szCs w:val="24"/>
        </w:rPr>
        <w:t xml:space="preserve">El sistema DECODEX Bolivia ONION200 presenta problemas fundamentales en su modelo de clasificación temática que comprometen la calidad periodística de todos los productos que genera. Estos problemas no son superficiales ni se resuelven con ajustes menores: son defectos arquitectónicos que afectan cómo el sistema interpreta y organiza la realidad boliviana. La taxonomía de ejes temáticos actual fue diseñada sin una base epistemológica sólida, resultado de capas sucesivas de correcciones puntuales sin una visión sistemática del conjunto.</w:t>
      </w:r>
    </w:p>
    <w:p>
      <w:pPr>
        <w:pStyle w:val="Heading3"/>
        <w:spacing w:after="100" w:before="200"/>
      </w:pPr>
      <w:bookmarkStart w:id="100002" w:name="_Toc100002"/>
      <w:r>
        <w:rPr>
          <w:rFonts w:ascii="Times New Roman" w:eastAsia="SimHei"/>
          <w:b/>
          <w:bCs/>
          <w:color w:val="5B6B7D"/>
          <w:sz w:val="26"/>
          <w:szCs w:val="26"/>
        </w:rPr>
        <w:t xml:space="preserve">A. Mezcla de niveles de abstracción</w:t>
      </w:r>
      <w:bookmarkEnd w:id="100002"/>
    </w:p>
    <w:p>
      <w:pPr>
        <w:spacing w:after="80" w:line="312"/>
        <w:ind w:firstLine="480"/>
        <w:jc w:val="both"/>
      </w:pPr>
      <w:r>
        <w:rPr>
          <w:rFonts w:ascii="Times New Roman" w:eastAsia="SimSun"/>
          <w:color w:val="000000"/>
          <w:sz w:val="24"/>
          <w:szCs w:val="24"/>
        </w:rPr>
        <w:t xml:space="preserve">El primer problema es la confusión entre dominios temáticos y subtemas específicos. El eje «Energía e Hidrocarburos, Combustibles» coloca en el mismo nivel un dominio completo (hidrocarburos) con un subtema específico (combustibles). En la realidad boliviana, «combustible» no es un eje autónomo sino una categoría de producto que contiene múltiples ejes reales: gas domiciliario (GNL/GLP), gasolina adulterada, diesel, abastecimiento, importación de combustibles, demanda y consumo, exportación de gas, y proyectos energéticos. Cada uno de estos es un eje con dinámica propia, fuentes distintas y actores diferenciados.</w:t>
      </w:r>
    </w:p>
    <w:p>
      <w:pPr>
        <w:pStyle w:val="Heading3"/>
        <w:spacing w:after="100" w:before="200"/>
      </w:pPr>
      <w:bookmarkStart w:id="100003" w:name="_Toc100003"/>
      <w:r>
        <w:rPr>
          <w:rFonts w:ascii="Times New Roman" w:eastAsia="SimHei"/>
          <w:b/>
          <w:bCs/>
          <w:color w:val="5B6B7D"/>
          <w:sz w:val="26"/>
          <w:szCs w:val="26"/>
        </w:rPr>
        <w:t xml:space="preserve">B. Ambigüedad categorial</w:t>
      </w:r>
      <w:bookmarkEnd w:id="100003"/>
    </w:p>
    <w:p>
      <w:pPr>
        <w:spacing w:after="80" w:line="312"/>
        <w:ind w:firstLine="480"/>
        <w:jc w:val="both"/>
      </w:pPr>
      <w:r>
        <w:rPr>
          <w:rFonts w:ascii="Times New Roman" w:eastAsia="SimSun"/>
          <w:color w:val="000000"/>
          <w:sz w:val="24"/>
          <w:szCs w:val="24"/>
        </w:rPr>
        <w:t xml:space="preserve">El segundo problema es la creación de categorías universalistas que no clasifican nada. El eje «Gobierno, Oposición e Instituciones» agrupa tres conceptos radicalmente distintos. «Gobierno» podría referirse al Ejecutivo nacional, a un gobernador, a un alcalde. «Oposición» podría ser oposición parlamentaria, oposición social, oposición mediática o oposición departamental. «Instituciones» es aún peor: un sindicato es una institución, un comité cívico es una institución, un partido político es una institución, la Contraloría General de la República es una institución. La palabra «institución» no discrimina nada porque todo actor social y estatal es, por definición, una institución.</w:t>
      </w:r>
    </w:p>
    <w:p>
      <w:pPr>
        <w:pStyle w:val="Heading3"/>
        <w:spacing w:after="100" w:before="200"/>
      </w:pPr>
      <w:bookmarkStart w:id="100004" w:name="_Toc100004"/>
      <w:r>
        <w:rPr>
          <w:rFonts w:ascii="Times New Roman" w:eastAsia="SimHei"/>
          <w:b/>
          <w:bCs/>
          <w:color w:val="5B6B7D"/>
          <w:sz w:val="26"/>
          <w:szCs w:val="26"/>
        </w:rPr>
        <w:t xml:space="preserve">C. Criminalización de la demanda social</w:t>
      </w:r>
      <w:bookmarkEnd w:id="100004"/>
    </w:p>
    <w:p>
      <w:pPr>
        <w:spacing w:after="80" w:line="312"/>
        <w:ind w:firstLine="480"/>
        <w:jc w:val="both"/>
      </w:pPr>
      <w:r>
        <w:rPr>
          <w:rFonts w:ascii="Times New Roman" w:eastAsia="SimSun"/>
          <w:color w:val="000000"/>
          <w:sz w:val="24"/>
          <w:szCs w:val="24"/>
        </w:rPr>
        <w:t xml:space="preserve">El tercer problema, y el más grave desde la perspectiva ética, es la criminalización implícita de las organizaciones sociales. Cuando el eje se llama «Conflicto» y «Organizaciones Sociales» aparece como sinónimo o categoría equivalente, el sistema reproduce una lógica que la Constitución Política del Estado Plurinacional de Bolivia y los tratados internacionales de derechos humanos combaten explícitamente. Equipar organización social con conflicto es equivaler al sujeto con el problema: es como decir que «prensa» y «desinformación» son dos caras de la misma moneda, o que «empresa» y «corrupción» son lo mismo. La organización social es un sujeto de derecho constitucionalmente reconocido; el conflicto, cuando existe, es una situación social que puede involucrar múltiples actores, no solo organizaciones sociales.</w:t>
      </w:r>
    </w:p>
    <w:p>
      <w:pPr>
        <w:pStyle w:val="Heading3"/>
        <w:spacing w:after="100" w:before="200"/>
      </w:pPr>
      <w:bookmarkStart w:id="100005" w:name="_Toc100005"/>
      <w:r>
        <w:rPr>
          <w:rFonts w:ascii="Times New Roman" w:eastAsia="SimHei"/>
          <w:b/>
          <w:bCs/>
          <w:color w:val="5B6B7D"/>
          <w:sz w:val="26"/>
          <w:szCs w:val="26"/>
        </w:rPr>
        <w:t xml:space="preserve">D. Monopolio de la acción colectiva</w:t>
      </w:r>
      <w:bookmarkEnd w:id="100005"/>
    </w:p>
    <w:p>
      <w:pPr>
        <w:spacing w:after="80" w:line="312"/>
        <w:ind w:firstLine="480"/>
        <w:jc w:val="both"/>
      </w:pPr>
      <w:r>
        <w:rPr>
          <w:rFonts w:ascii="Times New Roman" w:eastAsia="SimSun"/>
          <w:color w:val="000000"/>
          <w:sz w:val="24"/>
          <w:szCs w:val="24"/>
        </w:rPr>
        <w:t xml:space="preserve">Un error recurrente en la taxonomía es asignar formas de acción colectiva (bloqueos, marchas, huelgas, paros) exclusivamente a las organizaciones sociales. En Bolivia, la CAO declara paros empresariales, la CAInco convoca medidas de presión, las juntas de vecinos marchan, los cooperativistas mineros bloquean carreteras, los comités cívicos organizan cabildos con bloqueos, los gremiales de transportistas paran rutas, las universidades movilizan estudiantes. La movilización es un derecho constitucional genérico ejercido por todos los sectores de la sociedad boliviana, no una forma de acción exclusiva de ningún actor en particular.</w:t>
      </w:r>
    </w:p>
    <w:p>
      <w:pPr>
        <w:pStyle w:val="Heading3"/>
        <w:spacing w:after="100" w:before="200"/>
      </w:pPr>
      <w:bookmarkStart w:id="100006" w:name="_Toc100006"/>
      <w:r>
        <w:rPr>
          <w:rFonts w:ascii="Times New Roman" w:eastAsia="SimHei"/>
          <w:b/>
          <w:bCs/>
          <w:color w:val="5B6B7D"/>
          <w:sz w:val="26"/>
          <w:szCs w:val="26"/>
        </w:rPr>
        <w:t xml:space="preserve">E. Reducción de la política al parlamento</w:t>
      </w:r>
      <w:bookmarkEnd w:id="100006"/>
    </w:p>
    <w:p>
      <w:pPr>
        <w:spacing w:after="80" w:line="312"/>
        <w:ind w:firstLine="480"/>
        <w:jc w:val="both"/>
      </w:pPr>
      <w:r>
        <w:rPr>
          <w:rFonts w:ascii="Times New Roman" w:eastAsia="SimSun"/>
          <w:color w:val="000000"/>
          <w:sz w:val="24"/>
          <w:szCs w:val="24"/>
        </w:rPr>
        <w:t xml:space="preserve">La quinta categoría de errores es la reducción de la política a lo que ocurre dentro del parlamento y los partidos con bancada. La Constitución boliviana reconoce un espectro mucho más amplio de formas de organización y participación política: agrupaciones ciudadanas que compiten electoralmente sin estructura partidaria permanente, organizaciones sociales que designan candidatos y negocian políticas públicas, gobernadores como actores políticos independientes del partido de gobierno, autoridades originarias (mallkus, t’amanis, jiliri) como formas legítimas de gobierno y decisión política, comités cívicos como actores políticos departamentales, y movimientos ciudadanos que surgen fuera de todo partido y cambian agendas nacionales.</w:t>
      </w:r>
    </w:p>
    <w:p>
      <w:pPr>
        <w:pStyle w:val="Heading3"/>
        <w:spacing w:after="100" w:before="200"/>
      </w:pPr>
      <w:bookmarkStart w:id="100007" w:name="_Toc100007"/>
      <w:r>
        <w:rPr>
          <w:rFonts w:ascii="Times New Roman" w:eastAsia="SimHei"/>
          <w:b/>
          <w:bCs/>
          <w:color w:val="5B6B7D"/>
          <w:sz w:val="26"/>
          <w:szCs w:val="26"/>
        </w:rPr>
        <w:t xml:space="preserve">F. Falsa separación entre dominios interconectados</w:t>
      </w:r>
      <w:bookmarkEnd w:id="100007"/>
    </w:p>
    <w:p>
      <w:pPr>
        <w:spacing w:after="80" w:line="312"/>
        <w:ind w:firstLine="480"/>
        <w:jc w:val="both"/>
      </w:pPr>
      <w:r>
        <w:rPr>
          <w:rFonts w:ascii="Times New Roman" w:eastAsia="SimSun"/>
          <w:color w:val="000000"/>
          <w:sz w:val="24"/>
          <w:szCs w:val="24"/>
        </w:rPr>
        <w:t xml:space="preserve">El sexto problema es la pretensión de crear ejes estancos entre dominios que en la realidad boliviana están profundamente interconectados. No puede existir «Salud» sin agua potable, saneamiento básico, tratamiento de basura, hospitales accesibles y carreteras que conecten a las comunidades con centros de salud. La Organización Mundial de la Salud define la salud como determinada por las condiciones en que las personas nacen, crecen, viven, trabajan y envejecen. Un eje de salud que no incluya sus determinantes sociales (agua, saneamiento, alimentación, vivienda, condiciones de vida) está incompleto por definición. De la misma manera, el agua es simultáneamente salud, infraestructura, derechos sociales y gestión municipal.</w:t>
      </w:r>
    </w:p>
    <w:p>
      <w:pPr>
        <w:spacing w:before="120"/>
      </w:pPr>
    </w:p>
    <w:p>
      <w:pPr>
        <w:pStyle w:val="Heading2"/>
        <w:spacing w:after="140" w:before="280"/>
      </w:pPr>
      <w:bookmarkStart w:id="100008" w:name="_Toc100008"/>
      <w:r>
        <w:rPr>
          <w:rFonts w:ascii="Times New Roman" w:eastAsia="SimHei"/>
          <w:b/>
          <w:bCs/>
          <w:color w:val="000000"/>
          <w:sz w:val="28"/>
          <w:szCs w:val="28"/>
        </w:rPr>
        <w:t xml:space="preserve">1.2 Datos del Sistema Actual</w:t>
      </w:r>
      <w:bookmarkEnd w:id="100008"/>
    </w:p>
    <w:p>
      <w:pPr>
        <w:spacing w:after="80" w:line="312"/>
        <w:ind w:firstLine="480"/>
        <w:jc w:val="both"/>
      </w:pPr>
      <w:r>
        <w:rPr>
          <w:rFonts w:ascii="Times New Roman" w:eastAsia="SimSun"/>
          <w:color w:val="000000"/>
          <w:sz w:val="24"/>
          <w:szCs w:val="24"/>
        </w:rPr>
        <w:t xml:space="preserve">El análisis de la distribución de menciones en el sistema actual confirma los problemas diagnósticos. La siguiente tabla muestra la distribución real de las 313 menciones capturadas en la última corrida completa del sistema, donde se observa cómo el eje de Movimientos Sociales absorbe una proporción desproporcionada del total:</w:t>
      </w:r>
    </w:p>
    <w:tbl>
      <w:tblPr>
        <w:tblW w:type="pct" w:w="100%"/>
        <w:tblBorders>
          <w:top w:val="single" w:color="529286" w:sz="4"/>
          <w:left w:val="none" w:color="FFFFFF" w:sz="0"/>
          <w:bottom w:val="single" w:color="529286" w:sz="4"/>
          <w:right w:val="none" w:color="FFFFFF" w:sz="0"/>
          <w:insideH w:val="single" w:color="BECFCC" w:sz="1"/>
          <w:insideV w:val="none" w:color="FFFFFF" w:sz="0"/>
        </w:tblBorders>
        <w:tblLayout w:type="fixed"/>
      </w:tblPr>
      <w:tblGrid>
        <w:gridCol w:w="100"/>
        <w:gridCol w:w="100"/>
        <w:gridCol w:w="100"/>
        <w:gridCol w:w="100"/>
      </w:tblGrid>
      <w:tr>
        <w:trPr>
          <w:cantSplit/>
          <w:tblHeader/>
        </w:trPr>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Eje Temático</w:t>
            </w:r>
          </w:p>
        </w:tc>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Menciones</w:t>
            </w:r>
          </w:p>
        </w:tc>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 del Total</w:t>
            </w:r>
          </w:p>
        </w:tc>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Tipo de Problema</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Movimientos Sociales y Conflictividad</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129</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41,2%</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Absorbe movilización de todos los sectores</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Economía y Política Económica</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61</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19,5%</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Mezcla macro con sectorial</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Gobierno, Oposición e Instituciones</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44</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14,1%</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Ambigüedad categorial extrema</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Hidrocarburos, Energía y Combustible</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36</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11,5%</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Subtemas como ejes</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Medio Ambiente, Territorio y Recursos</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19</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6,1%</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Dominios fusionados</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Corrupción e Impunidad</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16</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5,1%</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Coherente pero aislado</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Justicia y Derechos Humanos</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10</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3,2%</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Coherente pero aislado</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Salud y Servicios Públicos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5</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1,6%</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Nombre engañoso</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Procesos Electorales</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4</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1,3%</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Incompleto</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Educación, Universidades y Cultura</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0</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0%</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Sin captura</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Relaciones Internacionales</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0</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0%</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Sin captura</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Minería y Metales Estratégicos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0</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0%</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Sin captura</w:t>
            </w:r>
          </w:p>
        </w:tc>
      </w:tr>
    </w:tbl>
    <w:p>
      <w:pPr>
        <w:spacing w:before="120"/>
      </w:pPr>
    </w:p>
    <w:p>
      <w:pPr>
        <w:spacing w:after="80" w:line="312"/>
        <w:ind w:firstLine="480"/>
        <w:jc w:val="both"/>
      </w:pPr>
      <w:r>
        <w:rPr>
          <w:rFonts w:ascii="Times New Roman" w:eastAsia="SimSun"/>
          <w:color w:val="000000"/>
          <w:sz w:val="24"/>
          <w:szCs w:val="24"/>
        </w:rPr>
        <w:t xml:space="preserve">El 41,2% de todas las menciones se acumulan en un solo eje, distorsionando completamente el mapa de tensiones que los productos DECODEX deben presentar a sus clientes. Las notas sobre bloqueos de transportistas por gasolina, paros empresariales de la CAO, huelgas de maestros y protestas de vecinos todas terminan en el mismo cajón «Movimientos Sociales», invisibilizando los temas estructurales subyacentes (hidrocarburos, economía, educación, servicios básicos) que cada movilización expone.</w:t>
      </w:r>
    </w:p>
    <w:p>
      <w:pPr>
        <w:pStyle w:val="Heading1"/>
        <w:spacing w:after="180" w:before="360"/>
      </w:pPr>
      <w:bookmarkStart w:id="100009" w:name="_Toc100009"/>
      <w:r>
        <w:rPr>
          <w:rFonts w:ascii="Times New Roman" w:eastAsia="SimHei"/>
          <w:b/>
          <w:bCs/>
          <w:color w:val="000000"/>
          <w:sz w:val="32"/>
          <w:szCs w:val="32"/>
        </w:rPr>
        <w:t xml:space="preserve">2. Principios Epistemológicos Fundacionales</w:t>
      </w:r>
      <w:bookmarkEnd w:id="100009"/>
    </w:p>
    <w:p>
      <w:pPr>
        <w:pStyle w:val="Heading2"/>
        <w:spacing w:after="140" w:before="280"/>
      </w:pPr>
      <w:bookmarkStart w:id="100010" w:name="_Toc100010"/>
      <w:r>
        <w:rPr>
          <w:rFonts w:ascii="Times New Roman" w:eastAsia="SimHei"/>
          <w:b/>
          <w:bCs/>
          <w:color w:val="000000"/>
          <w:sz w:val="28"/>
          <w:szCs w:val="28"/>
        </w:rPr>
        <w:t xml:space="preserve">2.1 Marco Constitucional</w:t>
      </w:r>
      <w:bookmarkEnd w:id="100010"/>
    </w:p>
    <w:p>
      <w:pPr>
        <w:spacing w:after="80" w:line="312"/>
        <w:ind w:firstLine="480"/>
        <w:jc w:val="both"/>
      </w:pPr>
      <w:r>
        <w:rPr>
          <w:rFonts w:ascii="Times New Roman" w:eastAsia="SimSun"/>
          <w:color w:val="000000"/>
          <w:sz w:val="24"/>
          <w:szCs w:val="24"/>
        </w:rPr>
        <w:t xml:space="preserve">La Constitución Política del Estado Plurinacional de Bolivia establece un marco jurídico que debe orientar la clasificación temática del sistema. No se trata de una referencia decorativa sino de un mandato operativo: los artículos constitucionales definen qué son los actores sociales, cómo se relacionan con el Estado y qué derechos les asisten. Ignorar este marco implica construir un sistema de clasificación que contradice la norma suprema del ordenamiento jurídico boliviano.</w:t>
      </w:r>
    </w:p>
    <w:tbl>
      <w:tblPr>
        <w:tblW w:type="pct" w:w="100%"/>
        <w:tblBorders>
          <w:top w:val="single" w:color="529286" w:sz="4"/>
          <w:left w:val="none" w:color="FFFFFF" w:sz="0"/>
          <w:bottom w:val="single" w:color="529286" w:sz="4"/>
          <w:right w:val="none" w:color="FFFFFF" w:sz="0"/>
          <w:insideH w:val="single" w:color="BECFCC" w:sz="1"/>
          <w:insideV w:val="none" w:color="FFFFFF" w:sz="0"/>
        </w:tblBorders>
        <w:tblLayout w:type="fixed"/>
      </w:tblPr>
      <w:tblGrid>
        <w:gridCol w:w="100"/>
        <w:gridCol w:w="100"/>
        <w:gridCol w:w="100"/>
      </w:tblGrid>
      <w:tr>
        <w:trPr>
          <w:cantSplit/>
          <w:tblHeader/>
        </w:trPr>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Artículo CPE</w:t>
            </w:r>
          </w:p>
        </w:tc>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Contenido</w:t>
            </w:r>
          </w:p>
        </w:tc>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Implicación para el Sistema</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Art. 2</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Estado fundado en comunidad, unión, diversidad, igualdad</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La diversidad de formas organizativas es principio constitucional, no excepción</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Art. 8 par. III</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Ama sua, ama llulla, ama quella</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El sistema debe practicar honestidad epistemológica en sus clasificaciones</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Art. 11 par. I</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Democracia comunitaria como forma de ejercicio del poder</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La democracia no se reduce a lo electoral-parlamentario</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Art. 241</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Organizaciones sociales tienen carácter representativo</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Las organizaciones sociales son sujetos, no objetos de clasificación</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Art. 242</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Mecanismos de participación y control social</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La participación social es función constitucional, no conflicto</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Art. 222</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Derecho a libre asociación empresarial</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Los actores empresariales tienen igual dignidad constitucional</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Art. 226</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Agrupaciones ciudadanas como forma de organización política</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La política no es monopolio de los partidos con bancada</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Art. 307</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Reconocimiento del papel económico de las cooperativas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Las cooperativas son actores económicos plenos</w:t>
            </w:r>
          </w:p>
        </w:tc>
      </w:tr>
    </w:tbl>
    <w:p>
      <w:pPr>
        <w:spacing w:before="120"/>
      </w:pPr>
    </w:p>
    <w:p>
      <w:pPr>
        <w:pStyle w:val="Heading2"/>
        <w:spacing w:after="140" w:before="280"/>
      </w:pPr>
      <w:bookmarkStart w:id="100011" w:name="_Toc100011"/>
      <w:r>
        <w:rPr>
          <w:rFonts w:ascii="Times New Roman" w:eastAsia="SimHei"/>
          <w:b/>
          <w:bCs/>
          <w:color w:val="000000"/>
          <w:sz w:val="28"/>
          <w:szCs w:val="28"/>
        </w:rPr>
        <w:t xml:space="preserve">2.2 Marco Internacional de Derechos Humanos</w:t>
      </w:r>
      <w:bookmarkEnd w:id="100011"/>
    </w:p>
    <w:p>
      <w:pPr>
        <w:spacing w:after="80" w:line="312"/>
        <w:ind w:firstLine="480"/>
        <w:jc w:val="both"/>
      </w:pPr>
      <w:r>
        <w:rPr>
          <w:rFonts w:ascii="Times New Roman" w:eastAsia="SimSun"/>
          <w:color w:val="000000"/>
          <w:sz w:val="24"/>
          <w:szCs w:val="24"/>
        </w:rPr>
        <w:t xml:space="preserve">Los tratados internacionales ratificados por Bolivia complementan el marco constitucional y refuerzan la obligación de construir un sistema de clasificación que no criminalice la demanda social. La Declaración Universal de Derechos Humanos (artículos 20 y 19), el Pacto Internacional de Derechos Civiles y Políticos (artículos 21 y 22), la Convención Americana sobre Derechos Humanos (artículos 15 y 16), y la Declaración de Naciones Unidas sobre Derechos de los Pueblos Indígenas (artículos 5, 8, 9, 11, 12, 13, 15, 16, 17, 18 y 19) establecen marcos normativos que el sistema DECODEX debe respetar en su diseño clasificatorio.</w:t>
      </w:r>
    </w:p>
    <w:p>
      <w:pPr>
        <w:spacing w:after="80" w:line="312"/>
        <w:ind w:firstLine="480"/>
        <w:jc w:val="both"/>
      </w:pPr>
      <w:r>
        <w:rPr>
          <w:rFonts w:ascii="Times New Roman" w:eastAsia="SimSun"/>
          <w:color w:val="000000"/>
          <w:sz w:val="24"/>
          <w:szCs w:val="24"/>
        </w:rPr>
        <w:t xml:space="preserve">Decir que organización social equivale a conflicto es equiparar al sujeto con el problema, lo cual viola el principio de dignidad inherente a toda persona y organización. El sistema de clasificación no puede reproducir la lógica de criminalización que históricamente ha sido usada para deslegitimar demandas legítimas de comunidades, sindicatos, pueblos indígenas y organizaciones territoriales en Bolivia.</w:t>
      </w:r>
    </w:p>
    <w:p>
      <w:pPr>
        <w:pStyle w:val="Heading2"/>
        <w:spacing w:after="140" w:before="280"/>
      </w:pPr>
      <w:bookmarkStart w:id="100012" w:name="_Toc100012"/>
      <w:r>
        <w:rPr>
          <w:rFonts w:ascii="Times New Roman" w:eastAsia="SimHei"/>
          <w:b/>
          <w:bCs/>
          <w:color w:val="000000"/>
          <w:sz w:val="28"/>
          <w:szCs w:val="28"/>
        </w:rPr>
        <w:t xml:space="preserve">2.3 Principios Rectores del Nuevo Modelo</w:t>
      </w:r>
      <w:bookmarkEnd w:id="100012"/>
    </w:p>
    <w:p>
      <w:pPr>
        <w:spacing w:after="80" w:line="312"/>
        <w:ind w:firstLine="480"/>
        <w:jc w:val="both"/>
      </w:pPr>
      <w:r>
        <w:rPr>
          <w:rFonts w:ascii="Times New Roman" w:eastAsia="SimSun"/>
          <w:color w:val="000000"/>
          <w:sz w:val="24"/>
          <w:szCs w:val="24"/>
        </w:rPr>
        <w:t xml:space="preserve">Los siguientes principios operativos guían el diseño de la nueva arquitectura de ejes temáticos y deben ser aplicados en toda decisión de diseño, tanto en la definición de la tabla maestra como en la configuración de los prompts del LLM clasificador:</w:t>
      </w:r>
    </w:p>
    <w:tbl>
      <w:tblPr>
        <w:tblW w:type="pct" w:w="100%"/>
        <w:tblBorders>
          <w:top w:val="single" w:color="529286" w:sz="4"/>
          <w:left w:val="none" w:color="FFFFFF" w:sz="0"/>
          <w:bottom w:val="single" w:color="529286" w:sz="4"/>
          <w:right w:val="none" w:color="FFFFFF" w:sz="0"/>
          <w:insideH w:val="single" w:color="BECFCC" w:sz="1"/>
          <w:insideV w:val="none" w:color="FFFFFF" w:sz="0"/>
        </w:tblBorders>
        <w:tblLayout w:type="fixed"/>
      </w:tblPr>
      <w:tblGrid>
        <w:gridCol w:w="100"/>
        <w:gridCol w:w="100"/>
        <w:gridCol w:w="100"/>
      </w:tblGrid>
      <w:tr>
        <w:trPr>
          <w:cantSplit/>
          <w:tblHeader/>
        </w:trPr>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Principio</w:t>
            </w:r>
          </w:p>
        </w:tc>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Definición</w:t>
            </w:r>
          </w:p>
        </w:tc>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Aplicación</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Sujeto no es situación</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Organizaciones sociales son sujetos de derecho, no conflictos</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Nunca clasificar notas por el actor y llamarlo conflicto</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Acción no es actor</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La movilización es una forma de acción ejercida por todos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Separar actores de formas de acción en ejes distintos</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Determinantes integran</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La salud no existe sin agua, vivienda, alimentación, transporte</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Los ejes deben incluir sus determinantes sociales</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Neutralidad en la etiqueta</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El lenguaje del sistema no debe sesgar la interpretación</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Evitar términos que criminalizan o estigmatizan</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Multi-lente no mono-lente</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Una nota puede verse desde múltiples ángulos</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Modelo multi-eje con pesos relativos</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Diversidad constitucional</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Reconocer todas las formas de organización política</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No reducir la política a parlamento y partidos</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Integridad relacional</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Los temas están interconectados, no aislados</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Notas pueden pertenecer a múltiples ejes simultáneamente</w:t>
            </w:r>
          </w:p>
        </w:tc>
      </w:tr>
    </w:tbl>
    <w:p>
      <w:pPr>
        <w:pStyle w:val="Heading1"/>
        <w:spacing w:after="180" w:before="360"/>
      </w:pPr>
      <w:bookmarkStart w:id="100013" w:name="_Toc100013"/>
      <w:r>
        <w:rPr>
          <w:rFonts w:ascii="Times New Roman" w:eastAsia="SimHei"/>
          <w:b/>
          <w:bCs/>
          <w:color w:val="000000"/>
          <w:sz w:val="32"/>
          <w:szCs w:val="32"/>
        </w:rPr>
        <w:t xml:space="preserve">3. Modelo Multi-Eje: Arquitectura Propuesta</w:t>
      </w:r>
      <w:bookmarkEnd w:id="100013"/>
    </w:p>
    <w:p>
      <w:pPr>
        <w:pStyle w:val="Heading2"/>
        <w:spacing w:after="140" w:before="280"/>
      </w:pPr>
      <w:bookmarkStart w:id="100014" w:name="_Toc100014"/>
      <w:r>
        <w:rPr>
          <w:rFonts w:ascii="Times New Roman" w:eastAsia="SimHei"/>
          <w:b/>
          <w:bCs/>
          <w:color w:val="000000"/>
          <w:sz w:val="28"/>
          <w:szCs w:val="28"/>
        </w:rPr>
        <w:t xml:space="preserve">3.1 Del Mono-Eje al Multi-Eje</w:t>
      </w:r>
      <w:bookmarkEnd w:id="100014"/>
    </w:p>
    <w:p>
      <w:pPr>
        <w:spacing w:after="80" w:line="312"/>
        <w:ind w:firstLine="480"/>
        <w:jc w:val="both"/>
      </w:pPr>
      <w:r>
        <w:rPr>
          <w:rFonts w:ascii="Times New Roman" w:eastAsia="SimSun"/>
          <w:color w:val="000000"/>
          <w:sz w:val="24"/>
          <w:szCs w:val="24"/>
        </w:rPr>
        <w:t xml:space="preserve">El modelo actual asigna cada nota a un único eje temático mediante un campo `eje_id` en la tabla de menciones. Este diseño fuerza al sistema a elegir una sola categoría para cada noticia, perdiendo la complejidad de la realidad boliviana donde los temas están profundamente interconectados. El nuevo modelo reemplaza esta asignación exclusiva por un sistema multi-eje con pesos relativos, donde cada nota puede pertenecer a múltiples ejes simultáneamente con un valor numérico que indica la intensidad de la relación.</w:t>
      </w:r>
    </w:p>
    <w:tbl>
      <w:tblPr>
        <w:tblW w:type="pct" w:w="100%"/>
        <w:tblBorders>
          <w:top w:val="single" w:color="529286" w:sz="4"/>
          <w:left w:val="none" w:color="FFFFFF" w:sz="0"/>
          <w:bottom w:val="single" w:color="529286" w:sz="4"/>
          <w:right w:val="none" w:color="FFFFFF" w:sz="0"/>
          <w:insideH w:val="single" w:color="BECFCC" w:sz="1"/>
          <w:insideV w:val="none" w:color="FFFFFF" w:sz="0"/>
        </w:tblBorders>
        <w:tblLayout w:type="fixed"/>
      </w:tblPr>
      <w:tblGrid>
        <w:gridCol w:w="100"/>
        <w:gridCol w:w="100"/>
        <w:gridCol w:w="100"/>
      </w:tblGrid>
      <w:tr>
        <w:trPr>
          <w:cantSplit/>
          <w:tblHeader/>
        </w:trPr>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Aspecto</w:t>
            </w:r>
          </w:p>
        </w:tc>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Mono-Eje Actual</w:t>
            </w:r>
          </w:p>
        </w:tc>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Multi-Eje Propuesto</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Modelo de datos</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nota.eje_id (campo único)</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Tabla intermedia nota_ejes(nota_id, eje_id, peso)</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Prompt del LLM</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Clasifica en UN eje</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Asigna todos los ejes relevantes con peso 0-1</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Consultas por producto</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WHERE eje_id = X</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WHERE eje_id = X AND peso &gt;= 0.5</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Costo LLM</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1 clasificación por nota</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1 clasificación con múltiples salidas (mismo costo)</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Cobertura del producto</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Pierde notas que tocan varios temas</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Captura la realidad entrelazada</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Riesgo</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Notas forzadas a una caja</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Overfitting si el LLM asigna pesos a todo (controlable)</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Ejemplo</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Nota sobre diesel: solo Hidrocarburos</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Nota sobre diesel: Gestión Ejecutiva (0.9), Hidrocarburos (0.9), Economía (0.7)</w:t>
            </w:r>
          </w:p>
        </w:tc>
      </w:tr>
    </w:tbl>
    <w:p>
      <w:pPr>
        <w:spacing w:before="120"/>
      </w:pPr>
    </w:p>
    <w:p>
      <w:pPr>
        <w:pStyle w:val="Heading2"/>
        <w:spacing w:after="140" w:before="280"/>
      </w:pPr>
      <w:bookmarkStart w:id="100015" w:name="_Toc100015"/>
      <w:r>
        <w:rPr>
          <w:rFonts w:ascii="Times New Roman" w:eastAsia="SimHei"/>
          <w:b/>
          <w:bCs/>
          <w:color w:val="000000"/>
          <w:sz w:val="28"/>
          <w:szCs w:val="28"/>
        </w:rPr>
        <w:t xml:space="preserve">3.2 Distinción Fundamental: Ejes vs. Lentes</w:t>
      </w:r>
      <w:bookmarkEnd w:id="100015"/>
    </w:p>
    <w:p>
      <w:pPr>
        <w:spacing w:after="80" w:line="312"/>
        <w:ind w:firstLine="480"/>
        <w:jc w:val="both"/>
      </w:pPr>
      <w:r>
        <w:rPr>
          <w:rFonts w:ascii="Times New Roman" w:eastAsia="SimSun"/>
          <w:color w:val="000000"/>
          <w:sz w:val="24"/>
          <w:szCs w:val="24"/>
        </w:rPr>
        <w:t xml:space="preserve">El nuevo modelo introduce una distinción conceptual crítica que resuelve el problema de mezclar el QUÉ con el CÓMO. Los ejes representan tensiones estructurales de la realidad boliviana (el QUÉ de la noticia). Los lentes son enfoques transversales que se aplican sobre los ejes (el CÓMO o el ÁNGULO desde el cual se mira). Esta separación permite que una nota sobre «transportistas bloquean carreteras por gasolina basura» se clasifique en el eje Hidrocarburos y Energía (por el tema estructural) mientras activa el lente Movilización Social (por la forma de acción) y el lente Hidrocarburos (por el sector específico).</w:t>
      </w:r>
    </w:p>
    <w:tbl>
      <w:tblPr>
        <w:tblW w:type="pct" w:w="100%"/>
        <w:tblBorders>
          <w:top w:val="single" w:color="529286" w:sz="4"/>
          <w:left w:val="none" w:color="FFFFFF" w:sz="0"/>
          <w:bottom w:val="single" w:color="529286" w:sz="4"/>
          <w:right w:val="none" w:color="FFFFFF" w:sz="0"/>
          <w:insideH w:val="single" w:color="BECFCC" w:sz="1"/>
          <w:insideV w:val="none" w:color="FFFFFF" w:sz="0"/>
        </w:tblBorders>
        <w:tblLayout w:type="fixed"/>
      </w:tblPr>
      <w:tblGrid>
        <w:gridCol w:w="100"/>
        <w:gridCol w:w="100"/>
        <w:gridCol w:w="100"/>
      </w:tblGrid>
      <w:tr>
        <w:trPr>
          <w:cantSplit/>
          <w:tblHeader/>
        </w:trPr>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Dimensión</w:t>
            </w:r>
          </w:p>
        </w:tc>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Ejes (QUÉ)</w:t>
            </w:r>
          </w:p>
        </w:tc>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Lentes (CÓMO/ÁNGULO)</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Naturaleza</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Tensiones estructurales de la realidad boliviana</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Enfoques transversales aplicables sobre cualquier eje</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Ejemplo</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Hidrocarburos y Energía</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Movilización Social</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Asignación</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Una nota tiene 1 eje principal + N ejes secundarios</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Una nota activa 0-N lentes simultáneamente</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Función en productos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Define el tema central del contenido</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Filtra, cruza o agrupa contenido transversalmente</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Cardinalidad</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N:1 principal, N:M secundarios</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N:M total (incluso 0)</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Peso</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0.0 a 1.0 (solo &gt;= 0.5 se registra)</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Booleano (activado o no)</w:t>
            </w:r>
          </w:p>
        </w:tc>
      </w:tr>
    </w:tbl>
    <w:p>
      <w:pPr>
        <w:spacing w:before="120"/>
      </w:pPr>
    </w:p>
    <w:p>
      <w:pPr>
        <w:pStyle w:val="Heading2"/>
        <w:spacing w:after="140" w:before="280"/>
      </w:pPr>
      <w:bookmarkStart w:id="100016" w:name="_Toc100016"/>
      <w:r>
        <w:rPr>
          <w:rFonts w:ascii="Times New Roman" w:eastAsia="SimHei"/>
          <w:b/>
          <w:bCs/>
          <w:color w:val="000000"/>
          <w:sz w:val="28"/>
          <w:szCs w:val="28"/>
        </w:rPr>
        <w:t xml:space="preserve">3.3 Control de Ruido en el Multi-Eje</w:t>
      </w:r>
      <w:bookmarkEnd w:id="100016"/>
    </w:p>
    <w:p>
      <w:pPr>
        <w:spacing w:after="80" w:line="312"/>
        <w:ind w:firstLine="480"/>
        <w:jc w:val="both"/>
      </w:pPr>
      <w:r>
        <w:rPr>
          <w:rFonts w:ascii="Times New Roman" w:eastAsia="SimSun"/>
          <w:color w:val="000000"/>
          <w:sz w:val="24"/>
          <w:szCs w:val="24"/>
        </w:rPr>
        <w:t xml:space="preserve">El principal riesgo del modelo multi-eje es que el clasificador LLM se entusiasme y asigne peso a diez ejes por nota, generando ruido que diluya la utilidad del sistema. Para mitigar este riesgo se establecen tres controles técnicos específicos:</w:t>
      </w:r>
    </w:p>
    <w:p>
      <w:pPr>
        <w:spacing w:after="80" w:line="312"/>
        <w:ind w:firstLine="480"/>
        <w:jc w:val="both"/>
      </w:pPr>
      <w:r>
        <w:rPr>
          <w:rFonts w:ascii="Times New Roman" w:eastAsia="SimSun"/>
          <w:b/>
          <w:bCs/>
          <w:color w:val="000000"/>
          <w:sz w:val="24"/>
          <w:szCs w:val="24"/>
        </w:rPr>
        <w:t xml:space="preserve">Umbral mínimo de registro: Solo se almacena la relación nota-eje si el peso asignado es mayor o igual a 0.5. Un peso de 0.3 indica una relación tangencial que no merece ser indexada. Este umbral reduce significativamente el ruido sin perder conexiones legítimas entre temas.</w:t>
      </w:r>
    </w:p>
    <w:p>
      <w:pPr>
        <w:spacing w:after="80" w:line="312"/>
        <w:ind w:firstLine="480"/>
        <w:jc w:val="both"/>
      </w:pPr>
      <w:r>
        <w:rPr>
          <w:rFonts w:ascii="Times New Roman" w:eastAsia="SimSun"/>
          <w:b/>
          <w:bCs/>
          <w:color w:val="000000"/>
          <w:sz w:val="24"/>
          <w:szCs w:val="24"/>
        </w:rPr>
        <w:t xml:space="preserve">Instrucción restrictiva en el prompt: El prompt del clasificador incluirá una instrucción explícita que diga: «Solo asigna ejes que sean genuinamente relevantes para el contenido de la nota, no todos los tangencialmente relacionados. Si una nota habla de una carretera pero no menciona salud, no asignes el eje de salud aunque las carreteras eventualmente conecten con hospitales.»</w:t>
      </w:r>
    </w:p>
    <w:p>
      <w:pPr>
        <w:spacing w:after="80" w:line="312"/>
        <w:ind w:firstLine="480"/>
        <w:jc w:val="both"/>
      </w:pPr>
      <w:r>
        <w:rPr>
          <w:rFonts w:ascii="Times New Roman" w:eastAsia="SimSun"/>
          <w:b/>
          <w:bCs/>
          <w:color w:val="000000"/>
          <w:sz w:val="24"/>
          <w:szCs w:val="24"/>
        </w:rPr>
        <w:t xml:space="preserve">Límite máximo de ejes secundarios: Cada nota podrá tener un máximo de 3 ejes secundarios además del principal. Si el LLM asigna más de 4, se conservan solo los 4 con mayor peso. Esto impide la proliferación de conexiones débiles.</w:t>
      </w:r>
    </w:p>
    <w:p>
      <w:pPr>
        <w:pStyle w:val="Heading1"/>
        <w:spacing w:after="180" w:before="360"/>
      </w:pPr>
      <w:bookmarkStart w:id="100017" w:name="_Toc100017"/>
      <w:r>
        <w:rPr>
          <w:rFonts w:ascii="Times New Roman" w:eastAsia="SimHei"/>
          <w:b/>
          <w:bCs/>
          <w:color w:val="000000"/>
          <w:sz w:val="32"/>
          <w:szCs w:val="32"/>
        </w:rPr>
        <w:t xml:space="preserve">4. Tabla Maestra de Ejes Temáticos</w:t>
      </w:r>
      <w:bookmarkEnd w:id="100017"/>
    </w:p>
    <w:p>
      <w:pPr>
        <w:pStyle w:val="Heading2"/>
        <w:spacing w:after="140" w:before="280"/>
      </w:pPr>
      <w:bookmarkStart w:id="100018" w:name="_Toc100018"/>
      <w:r>
        <w:rPr>
          <w:rFonts w:ascii="Times New Roman" w:eastAsia="SimHei"/>
          <w:b/>
          <w:bCs/>
          <w:color w:val="000000"/>
          <w:sz w:val="28"/>
          <w:szCs w:val="28"/>
        </w:rPr>
        <w:t xml:space="preserve">4.1 Estructura Jerárquica</w:t>
      </w:r>
      <w:bookmarkEnd w:id="100018"/>
    </w:p>
    <w:p>
      <w:pPr>
        <w:spacing w:after="80" w:line="312"/>
        <w:ind w:firstLine="480"/>
        <w:jc w:val="both"/>
      </w:pPr>
      <w:r>
        <w:rPr>
          <w:rFonts w:ascii="Times New Roman" w:eastAsia="SimSun"/>
          <w:color w:val="000000"/>
          <w:sz w:val="24"/>
          <w:szCs w:val="24"/>
        </w:rPr>
        <w:t xml:space="preserve">La tabla maestra de ejes temáticos se organiza en tres niveles jerárquicos máximos. El primer nivel es el dominio general, el segundo nivel es el subtema específico dentro del dominio, y el tercer nivel es el detalle operativo cuando es necesario. Cada nodo tiene un tipo (temático, geográfico o institucional), un estado (activo o inactivo), y un array de productos que lo utilizan. La jerarquía permite eliminar duplicados semánticos y crear una estructura epistemológicamente coherente.</w:t>
      </w:r>
    </w:p>
    <w:p>
      <w:pPr>
        <w:pStyle w:val="Heading2"/>
        <w:spacing w:after="140" w:before="280"/>
      </w:pPr>
      <w:bookmarkStart w:id="100019" w:name="_Toc100019"/>
      <w:r>
        <w:rPr>
          <w:rFonts w:ascii="Times New Roman" w:eastAsia="SimHei"/>
          <w:b/>
          <w:bCs/>
          <w:color w:val="000000"/>
          <w:sz w:val="28"/>
          <w:szCs w:val="28"/>
        </w:rPr>
        <w:t xml:space="preserve">4.2 Dominios Propuestos</w:t>
      </w:r>
      <w:bookmarkEnd w:id="100019"/>
    </w:p>
    <w:p>
      <w:pPr>
        <w:spacing w:after="80" w:line="312"/>
        <w:ind w:firstLine="480"/>
        <w:jc w:val="both"/>
      </w:pPr>
      <w:r>
        <w:rPr>
          <w:rFonts w:ascii="Times New Roman" w:eastAsia="SimSun"/>
          <w:color w:val="000000"/>
          <w:sz w:val="24"/>
          <w:szCs w:val="24"/>
        </w:rPr>
        <w:t xml:space="preserve">Los siguientes dominios constituyen la propuesta completa de tabla maestra de ejes. Cada dominio incluye sus subtemas específicos, basados en las correcciones epistemológicas discutidas en las secciones anteriores. Esta tabla está abierta a ampliaciones futuras conforme se identifiquen nuevos dominios relevantes para la cobertura periodística de Bolivia:</w:t>
      </w:r>
    </w:p>
    <w:p>
      <w:pPr>
        <w:pStyle w:val="Heading3"/>
        <w:spacing w:after="100" w:before="200"/>
      </w:pPr>
      <w:bookmarkStart w:id="100020" w:name="_Toc100020"/>
      <w:r>
        <w:rPr>
          <w:rFonts w:ascii="Times New Roman" w:eastAsia="SimHei"/>
          <w:b/>
          <w:bCs/>
          <w:color w:val="5B6B7D"/>
          <w:sz w:val="26"/>
          <w:szCs w:val="26"/>
        </w:rPr>
        <w:t xml:space="preserve">Dominio 1: Hidrocarburos y Energía</w:t>
      </w:r>
      <w:bookmarkEnd w:id="100020"/>
    </w:p>
    <w:tbl>
      <w:tblPr>
        <w:tblW w:type="pct" w:w="100%"/>
        <w:tblBorders>
          <w:top w:val="single" w:color="529286" w:sz="4"/>
          <w:left w:val="none" w:color="FFFFFF" w:sz="0"/>
          <w:bottom w:val="single" w:color="529286" w:sz="4"/>
          <w:right w:val="none" w:color="FFFFFF" w:sz="0"/>
          <w:insideH w:val="single" w:color="BECFCC" w:sz="1"/>
          <w:insideV w:val="none" w:color="FFFFFF" w:sz="0"/>
        </w:tblBorders>
        <w:tblLayout w:type="fixed"/>
      </w:tblPr>
      <w:tblGrid>
        <w:gridCol w:w="100"/>
        <w:gridCol w:w="100"/>
        <w:gridCol w:w="100"/>
      </w:tblGrid>
      <w:tr>
        <w:trPr>
          <w:cantSplit/>
          <w:tblHeader/>
        </w:trPr>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Subtema</w:t>
            </w:r>
          </w:p>
        </w:tc>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Descripción</w:t>
            </w:r>
          </w:p>
        </w:tc>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Ejemplo de Nota</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Gas domiciliario (GNL/GLP)</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Subsidio cruzado, distribución, tarifas</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Aumento de tarifa de gas en zona sur de La Paz</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Gasolina adulterada</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Denuncias de mezcla, controles de calidad</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Decomisan 5,000 litros de gasolina adulterada en El Alto</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Diesel y combustibles líquidos</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Importación, precios internos, distribución</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Gobierno anuncia importación de 200 millones de litros de diesel</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Abastecimiento y desabastecimiento</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Colas, racionamiento, logística de distribución</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Seis días sin diesel en Santa Cruz de la Sierra</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Importación y comercio exterior</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Precios internacionales, contratos de compra</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Precio de importación de gasolina sube 15% en mercado internacional</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Demanda y consumo</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Estacionalidad, parque automotor, eficiencia</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Registro de 50,000 vehículos nuevos en el primer trimestre</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Exportación de gas natural</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Contratos con Brasil y Argentina, volúmenes</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YPFB renegocia contrato de exportación con Petrobras</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Proyectos energéticos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Geotermia, solar, eólica, hidroeléctrica</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Inauguran planta solar de 50 MW en Potosí</w:t>
            </w:r>
          </w:p>
        </w:tc>
      </w:tr>
    </w:tbl>
    <w:p>
      <w:pPr>
        <w:spacing w:before="100"/>
      </w:pPr>
    </w:p>
    <w:p>
      <w:pPr>
        <w:pStyle w:val="Heading3"/>
        <w:spacing w:after="100" w:before="200"/>
      </w:pPr>
      <w:bookmarkStart w:id="100021" w:name="_Toc100021"/>
      <w:r>
        <w:rPr>
          <w:rFonts w:ascii="Times New Roman" w:eastAsia="SimHei"/>
          <w:b/>
          <w:bCs/>
          <w:color w:val="5B6B7D"/>
          <w:sz w:val="26"/>
          <w:szCs w:val="26"/>
        </w:rPr>
        <w:t xml:space="preserve">Dominio 2: Economía, Modelo de Desarrollo y Empleo</w:t>
      </w:r>
      <w:bookmarkEnd w:id="100021"/>
    </w:p>
    <w:tbl>
      <w:tblPr>
        <w:tblW w:type="pct" w:w="100%"/>
        <w:tblBorders>
          <w:top w:val="single" w:color="529286" w:sz="4"/>
          <w:left w:val="none" w:color="FFFFFF" w:sz="0"/>
          <w:bottom w:val="single" w:color="529286" w:sz="4"/>
          <w:right w:val="none" w:color="FFFFFF" w:sz="0"/>
          <w:insideH w:val="single" w:color="BECFCC" w:sz="1"/>
          <w:insideV w:val="none" w:color="FFFFFF" w:sz="0"/>
        </w:tblBorders>
        <w:tblLayout w:type="fixed"/>
      </w:tblPr>
      <w:tblGrid>
        <w:gridCol w:w="100"/>
        <w:gridCol w:w="100"/>
        <w:gridCol w:w="100"/>
      </w:tblGrid>
      <w:tr>
        <w:trPr>
          <w:cantSplit/>
          <w:tblHeader/>
        </w:trPr>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Subtema</w:t>
            </w:r>
          </w:p>
        </w:tc>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Descripción</w:t>
            </w:r>
          </w:p>
        </w:tc>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Ejemplo de Nota</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Política macroeconómica</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Fiscal, monetaria, cambiaria</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Banco Central ajusta política monetaria</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Ingresos fiscales y recaudación</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IDH, impuestos, tributación</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Recaudación tributaria cae 12% en el semestre</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Comercio exterior</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Exportaciones, importaciones, balanza comercial</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Exportaciones de soya bajan 20% por sequía</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Inversión y desarrollo productivo</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Inversión pública y privada, industrialización</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Gobierno destina Bs 2.000 millones a industrialización de litio</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Empleo y mercado laboral</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Desempleo, informalidad, salarios</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Tasa de desempleo sube al 8,5% en el trimestre</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Modelo económico</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Extractivismo, economía plural, transición</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Debate sobre modelo de desarrollo postgasista</w:t>
            </w:r>
          </w:p>
        </w:tc>
      </w:tr>
    </w:tbl>
    <w:p>
      <w:pPr>
        <w:spacing w:before="100"/>
      </w:pPr>
    </w:p>
    <w:p>
      <w:pPr>
        <w:pStyle w:val="Heading3"/>
        <w:spacing w:after="100" w:before="200"/>
      </w:pPr>
      <w:bookmarkStart w:id="100022" w:name="_Toc100022"/>
      <w:r>
        <w:rPr>
          <w:rFonts w:ascii="Times New Roman" w:eastAsia="SimHei"/>
          <w:b/>
          <w:bCs/>
          <w:color w:val="5B6B7D"/>
          <w:sz w:val="26"/>
          <w:szCs w:val="26"/>
        </w:rPr>
        <w:t xml:space="preserve">Dominio 3: Salud y Determinantes Sociales</w:t>
      </w:r>
      <w:bookmarkEnd w:id="100022"/>
    </w:p>
    <w:tbl>
      <w:tblPr>
        <w:tblW w:type="pct" w:w="100%"/>
        <w:tblBorders>
          <w:top w:val="single" w:color="529286" w:sz="4"/>
          <w:left w:val="none" w:color="FFFFFF" w:sz="0"/>
          <w:bottom w:val="single" w:color="529286" w:sz="4"/>
          <w:right w:val="none" w:color="FFFFFF" w:sz="0"/>
          <w:insideH w:val="single" w:color="BECFCC" w:sz="1"/>
          <w:insideV w:val="none" w:color="FFFFFF" w:sz="0"/>
        </w:tblBorders>
        <w:tblLayout w:type="fixed"/>
      </w:tblPr>
      <w:tblGrid>
        <w:gridCol w:w="100"/>
        <w:gridCol w:w="100"/>
        <w:gridCol w:w="100"/>
      </w:tblGrid>
      <w:tr>
        <w:trPr>
          <w:cantSplit/>
          <w:tblHeader/>
        </w:trPr>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Subtema</w:t>
            </w:r>
          </w:p>
        </w:tc>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Descripción</w:t>
            </w:r>
          </w:p>
        </w:tc>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Ejemplo de Nota</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Servicios de salud</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Hospitales, centros de salud, personal médico</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Hospital de Clínicas colapsa por falta de personal</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Agua y saneamiento</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Agua potable, alcantarillado, tratamiento</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200,000 habitantes de El Alto sin agua potable hace dos semanas</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Alimentación y nutrición</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Desnutrición, seguridad alimentaria</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Programa de desayuno escolar alcanza 2 millones de estudiantes</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Condiciones de vida</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Vivienda, ambiente, condiciones habitacionales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Inundaciones afectan 3,000 familias en Trinidad</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Acceso y cobertura</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Seguro de salud, cobertura universal</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Mi Salud registra 500,000 afiliaciones nuevas</w:t>
            </w:r>
          </w:p>
        </w:tc>
      </w:tr>
    </w:tbl>
    <w:p>
      <w:pPr>
        <w:spacing w:before="100"/>
      </w:pPr>
    </w:p>
    <w:p>
      <w:pPr>
        <w:pStyle w:val="Heading3"/>
        <w:spacing w:after="100" w:before="200"/>
      </w:pPr>
      <w:bookmarkStart w:id="100023" w:name="_Toc100023"/>
      <w:r>
        <w:rPr>
          <w:rFonts w:ascii="Times New Roman" w:eastAsia="SimHei"/>
          <w:b/>
          <w:bCs/>
          <w:color w:val="5B6B7D"/>
          <w:sz w:val="26"/>
          <w:szCs w:val="26"/>
        </w:rPr>
        <w:t xml:space="preserve">Dominio 4: Minería y Metales Estratégicos</w:t>
      </w:r>
      <w:bookmarkEnd w:id="100023"/>
    </w:p>
    <w:tbl>
      <w:tblPr>
        <w:tblW w:type="pct" w:w="100%"/>
        <w:tblBorders>
          <w:top w:val="single" w:color="529286" w:sz="4"/>
          <w:left w:val="none" w:color="FFFFFF" w:sz="0"/>
          <w:bottom w:val="single" w:color="529286" w:sz="4"/>
          <w:right w:val="none" w:color="FFFFFF" w:sz="0"/>
          <w:insideH w:val="single" w:color="BECFCC" w:sz="1"/>
          <w:insideV w:val="none" w:color="FFFFFF" w:sz="0"/>
        </w:tblBorders>
        <w:tblLayout w:type="fixed"/>
      </w:tblPr>
      <w:tblGrid>
        <w:gridCol w:w="100"/>
        <w:gridCol w:w="100"/>
        <w:gridCol w:w="100"/>
      </w:tblGrid>
      <w:tr>
        <w:trPr>
          <w:cantSplit/>
          <w:tblHeader/>
        </w:trPr>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Subtema</w:t>
            </w:r>
          </w:p>
        </w:tc>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Descripción</w:t>
            </w:r>
          </w:p>
        </w:tc>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Ejemplo de Nota</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Minería estatal (COMIBOL)</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Producción, gestione de minas estatales</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COMIBOL anuncia inversión en Huanuni</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Minería cooperativista</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Cooperativas, concesiones, condiciones laborales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Cooperativistas reclaman nuevas áreas de explotación en Potosí</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Litio</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Proyectos de industrialización, contratos</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Liti¨ Bolivia inicia operación piloto en planta de Pastos Grandes</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Estaño, zinc, plata, oro</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Producción, exportación, precios internacionales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Precio del estaño sube 8% en bolsa de Londres</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Condiciones laborales mineras</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Seguridad, salud ocupacional, medio ambiente</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Derrumbe en mina de Potosí deja 3 heridos</w:t>
            </w:r>
          </w:p>
        </w:tc>
      </w:tr>
    </w:tbl>
    <w:p>
      <w:pPr>
        <w:spacing w:before="100"/>
      </w:pPr>
    </w:p>
    <w:p>
      <w:pPr>
        <w:pStyle w:val="Heading3"/>
        <w:spacing w:after="100" w:before="200"/>
      </w:pPr>
      <w:bookmarkStart w:id="100024" w:name="_Toc100024"/>
      <w:r>
        <w:rPr>
          <w:rFonts w:ascii="Times New Roman" w:eastAsia="SimHei"/>
          <w:b/>
          <w:bCs/>
          <w:color w:val="5B6B7D"/>
          <w:sz w:val="26"/>
          <w:szCs w:val="26"/>
        </w:rPr>
        <w:t xml:space="preserve">Dominio 5: Medio Ambiente y Territorio</w:t>
      </w:r>
      <w:bookmarkEnd w:id="100024"/>
    </w:p>
    <w:tbl>
      <w:tblPr>
        <w:tblW w:type="pct" w:w="100%"/>
        <w:tblBorders>
          <w:top w:val="single" w:color="529286" w:sz="4"/>
          <w:left w:val="none" w:color="FFFFFF" w:sz="0"/>
          <w:bottom w:val="single" w:color="529286" w:sz="4"/>
          <w:right w:val="none" w:color="FFFFFF" w:sz="0"/>
          <w:insideH w:val="single" w:color="BECFCC" w:sz="1"/>
          <w:insideV w:val="none" w:color="FFFFFF" w:sz="0"/>
        </w:tblBorders>
        <w:tblLayout w:type="fixed"/>
      </w:tblPr>
      <w:tblGrid>
        <w:gridCol w:w="100"/>
        <w:gridCol w:w="100"/>
        <w:gridCol w:w="100"/>
      </w:tblGrid>
      <w:tr>
        <w:trPr>
          <w:cantSplit/>
          <w:tblHeader/>
        </w:trPr>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Subtema</w:t>
            </w:r>
          </w:p>
        </w:tc>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Descripción</w:t>
            </w:r>
          </w:p>
        </w:tc>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Ejemplo de Nota</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Deforestación e incendios</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Tasa de deforestación, incendios forestales</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Incendios forestales devoran 100,000 hectáreas en Santa Cruz</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Biodiversidad y áreas protegidas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Parques nacionales, especies amenazadas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Macheteo en Parque Nacional Madidi genera controversia</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Contaminación</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Aire, agua, suelo, residuos sólidos</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Río Pilcomayo registra niveles tóxicos de plomo</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Cambio climático</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Eventos climáticos extremos, sequía</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Sequía en el altiplano afecta cosechas de quinoa</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Gestión territorial</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Ordenamiento territorial, tenencia de tierra</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INTI avanza en saneamiento de tierras en Beni</w:t>
            </w:r>
          </w:p>
        </w:tc>
      </w:tr>
    </w:tbl>
    <w:p>
      <w:pPr>
        <w:spacing w:before="100"/>
      </w:pPr>
    </w:p>
    <w:p>
      <w:pPr>
        <w:pStyle w:val="Heading3"/>
        <w:spacing w:after="100" w:before="200"/>
      </w:pPr>
      <w:bookmarkStart w:id="100025" w:name="_Toc100025"/>
      <w:r>
        <w:rPr>
          <w:rFonts w:ascii="Times New Roman" w:eastAsia="SimHei"/>
          <w:b/>
          <w:bCs/>
          <w:color w:val="5B6B7D"/>
          <w:sz w:val="26"/>
          <w:szCs w:val="26"/>
        </w:rPr>
        <w:t xml:space="preserve">Dominio 6: Participación y Acción Colectiva</w:t>
      </w:r>
      <w:bookmarkEnd w:id="100025"/>
    </w:p>
    <w:p>
      <w:pPr>
        <w:spacing w:after="80" w:line="312"/>
        <w:ind w:firstLine="480"/>
        <w:jc w:val="both"/>
      </w:pPr>
      <w:r>
        <w:rPr>
          <w:rFonts w:ascii="Times New Roman" w:eastAsia="SimSun"/>
          <w:color w:val="000000"/>
          <w:sz w:val="24"/>
          <w:szCs w:val="24"/>
        </w:rPr>
        <w:t xml:space="preserve">Este dominio requiere especial atención epistemológica. Separa radicalmente los sujetos (actores colectivos) de las situaciones (hechos concretos) y de las acciones (formas de movilización), evitando la criminalización implícita del modelo anterior:</w:t>
      </w:r>
    </w:p>
    <w:tbl>
      <w:tblPr>
        <w:tblW w:type="pct" w:w="100%"/>
        <w:tblBorders>
          <w:top w:val="single" w:color="529286" w:sz="4"/>
          <w:left w:val="none" w:color="FFFFFF" w:sz="0"/>
          <w:bottom w:val="single" w:color="529286" w:sz="4"/>
          <w:right w:val="none" w:color="FFFFFF" w:sz="0"/>
          <w:insideH w:val="single" w:color="BECFCC" w:sz="1"/>
          <w:insideV w:val="none" w:color="FFFFFF" w:sz="0"/>
        </w:tblBorders>
        <w:tblLayout w:type="fixed"/>
      </w:tblPr>
      <w:tblGrid>
        <w:gridCol w:w="100"/>
        <w:gridCol w:w="100"/>
        <w:gridCol w:w="100"/>
      </w:tblGrid>
      <w:tr>
        <w:trPr>
          <w:cantSplit/>
          <w:tblHeader/>
        </w:trPr>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Subtema</w:t>
            </w:r>
          </w:p>
        </w:tc>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Descripción</w:t>
            </w:r>
          </w:p>
        </w:tc>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Ejemplo de Nota</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Movilización y medidas de presión</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Bloqueos, marchas, huelgas, cabildos, paros</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Transportistas bloquean carretera principal por tarifas</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Derechos y demandas sociales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Peticiones, reivindicaciones de comunidades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Comunidades de Charazani exigen construcción de carretera</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Organizaciones sociales (sujetos)</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Sindicatos, comunidades, federaciones</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COB convoca marcha por salario mínimo</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Organizaciones empresariales (sujetos)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CAO, CAInco, cámaras sectoriales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CAO solicita reunión con Ministro de Economía</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Comités cívicos y juntas vecinales (sujetos)</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Comités departamentales, juntas de barrio</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Comité Cívico de Santa Cruz organiza cabildo</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Cooperativistas mineros (sujetos)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FENCOMIN, federaciones cooperativistas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Cooperativistas mineros marchan a La Paz</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Diálogo y negociación</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Mesas de diálogo, acuerdos, resoluciones</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Mesa de diálogo gobierno-COB alcanza acuerdo salarial</w:t>
            </w:r>
          </w:p>
        </w:tc>
      </w:tr>
    </w:tbl>
    <w:p>
      <w:pPr>
        <w:spacing w:before="100"/>
      </w:pPr>
    </w:p>
    <w:p>
      <w:pPr>
        <w:pStyle w:val="Heading3"/>
        <w:spacing w:after="100" w:before="200"/>
      </w:pPr>
      <w:bookmarkStart w:id="100026" w:name="_Toc100026"/>
      <w:r>
        <w:rPr>
          <w:rFonts w:ascii="Times New Roman" w:eastAsia="SimHei"/>
          <w:b/>
          <w:bCs/>
          <w:color w:val="5B6B7D"/>
          <w:sz w:val="26"/>
          <w:szCs w:val="26"/>
        </w:rPr>
        <w:t xml:space="preserve">Dominio 7: Gestión Pública e Institucional</w:t>
      </w:r>
      <w:bookmarkEnd w:id="100026"/>
    </w:p>
    <w:tbl>
      <w:tblPr>
        <w:tblW w:type="pct" w:w="100%"/>
        <w:tblBorders>
          <w:top w:val="single" w:color="529286" w:sz="4"/>
          <w:left w:val="none" w:color="FFFFFF" w:sz="0"/>
          <w:bottom w:val="single" w:color="529286" w:sz="4"/>
          <w:right w:val="none" w:color="FFFFFF" w:sz="0"/>
          <w:insideH w:val="single" w:color="BECFCC" w:sz="1"/>
          <w:insideV w:val="none" w:color="FFFFFF" w:sz="0"/>
        </w:tblBorders>
        <w:tblLayout w:type="fixed"/>
      </w:tblPr>
      <w:tblGrid>
        <w:gridCol w:w="100"/>
        <w:gridCol w:w="100"/>
        <w:gridCol w:w="100"/>
      </w:tblGrid>
      <w:tr>
        <w:trPr>
          <w:cantSplit/>
          <w:tblHeader/>
        </w:trPr>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Subtema</w:t>
            </w:r>
          </w:p>
        </w:tc>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Descripción</w:t>
            </w:r>
          </w:p>
        </w:tc>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Ejemplo de Nota</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Gestión del Ejecutivo</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Acciones presidenciales, ministerios, decretos</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Presidente firma decreto de reorganización ministerial</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Gestión legislativa</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Proyectos de ley, sesiones, comisiones, votaciones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Cámara de Diputados aprueba Ley de Presupuesto</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Gestión departamental</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Gobernadores, Asambleas Departamentales</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Gobernador de Santa Cruz presenta plan de desarrollo</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Gestión municipal</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Alcaldías, Concejos Municipales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Alcalde de La Paz anuncia plan de movilidad urbana</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Instituciones de control</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Contraloría, Fiscalía, Tribunal Supremo</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Fiscalía presenta acusación por caso de corrupción</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Servicios públicos e infraestructura</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Carreteras, aeropuertos, agua, electricidad</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Inauguran tramo carretero La Paz-Oruro</w:t>
            </w:r>
          </w:p>
        </w:tc>
      </w:tr>
    </w:tbl>
    <w:p>
      <w:pPr>
        <w:spacing w:before="100"/>
      </w:pPr>
    </w:p>
    <w:p>
      <w:pPr>
        <w:pStyle w:val="Heading3"/>
        <w:spacing w:after="100" w:before="200"/>
      </w:pPr>
      <w:bookmarkStart w:id="100027" w:name="_Toc100027"/>
      <w:r>
        <w:rPr>
          <w:rFonts w:ascii="Times New Roman" w:eastAsia="SimHei"/>
          <w:b/>
          <w:bCs/>
          <w:color w:val="5B6B7D"/>
          <w:sz w:val="26"/>
          <w:szCs w:val="26"/>
        </w:rPr>
        <w:t xml:space="preserve">Dominio 8: Organización Política y Procesos Electorales</w:t>
      </w:r>
      <w:bookmarkEnd w:id="100027"/>
    </w:p>
    <w:p>
      <w:pPr>
        <w:spacing w:after="80" w:line="312"/>
        <w:ind w:firstLine="480"/>
        <w:jc w:val="both"/>
      </w:pPr>
      <w:r>
        <w:rPr>
          <w:rFonts w:ascii="Times New Roman" w:eastAsia="SimSun"/>
          <w:color w:val="000000"/>
          <w:sz w:val="24"/>
          <w:szCs w:val="24"/>
        </w:rPr>
        <w:t xml:space="preserve">Este dominio reconoce la diversidad constitucional de formas de organización política, sin reducirla al parlamento ni a los partidos con bancada:</w:t>
      </w:r>
    </w:p>
    <w:tbl>
      <w:tblPr>
        <w:tblW w:type="pct" w:w="100%"/>
        <w:tblBorders>
          <w:top w:val="single" w:color="529286" w:sz="4"/>
          <w:left w:val="none" w:color="FFFFFF" w:sz="0"/>
          <w:bottom w:val="single" w:color="529286" w:sz="4"/>
          <w:right w:val="none" w:color="FFFFFF" w:sz="0"/>
          <w:insideH w:val="single" w:color="BECFCC" w:sz="1"/>
          <w:insideV w:val="none" w:color="FFFFFF" w:sz="0"/>
        </w:tblBorders>
        <w:tblLayout w:type="fixed"/>
      </w:tblPr>
      <w:tblGrid>
        <w:gridCol w:w="100"/>
        <w:gridCol w:w="100"/>
        <w:gridCol w:w="100"/>
      </w:tblGrid>
      <w:tr>
        <w:trPr>
          <w:cantSplit/>
          <w:tblHeader/>
        </w:trPr>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Subtema</w:t>
            </w:r>
          </w:p>
        </w:tc>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Descripción</w:t>
            </w:r>
          </w:p>
        </w:tc>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Ejemplo de Nota</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Partidos y agrupaciones ciudadanas</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Partidos políticos, agrupaciones, alianzas</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Nueva agrupación ciudadana se inscribe ante el TSE</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Procesos electorales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Elecciones, primarias, campañas, resultados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TSE convoca elecciones municipales para diciembre</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Democracia comunitaria</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Formas preexistentes de decisión colectiva</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Comunidad de Santiago de Okola elige autoridades por usos y costumbres</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Participación y control social</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Veedurías, auditorías sociales, referendos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Comité de vigilancia fiscaliza ejecución presupuestaria</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Sistema de partidos</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Leyes partidarias, financiamiento, organización</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Tribunal Supremo Electoral reglamenta financiamiento de campañas</w:t>
            </w:r>
          </w:p>
        </w:tc>
      </w:tr>
    </w:tbl>
    <w:p>
      <w:pPr>
        <w:spacing w:before="100"/>
      </w:pPr>
    </w:p>
    <w:p>
      <w:pPr>
        <w:pStyle w:val="Heading3"/>
        <w:spacing w:after="100" w:before="200"/>
      </w:pPr>
      <w:bookmarkStart w:id="100028" w:name="_Toc100028"/>
      <w:r>
        <w:rPr>
          <w:rFonts w:ascii="Times New Roman" w:eastAsia="SimHei"/>
          <w:b/>
          <w:bCs/>
          <w:color w:val="5B6B7D"/>
          <w:sz w:val="26"/>
          <w:szCs w:val="26"/>
        </w:rPr>
        <w:t xml:space="preserve">Dominio 9: Justicia, Derechos Humanos e Impunidad</w:t>
      </w:r>
      <w:bookmarkEnd w:id="100028"/>
    </w:p>
    <w:tbl>
      <w:tblPr>
        <w:tblW w:type="pct" w:w="100%"/>
        <w:tblBorders>
          <w:top w:val="single" w:color="529286" w:sz="4"/>
          <w:left w:val="none" w:color="FFFFFF" w:sz="0"/>
          <w:bottom w:val="single" w:color="529286" w:sz="4"/>
          <w:right w:val="none" w:color="FFFFFF" w:sz="0"/>
          <w:insideH w:val="single" w:color="BECFCC" w:sz="1"/>
          <w:insideV w:val="none" w:color="FFFFFF" w:sz="0"/>
        </w:tblBorders>
        <w:tblLayout w:type="fixed"/>
      </w:tblPr>
      <w:tblGrid>
        <w:gridCol w:w="100"/>
        <w:gridCol w:w="100"/>
        <w:gridCol w:w="100"/>
      </w:tblGrid>
      <w:tr>
        <w:trPr>
          <w:cantSplit/>
          <w:tblHeader/>
        </w:trPr>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Subtema</w:t>
            </w:r>
          </w:p>
        </w:tc>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Descripción</w:t>
            </w:r>
          </w:p>
        </w:tc>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Ejemplo de Nota</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Acceso a justicia</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Funcionamiento judicial, defensoría pública</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Defensoría del Pueblo reporta 500 casos de violación de derechos</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Derechos humanos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Violaciones, persecución, protección</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CIDH recibe denuncia por persecución a dirigentes sociales</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Corrupción e impunidad</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Casos de corrupción, lavado de dinero</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Ministro destituido por presunta corrupción en contratos</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Seguridad ciudadana</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Delincuencia, violencia, fuerzas de orden</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Gobierno anuncia plan de seguridad ciudadana</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Sistema penitenciario</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Cárceles, hacinamiento, derechos de reclusos</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Informe revela hacinamiento del 300% en Palmasola</w:t>
            </w:r>
          </w:p>
        </w:tc>
      </w:tr>
    </w:tbl>
    <w:p>
      <w:pPr>
        <w:spacing w:before="100"/>
      </w:pPr>
    </w:p>
    <w:p>
      <w:pPr>
        <w:pStyle w:val="Heading3"/>
        <w:spacing w:after="100" w:before="200"/>
      </w:pPr>
      <w:bookmarkStart w:id="100029" w:name="_Toc100029"/>
      <w:r>
        <w:rPr>
          <w:rFonts w:ascii="Times New Roman" w:eastAsia="SimHei"/>
          <w:b/>
          <w:bCs/>
          <w:color w:val="5B6B7D"/>
          <w:sz w:val="26"/>
          <w:szCs w:val="26"/>
        </w:rPr>
        <w:t xml:space="preserve">Dominio 10: Educación, Cultura e Identidad</w:t>
      </w:r>
      <w:bookmarkEnd w:id="100029"/>
    </w:p>
    <w:tbl>
      <w:tblPr>
        <w:tblW w:type="pct" w:w="100%"/>
        <w:tblBorders>
          <w:top w:val="single" w:color="529286" w:sz="4"/>
          <w:left w:val="none" w:color="FFFFFF" w:sz="0"/>
          <w:bottom w:val="single" w:color="529286" w:sz="4"/>
          <w:right w:val="none" w:color="FFFFFF" w:sz="0"/>
          <w:insideH w:val="single" w:color="BECFCC" w:sz="1"/>
          <w:insideV w:val="none" w:color="FFFFFF" w:sz="0"/>
        </w:tblBorders>
        <w:tblLayout w:type="fixed"/>
      </w:tblPr>
      <w:tblGrid>
        <w:gridCol w:w="100"/>
        <w:gridCol w:w="100"/>
        <w:gridCol w:w="100"/>
      </w:tblGrid>
      <w:tr>
        <w:trPr>
          <w:cantSplit/>
          <w:tblHeader/>
        </w:trPr>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Subtema</w:t>
            </w:r>
          </w:p>
        </w:tc>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Descripción</w:t>
            </w:r>
          </w:p>
        </w:tc>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Ejemplo de Nota</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Educación formal</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Escuelas, universidades, reformas educativas</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Universidades públicas rechazan reforma del Consejo Universitario</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Educación técnica y tecnología</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Institutos técnicos, formación profesional</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Gobierno inaugura 20 institutos técnicos en el eje troncal</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Cultura y patrimonio</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Patrimonio cultural, artes, festividades</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Carnaval de Oruro declarado patrimonio intangible</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Idiomas y diversidad lingüística</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Lenguas originarias, política lingüística</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Ministerio de Educación promueve enseñanza en lenguas originarias</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Deporte y recreación</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Infraestructura deportiva, eventos</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Bolivia clasifica al mundial de fútbol sala</w:t>
            </w:r>
          </w:p>
        </w:tc>
      </w:tr>
    </w:tbl>
    <w:p>
      <w:pPr>
        <w:spacing w:before="100"/>
      </w:pPr>
    </w:p>
    <w:p>
      <w:pPr>
        <w:pStyle w:val="Heading3"/>
        <w:spacing w:after="100" w:before="200"/>
      </w:pPr>
      <w:bookmarkStart w:id="100030" w:name="_Toc100030"/>
      <w:r>
        <w:rPr>
          <w:rFonts w:ascii="Times New Roman" w:eastAsia="SimHei"/>
          <w:b/>
          <w:bCs/>
          <w:color w:val="5B6B7D"/>
          <w:sz w:val="26"/>
          <w:szCs w:val="26"/>
        </w:rPr>
        <w:t xml:space="preserve">Dominio 11: Geopolítica, Relaciones Internacionales y Soberanía</w:t>
      </w:r>
      <w:bookmarkEnd w:id="100030"/>
    </w:p>
    <w:tbl>
      <w:tblPr>
        <w:tblW w:type="pct" w:w="100%"/>
        <w:tblBorders>
          <w:top w:val="single" w:color="529286" w:sz="4"/>
          <w:left w:val="none" w:color="FFFFFF" w:sz="0"/>
          <w:bottom w:val="single" w:color="529286" w:sz="4"/>
          <w:right w:val="none" w:color="FFFFFF" w:sz="0"/>
          <w:insideH w:val="single" w:color="BECFCC" w:sz="1"/>
          <w:insideV w:val="none" w:color="FFFFFF" w:sz="0"/>
        </w:tblBorders>
        <w:tblLayout w:type="fixed"/>
      </w:tblPr>
      <w:tblGrid>
        <w:gridCol w:w="100"/>
        <w:gridCol w:w="100"/>
        <w:gridCol w:w="100"/>
      </w:tblGrid>
      <w:tr>
        <w:trPr>
          <w:cantSplit/>
          <w:tblHeader/>
        </w:trPr>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Subtema</w:t>
            </w:r>
          </w:p>
        </w:tc>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Descripción</w:t>
            </w:r>
          </w:p>
        </w:tc>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Ejemplo de Nota</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Relaciones bilaterales</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Acuerdos, conflictos diplomáticos, visitas oficiales</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Canciller se reúne con homólogo de Chile para agenda marítima</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Integración regional</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UNASUR, MERCOSUR, CAN, ALBA</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Bolivia asume presidencia pro tempore de UNASUR</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Soberanía y demanda marítima</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Mediterraneidad, demanda ante la CIJ</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CIJ fija audiencia sobre demanda marítima boliviana</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Política exterior</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Posicionamiento internacional, organismos multilaterales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Bolivia vota en contra de resolución en la ONU</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Migración y fronteras</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Migrantes bolivianos, fronteras, tráfico</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Aumento de migración de bolivianos a Chile y Argentina</w:t>
            </w:r>
          </w:p>
        </w:tc>
      </w:tr>
    </w:tbl>
    <w:p>
      <w:pPr>
        <w:spacing w:before="100"/>
      </w:pPr>
    </w:p>
    <w:p>
      <w:pPr>
        <w:pStyle w:val="Heading3"/>
        <w:spacing w:after="100" w:before="200"/>
      </w:pPr>
      <w:bookmarkStart w:id="100031" w:name="_Toc100031"/>
      <w:r>
        <w:rPr>
          <w:rFonts w:ascii="Times New Roman" w:eastAsia="SimHei"/>
          <w:b/>
          <w:bCs/>
          <w:color w:val="5B6B7D"/>
          <w:sz w:val="26"/>
          <w:szCs w:val="26"/>
        </w:rPr>
        <w:t xml:space="preserve">Dominio 12: Territorio, Población y Derechos Colectivos</w:t>
      </w:r>
      <w:bookmarkEnd w:id="100031"/>
    </w:p>
    <w:tbl>
      <w:tblPr>
        <w:tblW w:type="pct" w:w="100%"/>
        <w:tblBorders>
          <w:top w:val="single" w:color="529286" w:sz="4"/>
          <w:left w:val="none" w:color="FFFFFF" w:sz="0"/>
          <w:bottom w:val="single" w:color="529286" w:sz="4"/>
          <w:right w:val="none" w:color="FFFFFF" w:sz="0"/>
          <w:insideH w:val="single" w:color="BECFCC" w:sz="1"/>
          <w:insideV w:val="none" w:color="FFFFFF" w:sz="0"/>
        </w:tblBorders>
        <w:tblLayout w:type="fixed"/>
      </w:tblPr>
      <w:tblGrid>
        <w:gridCol w:w="100"/>
        <w:gridCol w:w="100"/>
        <w:gridCol w:w="100"/>
      </w:tblGrid>
      <w:tr>
        <w:trPr>
          <w:cantSplit/>
          <w:tblHeader/>
        </w:trPr>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Subtema</w:t>
            </w:r>
          </w:p>
        </w:tc>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Descripción</w:t>
            </w:r>
          </w:p>
        </w:tc>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Ejemplo de Nota</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Pueblos indígenas y originarios</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Derechos colectivos, tierras comunitarias, autonomías indígenas</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TCO de Charagua Iyambae avanza en gestión territorial</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Derechos colectivos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Consulta previa, consentimiento libre, autonomías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Comunidad exige consulta previa para proyecto minero</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Población y demografía</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Censos, crecimiento, distribución poblacional</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INE presenta resultados preliminares del censo 2024</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Género y diversidad</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Violencia de género, derechos LGBTIQ+, participación</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Registro de 50 casos de feminicidio en el año</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Pueblos y naciones originarias</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Naciones Qullas, Aymaras, Guaraníes, etc.</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Nación Guaraníe reclama territorio en la Chiquitanía</w:t>
            </w:r>
          </w:p>
        </w:tc>
      </w:tr>
    </w:tbl>
    <w:p>
      <w:pPr>
        <w:pStyle w:val="Heading1"/>
        <w:spacing w:after="180" w:before="360"/>
      </w:pPr>
      <w:bookmarkStart w:id="100032" w:name="_Toc100032"/>
      <w:r>
        <w:rPr>
          <w:rFonts w:ascii="Times New Roman" w:eastAsia="SimHei"/>
          <w:b/>
          <w:bCs/>
          <w:color w:val="000000"/>
          <w:sz w:val="32"/>
          <w:szCs w:val="32"/>
        </w:rPr>
        <w:t xml:space="preserve">5. Lentes Transversales</w:t>
      </w:r>
      <w:bookmarkEnd w:id="100032"/>
    </w:p>
    <w:p>
      <w:pPr>
        <w:spacing w:after="80" w:line="312"/>
        <w:ind w:firstLine="480"/>
        <w:jc w:val="both"/>
      </w:pPr>
      <w:r>
        <w:rPr>
          <w:rFonts w:ascii="Times New Roman" w:eastAsia="SimSun"/>
          <w:color w:val="000000"/>
          <w:sz w:val="24"/>
          <w:szCs w:val="24"/>
        </w:rPr>
        <w:t xml:space="preserve">Los lentes son enfoques que se activan sobre los ejes cuando una nota contiene contenido relevante según la perspectiva del lente. A diferencia de los ejes, que representan el tema central de la noticia, los lentes representan la forma de acción, el sector específico o el ángulo analítico. Una nota activa 0 a N lentes, y un mismo lente puede activarse sobre ejes completamente diferentes. Los lentes permiten generar productos transversales como el «Especializado en Hidrocarburos», que recoge notas de cualquier eje donde el gas, petróleo o combustión sean relevantes.</w:t>
      </w:r>
    </w:p>
    <w:tbl>
      <w:tblPr>
        <w:tblW w:type="pct" w:w="100%"/>
        <w:tblBorders>
          <w:top w:val="single" w:color="529286" w:sz="4"/>
          <w:left w:val="none" w:color="FFFFFF" w:sz="0"/>
          <w:bottom w:val="single" w:color="529286" w:sz="4"/>
          <w:right w:val="none" w:color="FFFFFF" w:sz="0"/>
          <w:insideH w:val="single" w:color="BECFCC" w:sz="1"/>
          <w:insideV w:val="none" w:color="FFFFFF" w:sz="0"/>
        </w:tblBorders>
        <w:tblLayout w:type="fixed"/>
      </w:tblPr>
      <w:tblGrid>
        <w:gridCol w:w="100"/>
        <w:gridCol w:w="100"/>
        <w:gridCol w:w="100"/>
      </w:tblGrid>
      <w:tr>
        <w:trPr>
          <w:cantSplit/>
          <w:tblHeader/>
        </w:trPr>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Lente</w:t>
            </w:r>
          </w:p>
        </w:tc>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Trigger</w:t>
            </w:r>
          </w:p>
        </w:tc>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Ejemplo de Activación</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Movilización Social</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Bloqueo, marcha, huelga, paro, cabildo, toma, pickete</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Nota sobre diesel: activa lente Movilización Social si hay bloqueo de transportistas</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Hidrocarburos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Gas, petróleo, YPFB, GNL, GLP, diesel, gasolina</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Nota sobre econía: activa lente Hidrocarburos si menciona precio de gasolina</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Medio Ambiente</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Contaminación, deforestación, incendio, biodiversidad</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Nota sobre minería: activa lente Medio Ambiente si menciona derrame tóxico</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Corrupción e Impunidad</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Soborno, coima, lavado, desvío, enriquecimiento ilícito</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Nota sobre gestión: activa lente Corrupción si hay denuncia de sobreprecio</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Género y Diversidad</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Violencia de género, feminicidio, igualdad, LGBTIQ+</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Nota sobre justicia: activa lente Género si es caso de feminicidio</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Pueblos Indígenas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Indígena, originario, comunidad, TIOC, consulta previa</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Nota sobre territorio: activa lente si afecta TIOC</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Café y Economías Regionales</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Café, cacao, quinua, economía regional</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Nota sobre economía: activa si menciona exportación de café de especialidad</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Litio y Energía</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Litio, baterías, EV, energía renovable</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Nota sobre minería: activa si menciona proyecto de litio</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Salud Pública</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Epidemia, vacunación, pandemia, hospital, enfermedad</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Nota sobre presupuesto: activa si asigna fondos a salud</w:t>
            </w:r>
          </w:p>
        </w:tc>
      </w:tr>
    </w:tbl>
    <w:p>
      <w:pPr>
        <w:pStyle w:val="Heading1"/>
        <w:spacing w:after="180" w:before="360"/>
      </w:pPr>
      <w:bookmarkStart w:id="100033" w:name="_Toc100033"/>
      <w:r>
        <w:rPr>
          <w:rFonts w:ascii="Times New Roman" w:eastAsia="SimHei"/>
          <w:b/>
          <w:bCs/>
          <w:color w:val="000000"/>
          <w:sz w:val="32"/>
          <w:szCs w:val="32"/>
        </w:rPr>
        <w:t xml:space="preserve">6. Modelo de Datos</w:t>
      </w:r>
      <w:bookmarkEnd w:id="100033"/>
    </w:p>
    <w:p>
      <w:pPr>
        <w:pStyle w:val="Heading2"/>
        <w:spacing w:after="140" w:before="280"/>
      </w:pPr>
      <w:bookmarkStart w:id="100034" w:name="_Toc100034"/>
      <w:r>
        <w:rPr>
          <w:rFonts w:ascii="Times New Roman" w:eastAsia="SimHei"/>
          <w:b/>
          <w:bCs/>
          <w:color w:val="000000"/>
          <w:sz w:val="28"/>
          <w:szCs w:val="28"/>
        </w:rPr>
        <w:t xml:space="preserve">6.1 Schema Propuesto</w:t>
      </w:r>
      <w:bookmarkEnd w:id="100034"/>
    </w:p>
    <w:p>
      <w:pPr>
        <w:spacing w:after="80" w:line="312"/>
        <w:ind w:firstLine="480"/>
        <w:jc w:val="both"/>
      </w:pPr>
      <w:r>
        <w:rPr>
          <w:rFonts w:ascii="Times New Roman" w:eastAsia="SimSun"/>
          <w:color w:val="000000"/>
          <w:sz w:val="24"/>
          <w:szCs w:val="24"/>
        </w:rPr>
        <w:t xml:space="preserve">El modelo de datos propuesto transforma la relación uno-a-uno entre notas y ejes en una relación muchos-a-muchos con pesos. Se introducen tres nuevas entidades (EjeStructural, Lente, NotaEje) y se modifica la entidad Mencion existente para mantener compatibilidad con el sistema legacy:</w:t>
      </w:r>
    </w:p>
    <w:tbl>
      <w:tblPr>
        <w:tblW w:type="pct" w:w="100%"/>
        <w:tblBorders>
          <w:top w:val="single" w:color="529286" w:sz="4"/>
          <w:left w:val="none" w:color="FFFFFF" w:sz="0"/>
          <w:bottom w:val="single" w:color="529286" w:sz="4"/>
          <w:right w:val="none" w:color="FFFFFF" w:sz="0"/>
          <w:insideH w:val="single" w:color="BECFCC" w:sz="1"/>
          <w:insideV w:val="none" w:color="FFFFFF" w:sz="0"/>
        </w:tblBorders>
        <w:tblLayout w:type="fixed"/>
      </w:tblPr>
      <w:tblGrid>
        <w:gridCol w:w="100"/>
        <w:gridCol w:w="100"/>
        <w:gridCol w:w="100"/>
        <w:gridCol w:w="100"/>
      </w:tblGrid>
      <w:tr>
        <w:trPr>
          <w:cantSplit/>
          <w:tblHeader/>
        </w:trPr>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Entidad</w:t>
            </w:r>
          </w:p>
        </w:tc>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Tipo</w:t>
            </w:r>
          </w:p>
        </w:tc>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Campos Clave</w:t>
            </w:r>
          </w:p>
        </w:tc>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Descripción</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EjeStructural</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Nueva</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id, nombre, slug, descripcion, parent_id, nivel, tipo, activo, productos[]</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Nodos jerárquicos de la tabla maestra de ejes</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Lente</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Nueva</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id, nombre, slug, descripcion, activo</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Lentes transversales para cruces analíticos</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NotaEje</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Nueva (tabla intermedia)</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nota_id, eje_id, peso (0.0-1.0), es_principal (boolean)</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Relación multi-eje con pesos</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NotaLente</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Nueva (tabla intermedia)</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nota_id, lente_id</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Relación nota-lente (booleano)</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Mencion</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Modificada</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 eje_estructural_id (FK), manteniendo eje_tematico_id (legacy)</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Campo nuevo para eje principal, sin borrar legacy</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MedioProducto</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Nueva</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medio_id, producto_id, prioridad, activo</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Asociación N:N entre medios y productos</w:t>
            </w:r>
          </w:p>
        </w:tc>
      </w:tr>
    </w:tbl>
    <w:p>
      <w:pPr>
        <w:spacing w:before="120"/>
      </w:pPr>
    </w:p>
    <w:p>
      <w:pPr>
        <w:pStyle w:val="Heading2"/>
        <w:spacing w:after="140" w:before="280"/>
      </w:pPr>
      <w:bookmarkStart w:id="100035" w:name="_Toc100035"/>
      <w:r>
        <w:rPr>
          <w:rFonts w:ascii="Times New Roman" w:eastAsia="SimHei"/>
          <w:b/>
          <w:bCs/>
          <w:color w:val="000000"/>
          <w:sz w:val="28"/>
          <w:szCs w:val="28"/>
        </w:rPr>
        <w:t xml:space="preserve">6.2 Ejemplo de Clasificación Multi-Eje</w:t>
      </w:r>
      <w:bookmarkEnd w:id="100035"/>
    </w:p>
    <w:p>
      <w:pPr>
        <w:spacing w:after="80" w:line="312"/>
        <w:ind w:firstLine="480"/>
        <w:jc w:val="both"/>
      </w:pPr>
      <w:r>
        <w:rPr>
          <w:rFonts w:ascii="Times New Roman" w:eastAsia="SimSun"/>
          <w:color w:val="000000"/>
          <w:sz w:val="24"/>
          <w:szCs w:val="24"/>
        </w:rPr>
        <w:t xml:space="preserve">El siguiente ejemplo ilustra cómo una nota real del contexto boliviano se clasifica en el nuevo modelo multi-eje, mostrando la diferencia radical con el modelo mono-eje anterior:</w:t>
      </w:r>
    </w:p>
    <w:tbl>
      <w:tblPr>
        <w:tblW w:type="pct" w:w="100%"/>
        <w:tblBorders>
          <w:top w:val="single" w:color="529286" w:sz="4"/>
          <w:left w:val="none" w:color="FFFFFF" w:sz="0"/>
          <w:bottom w:val="single" w:color="529286" w:sz="4"/>
          <w:right w:val="none" w:color="FFFFFF" w:sz="0"/>
          <w:insideH w:val="single" w:color="BECFCC" w:sz="1"/>
          <w:insideV w:val="none" w:color="FFFFFF" w:sz="0"/>
        </w:tblBorders>
        <w:tblLayout w:type="fixed"/>
      </w:tblPr>
      <w:tblGrid>
        <w:gridCol w:w="100"/>
        <w:gridCol w:w="100"/>
        <w:gridCol w:w="100"/>
      </w:tblGrid>
      <w:tr>
        <w:trPr>
          <w:cantSplit/>
          <w:tblHeader/>
        </w:trPr>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Campo</w:t>
            </w:r>
          </w:p>
        </w:tc>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Valor</w:t>
            </w:r>
          </w:p>
        </w:tc>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Explicación</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Título de la nota</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Gobierno anuncia importación de 200 millones de litros de diesel</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Nota hipotética basada en hechos reales</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Eje principal</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Hidrocarburos y Energía (peso: 0.9)</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Tema sectorial dominante</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Eje secundario 1</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Gestión del Ejecutivo (peso: 0.9)</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Quién toma la decisión</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Eje secundario 2</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Economía (peso: 0.7)</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Impacto macroeconómico</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Eje secundario 3</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Comercio Exterior (peso: 0.6)</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Operación de importación</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Eje secundario 4</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Geopolítica (peso: 0.4)</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No registrado (&lt; 0.5)</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Lentes activados</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Hidrocarburos, Economía</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Sector y perspectiva económica</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Clasificación legacy</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Movimientos Sociales y Conflictividad</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Era lo que el sistema antiguo habría asignado</w:t>
            </w:r>
          </w:p>
        </w:tc>
      </w:tr>
    </w:tbl>
    <w:p>
      <w:pPr>
        <w:spacing w:before="120"/>
      </w:pPr>
    </w:p>
    <w:p>
      <w:pPr>
        <w:spacing w:after="80" w:line="312"/>
        <w:ind w:firstLine="480"/>
        <w:jc w:val="both"/>
      </w:pPr>
      <w:r>
        <w:rPr>
          <w:rFonts w:ascii="Times New Roman" w:eastAsia="SimSun"/>
          <w:color w:val="000000"/>
          <w:sz w:val="24"/>
          <w:szCs w:val="24"/>
        </w:rPr>
        <w:t xml:space="preserve">Este ejemplo demuestra cómo el modelo multi-eje preserva la riqueza informativa de cada nota. En el sistema anterior, la misma nota habría sido clasificada en un solo eje (probablemente «Gobierno, Oposición e Instituciones»), perdiendo las conexiones con hidrocarburos, economía y comercio exterior. El producto El Saldo del Día podría filtrar por cualquiera de estos ángulos según el perfil del cliente. El Especializado en Hidrocarburos capturaría la nota aunque su tema principal parezca político-administrativo.</w:t>
      </w:r>
    </w:p>
    <w:p>
      <w:pPr>
        <w:pStyle w:val="Heading1"/>
        <w:spacing w:after="180" w:before="360"/>
      </w:pPr>
      <w:bookmarkStart w:id="100036" w:name="_Toc100036"/>
      <w:r>
        <w:rPr>
          <w:rFonts w:ascii="Times New Roman" w:eastAsia="SimHei"/>
          <w:b/>
          <w:bCs/>
          <w:color w:val="000000"/>
          <w:sz w:val="32"/>
          <w:szCs w:val="32"/>
        </w:rPr>
        <w:t xml:space="preserve">7. Impacto en la Arquitectura de Productos</w:t>
      </w:r>
      <w:bookmarkEnd w:id="100036"/>
    </w:p>
    <w:p>
      <w:pPr>
        <w:pStyle w:val="Heading2"/>
        <w:spacing w:after="140" w:before="280"/>
      </w:pPr>
      <w:bookmarkStart w:id="100037" w:name="_Toc100037"/>
      <w:r>
        <w:rPr>
          <w:rFonts w:ascii="Times New Roman" w:eastAsia="SimHei"/>
          <w:b/>
          <w:bCs/>
          <w:color w:val="000000"/>
          <w:sz w:val="28"/>
          <w:szCs w:val="28"/>
        </w:rPr>
        <w:t xml:space="preserve">7.1 Productos Reestructurados</w:t>
      </w:r>
      <w:bookmarkEnd w:id="100037"/>
    </w:p>
    <w:p>
      <w:pPr>
        <w:spacing w:after="80" w:line="312"/>
        <w:ind w:firstLine="480"/>
        <w:jc w:val="both"/>
      </w:pPr>
      <w:r>
        <w:rPr>
          <w:rFonts w:ascii="Times New Roman" w:eastAsia="SimSun"/>
          <w:color w:val="000000"/>
          <w:sz w:val="24"/>
          <w:szCs w:val="24"/>
        </w:rPr>
        <w:t xml:space="preserve">La nueva arquitectura de ejes impacta directamente cómo se construyen los productos. La separación entre ejes (el qué) y lentes (el cómo) permite una modularidad que el sistema anterior no tenía. Los siguientes productos se ven transformados por el nuevo modelo:</w:t>
      </w:r>
    </w:p>
    <w:tbl>
      <w:tblPr>
        <w:tblW w:type="pct" w:w="100%"/>
        <w:tblBorders>
          <w:top w:val="single" w:color="529286" w:sz="4"/>
          <w:left w:val="none" w:color="FFFFFF" w:sz="0"/>
          <w:bottom w:val="single" w:color="529286" w:sz="4"/>
          <w:right w:val="none" w:color="FFFFFF" w:sz="0"/>
          <w:insideH w:val="single" w:color="BECFCC" w:sz="1"/>
          <w:insideV w:val="none" w:color="FFFFFF" w:sz="0"/>
        </w:tblBorders>
        <w:tblLayout w:type="fixed"/>
      </w:tblPr>
      <w:tblGrid>
        <w:gridCol w:w="100"/>
        <w:gridCol w:w="100"/>
        <w:gridCol w:w="100"/>
        <w:gridCol w:w="100"/>
      </w:tblGrid>
      <w:tr>
        <w:trPr>
          <w:cantSplit/>
          <w:tblHeader/>
        </w:trPr>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Producto</w:t>
            </w:r>
          </w:p>
        </w:tc>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Frecuencia</w:t>
            </w:r>
          </w:p>
        </w:tc>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Fuente de Datos</w:t>
            </w:r>
          </w:p>
        </w:tc>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Impacto del Multi-Eje</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El Término-Saldo (fusionado)</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2x diario + semanal</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Todos los medios</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Filtra ejes por perfil del cliente (empresario, social, legislativo)</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El Especializado</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Diario (1x) + semanal + mensual</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Medios relevantes al eje</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Cada eje es un producto independiente. Recolecta notas donde peso &gt;= 0.5</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Ficha del Legislador</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Diario (1x) + semanal + mensual</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Medios + datos legislativos</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Cruza menciones personales con votos, proyectos y sesiones</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Informe Cerrado</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Semanal</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Todos los medios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Consolida por dominio padre, mostrando cómo se entrelazan los subtemas</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Boletín del Grano</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Frecuencia del sector</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Medios sectoriales</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Lente Café y Economías Regionales</w:t>
            </w:r>
          </w:p>
        </w:tc>
      </w:tr>
    </w:tbl>
    <w:p>
      <w:pPr>
        <w:spacing w:before="120"/>
      </w:pPr>
    </w:p>
    <w:p>
      <w:pPr>
        <w:pStyle w:val="Heading2"/>
        <w:spacing w:after="140" w:before="280"/>
      </w:pPr>
      <w:bookmarkStart w:id="100038" w:name="_Toc100038"/>
      <w:r>
        <w:rPr>
          <w:rFonts w:ascii="Times New Roman" w:eastAsia="SimHei"/>
          <w:b/>
          <w:bCs/>
          <w:color w:val="000000"/>
          <w:sz w:val="28"/>
          <w:szCs w:val="28"/>
        </w:rPr>
        <w:t xml:space="preserve">7.2 El Especializado como Modelo, No Como Producto</w:t>
      </w:r>
      <w:bookmarkEnd w:id="100038"/>
    </w:p>
    <w:p>
      <w:pPr>
        <w:spacing w:after="80" w:line="312"/>
        <w:ind w:firstLine="480"/>
        <w:jc w:val="both"/>
      </w:pPr>
      <w:r>
        <w:rPr>
          <w:rFonts w:ascii="Times New Roman" w:eastAsia="SimSun"/>
          <w:color w:val="000000"/>
          <w:sz w:val="24"/>
          <w:szCs w:val="24"/>
        </w:rPr>
        <w:t xml:space="preserve">Una de las decisiones arquitectónicas más importantes es la reconceptualización de El Especializado. En el modelo anterior, El Especializado era un producto fijo que elegía un eje de forma rotativa. En el nuevo modelo, El Especializado no es un producto sino una plantilla (modelo) que se instancia por cada dominio temático relevante. Cada instancia es un producto con su propia programación, sus propios medios asociados y su propia frecuencia de generación. Así, «Especializado en Hidrocarburos» y «Especializado en Minería» son productos distintos que comparten la misma plantilla de generación pero con datos, medios y frecuencias diferentes.</w:t>
      </w:r>
    </w:p>
    <w:p>
      <w:pPr>
        <w:spacing w:after="80" w:line="312"/>
        <w:ind w:firstLine="480"/>
        <w:jc w:val="both"/>
      </w:pPr>
      <w:r>
        <w:rPr>
          <w:rFonts w:ascii="Times New Roman" w:eastAsia="SimSun"/>
          <w:color w:val="000000"/>
          <w:sz w:val="24"/>
          <w:szCs w:val="24"/>
        </w:rPr>
        <w:t xml:space="preserve">Esto implica que los nuevos ejes que el usuario ha solicitado crear (Economía y Modelo de Desarrollo, Minería) se implementan como instancias de El Especializado, cada una con su propia configuración de medios, frecuencia diaria/semanal/mensual y profundidad de análisis. La plantilla define la estructura del producto (resumen ejecutivo, hallazgos clave, fuentes, métricas), mientras que los datos alimentan cada instancia específica.</w:t>
      </w:r>
    </w:p>
    <w:p>
      <w:pPr>
        <w:pStyle w:val="Heading2"/>
        <w:spacing w:after="140" w:before="280"/>
      </w:pPr>
      <w:bookmarkStart w:id="100039" w:name="_Toc100039"/>
      <w:r>
        <w:rPr>
          <w:rFonts w:ascii="Times New Roman" w:eastAsia="SimHei"/>
          <w:b/>
          <w:bCs/>
          <w:color w:val="000000"/>
          <w:sz w:val="28"/>
          <w:szCs w:val="28"/>
        </w:rPr>
        <w:t xml:space="preserve">7.3 Relación Medio-Producto</w:t>
      </w:r>
      <w:bookmarkEnd w:id="100039"/>
    </w:p>
    <w:p>
      <w:pPr>
        <w:spacing w:after="80" w:line="312"/>
        <w:ind w:firstLine="480"/>
        <w:jc w:val="both"/>
      </w:pPr>
      <w:r>
        <w:rPr>
          <w:rFonts w:ascii="Times New Roman" w:eastAsia="SimSun"/>
          <w:color w:val="000000"/>
          <w:sz w:val="24"/>
          <w:szCs w:val="24"/>
        </w:rPr>
        <w:t xml:space="preserve">Cada producto tiene su propia lista de medios asociados, implementada mediante la tabla MediosProducto. Esto resuelve el problema arquitectónico del captura completa v2 que procesaba todos los medios de forma monolítica sin saber qué producto necesita qué medio. En el nuevo modelo, el scheduler organiza capturas independientes por medio según las necesidades de cada producto, verificando para cada uno si ya fue capturado y programando prioridades en consecuencia. La lógica es: «Ya vi ATB hoy? No. Reprogramar prioridad uno.», no «Lanzar captura completa y rezar que termine.»</w:t>
      </w:r>
    </w:p>
    <w:p>
      <w:pPr>
        <w:pStyle w:val="Heading1"/>
        <w:spacing w:after="180" w:before="360"/>
      </w:pPr>
      <w:bookmarkStart w:id="100040" w:name="_Toc100040"/>
      <w:r>
        <w:rPr>
          <w:rFonts w:ascii="Times New Roman" w:eastAsia="SimHei"/>
          <w:b/>
          <w:bCs/>
          <w:color w:val="000000"/>
          <w:sz w:val="32"/>
          <w:szCs w:val="32"/>
        </w:rPr>
        <w:t xml:space="preserve">8. Ruta de Implementación</w:t>
      </w:r>
      <w:bookmarkEnd w:id="100040"/>
    </w:p>
    <w:p>
      <w:pPr>
        <w:pStyle w:val="Heading2"/>
        <w:spacing w:after="140" w:before="280"/>
      </w:pPr>
      <w:bookmarkStart w:id="100041" w:name="_Toc100041"/>
      <w:r>
        <w:rPr>
          <w:rFonts w:ascii="Times New Roman" w:eastAsia="SimHei"/>
          <w:b/>
          <w:bCs/>
          <w:color w:val="000000"/>
          <w:sz w:val="28"/>
          <w:szCs w:val="28"/>
        </w:rPr>
        <w:t xml:space="preserve">8.1 Fases</w:t>
      </w:r>
      <w:bookmarkEnd w:id="100041"/>
    </w:p>
    <w:p>
      <w:pPr>
        <w:spacing w:after="80" w:line="312"/>
        <w:ind w:firstLine="480"/>
        <w:jc w:val="both"/>
      </w:pPr>
      <w:r>
        <w:rPr>
          <w:rFonts w:ascii="Times New Roman" w:eastAsia="SimSun"/>
          <w:color w:val="000000"/>
          <w:sz w:val="24"/>
          <w:szCs w:val="24"/>
        </w:rPr>
        <w:t xml:space="preserve">La implementación del nuevo modelo se organiza en cuatro fases secuenciales, cada una con entregables verificables y criterios de finalización claros. No se avanza a la siguiente fase sin completar la anterior:</w:t>
      </w:r>
    </w:p>
    <w:tbl>
      <w:tblPr>
        <w:tblW w:type="pct" w:w="100%"/>
        <w:tblBorders>
          <w:top w:val="single" w:color="529286" w:sz="4"/>
          <w:left w:val="none" w:color="FFFFFF" w:sz="0"/>
          <w:bottom w:val="single" w:color="529286" w:sz="4"/>
          <w:right w:val="none" w:color="FFFFFF" w:sz="0"/>
          <w:insideH w:val="single" w:color="BECFCC" w:sz="1"/>
          <w:insideV w:val="none" w:color="FFFFFF" w:sz="0"/>
        </w:tblBorders>
        <w:tblLayout w:type="fixed"/>
      </w:tblPr>
      <w:tblGrid>
        <w:gridCol w:w="100"/>
        <w:gridCol w:w="100"/>
        <w:gridCol w:w="100"/>
        <w:gridCol w:w="100"/>
      </w:tblGrid>
      <w:tr>
        <w:trPr>
          <w:cantSplit/>
          <w:tblHeader/>
        </w:trPr>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Fase</w:t>
            </w:r>
          </w:p>
        </w:tc>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Objetivo</w:t>
            </w:r>
          </w:p>
        </w:tc>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Entregables</w:t>
            </w:r>
          </w:p>
        </w:tc>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Criterio de Finalización</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Fase 1: Fundamentos</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Definir tabla maestra, modelo de datos, principios</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Documento de arquitectura (este documento), schema Prisma, SQL de migración</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Aprobación del usuario sobre dominios y jerarquía</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Fase 2: Infraestructura</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Implementar modelo multi-eje en la base de datos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Migración ejecutada, tablas creadas, datos legacy preservados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12 dominios + subtemas insertados, clasificación legacy intacta</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Fase 3: Clasificador</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Actualizar extractor de menciones para multi-eje</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Prompt actualizado, clasificador LLM multi-eje funcionando</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Tests de clasificación pasando con &gt;= 80% de precisión</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Fase 4: Productos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Adaptar generadores de productos al multi-eje</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Cada producto usando multi-eje, lentes activos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Producto generado con datos multi-eje verificados por el usuario</w:t>
            </w:r>
          </w:p>
        </w:tc>
      </w:tr>
    </w:tbl>
    <w:p>
      <w:pPr>
        <w:spacing w:before="120"/>
      </w:pPr>
    </w:p>
    <w:p>
      <w:pPr>
        <w:pStyle w:val="Heading2"/>
        <w:spacing w:after="140" w:before="280"/>
      </w:pPr>
      <w:bookmarkStart w:id="100042" w:name="_Toc100042"/>
      <w:r>
        <w:rPr>
          <w:rFonts w:ascii="Times New Roman" w:eastAsia="SimHei"/>
          <w:b/>
          <w:bCs/>
          <w:color w:val="000000"/>
          <w:sz w:val="28"/>
          <w:szCs w:val="28"/>
        </w:rPr>
        <w:t xml:space="preserve">8.2 Decisiones Pendientes</w:t>
      </w:r>
      <w:bookmarkEnd w:id="100042"/>
    </w:p>
    <w:p>
      <w:pPr>
        <w:spacing w:after="80" w:line="312"/>
        <w:ind w:firstLine="480"/>
        <w:jc w:val="both"/>
      </w:pPr>
      <w:r>
        <w:rPr>
          <w:rFonts w:ascii="Times New Roman" w:eastAsia="SimSun"/>
          <w:color w:val="000000"/>
          <w:sz w:val="24"/>
          <w:szCs w:val="24"/>
        </w:rPr>
        <w:t xml:space="preserve">Este documento establece los fundamentos epistemológicos y la arquitectura general del sistema. Sin embargo, existen decisiones que requieren la participación directa del usuario antes de proceder a la implementación técnica:</w:t>
      </w:r>
    </w:p>
    <w:tbl>
      <w:tblPr>
        <w:tblW w:type="pct" w:w="100%"/>
        <w:tblBorders>
          <w:top w:val="single" w:color="529286" w:sz="4"/>
          <w:left w:val="none" w:color="FFFFFF" w:sz="0"/>
          <w:bottom w:val="single" w:color="529286" w:sz="4"/>
          <w:right w:val="none" w:color="FFFFFF" w:sz="0"/>
          <w:insideH w:val="single" w:color="BECFCC" w:sz="1"/>
          <w:insideV w:val="none" w:color="FFFFFF" w:sz="0"/>
        </w:tblBorders>
        <w:tblLayout w:type="fixed"/>
      </w:tblPr>
      <w:tblGrid>
        <w:gridCol w:w="100"/>
        <w:gridCol w:w="100"/>
        <w:gridCol w:w="100"/>
      </w:tblGrid>
      <w:tr>
        <w:trPr>
          <w:cantSplit/>
          <w:tblHeader/>
        </w:trPr>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Decisión</w:t>
            </w:r>
          </w:p>
        </w:tc>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Estado</w:t>
            </w:r>
          </w:p>
        </w:tc>
        <w:tc>
          <w:tcPr>
            <w:tcBorders>
              <w:top w:val="single" w:color="529286" w:sz="4"/>
              <w:left w:val="none" w:color="FFFFFF" w:sz="0"/>
              <w:bottom w:val="single" w:color="529286" w:sz="4"/>
              <w:right w:val="none" w:color="FFFFFF" w:sz="0"/>
            </w:tcBorders>
            <w:shd w:fill="529286" w:val="clear"/>
            <w:tcMar>
              <w:top w:type="dxa" w:w="60"/>
              <w:left w:type="dxa" w:w="120"/>
              <w:bottom w:type="dxa" w:w="60"/>
              <w:right w:type="dxa" w:w="120"/>
            </w:tcMar>
          </w:tcPr>
          <w:p>
            <w:pPr>
              <w:jc w:val="center"/>
            </w:pPr>
            <w:r>
              <w:rPr>
                <w:rFonts w:ascii="Calibri" w:eastAsia="SimHei"/>
                <w:b/>
                <w:bCs/>
                <w:color w:val="FFFFFF"/>
                <w:sz w:val="21"/>
                <w:szCs w:val="21"/>
              </w:rPr>
              <w:t xml:space="preserve">Alternativas</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Destino de EL_FOCO, EL_RADAR, VOZ_Y_VOTO, EL_HILO, FOCO_DE_LA_SEMANA</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Pendiente</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Mantener como productos, absorber en otros, o eliminar</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Umbral de peso mínimo</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Propuesto: 0.5</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Podría ser 0.4 o 0.6 según pruebas empíricas</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Límite máximo de ejes secundarios</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Propuesto: 3</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Podría ser 2 o 4 según resultados del clasificador</w:t>
            </w:r>
          </w:p>
        </w:tc>
      </w:tr>
      <w:tr>
        <w:trPr>
          <w:cantSplit/>
        </w:trP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Profundidad de la jerarquía</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Propuesto: 3 niveles</w:t>
            </w:r>
          </w:p>
        </w:tc>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jc w:val="left"/>
            </w:pPr>
            <w:r>
              <w:rPr>
                <w:rFonts w:ascii="Calibri" w:eastAsia="SimSun"/>
                <w:color w:val="000000"/>
                <w:sz w:val="21"/>
                <w:szCs w:val="21"/>
              </w:rPr>
              <w:t xml:space="preserve">Podría expandirse a 4 si algunos subtemas lo requieren</w:t>
            </w:r>
          </w:p>
        </w:tc>
      </w:tr>
      <w:tr>
        <w:trPr>
          <w:cantSplit/>
        </w:trPr>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Mecanismo de reclasificación de datos históricos</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Pendiente</w:t>
            </w:r>
          </w:p>
        </w:tc>
        <w:tc>
          <w:tcPr>
            <w:tcBorders>
              <w:top w:val="none" w:color="FFFFFF" w:sz="0"/>
              <w:left w:val="none" w:color="FFFFFF" w:sz="0"/>
              <w:bottom w:val="none" w:color="FFFFFF" w:sz="0"/>
              <w:right w:val="none" w:color="FFFFFF" w:sz="0"/>
            </w:tcBorders>
            <w:shd w:fill="E8ECEB" w:val="clear"/>
            <w:tcMar>
              <w:top w:type="dxa" w:w="60"/>
              <w:left w:type="dxa" w:w="120"/>
              <w:bottom w:type="dxa" w:w="60"/>
              <w:right w:type="dxa" w:w="120"/>
            </w:tcMar>
          </w:tcPr>
          <w:p>
            <w:pPr>
              <w:jc w:val="left"/>
            </w:pPr>
            <w:r>
              <w:rPr>
                <w:rFonts w:ascii="Calibri" w:eastAsia="SimSun"/>
                <w:color w:val="000000"/>
                <w:sz w:val="21"/>
                <w:szCs w:val="21"/>
              </w:rPr>
              <w:t xml:space="preserve">Reclasificación LLM masiva vs. solo nueva captura con nuevo modelo</w:t>
            </w:r>
          </w:p>
        </w:tc>
      </w:tr>
    </w:tbl>
    <w:p>
      <w:pPr>
        <w:spacing w:before="200"/>
      </w:pPr>
    </w:p>
    <w:p>
      <w:pPr>
        <w:spacing w:after="80" w:line="312"/>
        <w:ind w:firstLine="480"/>
        <w:jc w:val="both"/>
      </w:pPr>
      <w:r>
        <w:rPr>
          <w:rFonts w:ascii="Times New Roman" w:eastAsia="SimSun"/>
          <w:color w:val="000000"/>
          <w:sz w:val="24"/>
          <w:szCs w:val="24"/>
        </w:rPr>
        <w:t xml:space="preserve">Este documento constituye la base arquitectónica para la transformación del sistema de clasificación temática de DECODEX Bolivia ONION200. Los principios aquí definidos deben guiar toda decisión de implementación subsiguiente, desde la definición del schema de base de datos hasta la redacción de los prompts del clasificador LLM. La coherencia epistemológica no es un lujo académico sino un requisito operativo para que los productos periodísticos de DECODEX cumplan su función con rigor y responsabilidad.</w:t>
      </w:r>
    </w:p>
    <w:sectPr>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B6B7D"/>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B6B7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line="312"/>
      <w:outlineLvl w:val="0"/>
    </w:pPr>
    <w:rPr>
      <w:rFonts w:ascii="Times New Roman" w:eastAsia="SimHei"/>
      <w:b/>
      <w:bCs/>
      <w:color w:val="000000"/>
      <w:sz w:val="32"/>
      <w:szCs w:val="32"/>
    </w:rPr>
  </w:style>
  <w:style w:type="paragraph" w:styleId="Heading2">
    <w:name w:val="Heading 2"/>
    <w:basedOn w:val="Normal"/>
    <w:next w:val="Normal"/>
    <w:qFormat/>
    <w:pPr>
      <w:spacing w:line="312"/>
      <w:outlineLvl w:val="1"/>
    </w:pPr>
    <w:rPr>
      <w:rFonts w:ascii="Times New Roman" w:eastAsia="SimHei"/>
      <w:b/>
      <w:bCs/>
      <w:color w:val="000000"/>
      <w:sz w:val="28"/>
      <w:szCs w:val="28"/>
    </w:rPr>
  </w:style>
  <w:style w:type="paragraph" w:styleId="Heading3">
    <w:name w:val="Heading 3"/>
    <w:basedOn w:val="Normal"/>
    <w:next w:val="Normal"/>
    <w:qFormat/>
    <w:pPr>
      <w:spacing w:line="312"/>
      <w:outlineLvl w:val="2"/>
    </w:pPr>
    <w:rPr>
      <w:rFonts w:ascii="Times New Roman" w:eastAsia="SimHei"/>
      <w:b/>
      <w:bCs/>
      <w:color w:val="5B6B7D"/>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2026-06-06T01:52:49.957Z</dcterms:created>
  <dcterms:modified xsi:type="dcterms:W3CDTF">2026-06-06T01:52:49.957Z</dcterms:modified>
</cp:coreProperties>
</file>

<file path=docProps/custom.xml><?xml version="1.0" encoding="utf-8"?>
<Properties xmlns="http://schemas.openxmlformats.org/officeDocument/2006/custom-properties" xmlns:vt="http://schemas.openxmlformats.org/officeDocument/2006/docPropsVTypes"/>
</file>