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dxa" w:w="11906"/>
            <w:tcBorders>
              <w:top w:val="none" w:color="FFFFFF" w:sz="0"/>
              <w:left w:val="none" w:color="FFFFFF" w:sz="0"/>
              <w:bottom w:val="none" w:color="FFFFFF" w:sz="0"/>
              <w:right w:val="none" w:color="FFFFFF" w:sz="0"/>
            </w:tcBorders>
            <w:shd w:fill="162235" w:val="clear"/>
            <w:tcMar>
              <w:top w:type="dxa" w:w="0"/>
              <w:left w:type="dxa" w:w="800"/>
              <w:bottom w:type="dxa" w:w="0"/>
              <w:right w:type="dxa" w:w="800"/>
            </w:tcMar>
          </w:tcPr>
          <w:p>
            <w:pPr>
              <w:pBdr>
                <w:top w:val="single" w:color="37DCF2" w:sz="6" w:space="0"/>
              </w:pBdr>
              <w:spacing w:before="600"/>
            </w:pPr>
          </w:p>
          <w:p>
            <w:pPr>
              <w:spacing w:before="4823" w:line="920" w:lineRule="atLeast"/>
            </w:pPr>
            <w:r>
              <w:rPr>
                <w:rFonts w:ascii="Calibri" w:eastAsia="Calibri"/>
                <w:b/>
                <w:bCs/>
                <w:color w:val="FFFFFF"/>
                <w:sz w:val="80"/>
                <w:szCs w:val="80"/>
              </w:rPr>
              <w:t xml:space="preserve">Brief de Na</w:t>
            </w:r>
          </w:p>
          <w:p>
            <w:pPr>
              <w:spacing w:before="80" w:line="920" w:lineRule="atLeast"/>
            </w:pPr>
            <w:r>
              <w:rPr>
                <w:rFonts w:ascii="Calibri" w:eastAsia="Calibri"/>
                <w:b/>
                <w:bCs/>
                <w:color w:val="FFFFFF"/>
                <w:sz w:val="80"/>
                <w:szCs w:val="80"/>
              </w:rPr>
              <w:t xml:space="preserve">ming</w:t>
            </w:r>
          </w:p>
          <w:p>
            <w:pPr>
              <w:spacing w:before="200" w:line="360" w:lineRule="atLeast"/>
            </w:pPr>
            <w:r>
              <w:rPr>
                <w:rFonts w:ascii="Calibri" w:eastAsia="Calibri"/>
                <w:color w:val="B0B8C0"/>
                <w:sz w:val="22"/>
                <w:szCs w:val="22"/>
              </w:rPr>
              <w:t xml:space="preserve">Documento de referencia para desarrollo de marca</w:t>
            </w:r>
          </w:p>
          <w:p>
            <w:pPr>
              <w:spacing w:before="1600"/>
            </w:pPr>
            <w:r>
              <w:rPr>
                <w:rFonts w:ascii="Calibri"/>
                <w:color w:val="687078"/>
                <w:sz w:val="18"/>
                <w:szCs w:val="18"/>
              </w:rPr>
              <w:t xml:space="preserve">CONFIDENCIAL</w:t>
            </w:r>
          </w:p>
          <w:p>
            <w:pPr>
              <w:spacing w:before="100"/>
            </w:pPr>
            <w:r>
              <w:rPr>
                <w:rFonts w:ascii="Calibri"/>
                <w:color w:val="687078"/>
                <w:sz w:val="18"/>
                <w:szCs w:val="18"/>
              </w:rPr>
              <w:t xml:space="preserve">Mayo 2026</w:t>
            </w:r>
          </w:p>
        </w:tc>
      </w:tr>
    </w:tbl>
    <w:p>
      <w:pPr>
        <w:sectPr>
          <w:pgSz w:w="11906" w:h="16838" w:orient="portrait"/>
          <w:pgMar w:top="0" w:right="0" w:bottom="0" w:left="0" w:header="708" w:footer="708" w:gutter="0"/>
          <w:pgNumType/>
          <w:docGrid w:linePitch="360"/>
        </w:sectPr>
      </w:pPr>
    </w:p>
    <w:p>
      <w:pPr>
        <w:pStyle w:val="Heading1"/>
        <w:spacing w:after="160" w:before="400"/>
      </w:pPr>
      <w:r>
        <w:rPr>
          <w:rFonts w:ascii="Calibri"/>
          <w:b/>
          <w:bCs/>
          <w:color w:val="0A1628"/>
          <w:sz w:val="32"/>
          <w:szCs w:val="32"/>
        </w:rPr>
        <w:t xml:space="preserve">1. Contexto</w:t>
      </w:r>
    </w:p>
    <w:p>
      <w:pPr>
        <w:spacing w:after="120" w:line="312"/>
        <w:jc w:val="both"/>
      </w:pPr>
      <w:r>
        <w:rPr>
          <w:rFonts w:ascii="Calibri"/>
          <w:color w:val="333333"/>
          <w:sz w:val="22"/>
          <w:szCs w:val="22"/>
        </w:rPr>
        <w:t xml:space="preserve">Somos una empresa tecnológica boliviana, creadora y propietaria de una solución integral de inteligencia de medios basada en inteligencia artificial. Nuestro sistema, llamado Onion200, procesa información pública de múltiples fuentes (medios digitales, redes sociales, prensa escrita, radio y televisión) y produce indicadores cuantitativos y cualitativos, además de reportes operativos, adaptados a las necesidades específicas de cada cliente.</w:t>
      </w:r>
    </w:p>
    <w:p>
      <w:pPr>
        <w:spacing w:after="120" w:line="312"/>
        <w:jc w:val="both"/>
      </w:pPr>
      <w:r>
        <w:rPr>
          <w:rFonts w:ascii="Calibri"/>
          <w:color w:val="333333"/>
          <w:sz w:val="22"/>
          <w:szCs w:val="22"/>
        </w:rPr>
        <w:t xml:space="preserve">El sistema Onion200 opera mediante un modelo de procesamiento por capas: la primera capa captura información bruta, las capas intermedias clasifican, analizan sentimiento y generan indicadores, y la capa final produce reportes listos para la toma de decisiones. Todo este proceso está impulsado por inteligencia artificial que hemos desarrollado íntegramente, sin depender de plataformas o licencias de terceros.</w:t>
      </w:r>
    </w:p>
    <w:p>
      <w:pPr>
        <w:spacing w:after="120" w:line="312"/>
        <w:jc w:val="both"/>
      </w:pPr>
      <w:r>
        <w:rPr>
          <w:rFonts w:ascii="Calibri"/>
          <w:color w:val="333333"/>
          <w:sz w:val="22"/>
          <w:szCs w:val="22"/>
        </w:rPr>
        <w:t xml:space="preserve">Actualmente nos encontramos en un proceso de rebranding. El nombre anterior, Connect Bolivia, debe ser reemplazado por razones estratégicas. Este documento tiene como único propósito guiar a la agencia especialista en la creación del nuevo nombre comercial. El logotipo actual se mantiene como definitivo; la solicitud se limita exclusivamente al desarrollo del nombre.</w:t>
      </w:r>
    </w:p>
    <w:p>
      <w:pPr>
        <w:spacing w:after="0" w:before="100"/>
      </w:pPr>
    </w:p>
    <w:p>
      <w:pPr>
        <w:pStyle w:val="Heading1"/>
        <w:spacing w:after="160" w:before="400"/>
      </w:pPr>
      <w:r>
        <w:rPr>
          <w:rFonts w:ascii="Calibri"/>
          <w:b/>
          <w:bCs/>
          <w:color w:val="0A1628"/>
          <w:sz w:val="32"/>
          <w:szCs w:val="32"/>
        </w:rPr>
        <w:t xml:space="preserve">2. Qué Hacemos</w:t>
      </w:r>
    </w:p>
    <w:p>
      <w:pPr>
        <w:spacing w:after="120" w:line="312"/>
        <w:jc w:val="both"/>
      </w:pPr>
      <w:r>
        <w:rPr>
          <w:rFonts w:ascii="Calibri"/>
          <w:color w:val="333333"/>
          <w:sz w:val="22"/>
          <w:szCs w:val="22"/>
        </w:rPr>
        <w:t xml:space="preserve">Es fundamental que la agencia comprenda con precisión la naturaleza de nuestro producto. No somos una empresa de seguridad, ni de vigilancia, ni de relaciones públicas. Somos una empresa de tecnología que procesa información pública y la transforma en inteligencia útil para la toma de decisiones.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Acción</w:t>
            </w:r>
          </w:p>
        </w:tc>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Descripción</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Capturamos</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Información de medios digitales, redes sociales, prensa, radio y televisión</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Procesamos</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Miles de menciones y las organizamos por temas, actores, sentimiento y fuentes</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Indicamos</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Producimos indicadores cuantitativos (volúmenes, tendencias, frecuencias) y cualitativos (sentimiento, narrativas, ejes temáticos)</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Reportamos</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Generamos reportes, boletines, alertas y análisis en múltiples formatos según la necesidad del cliente</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Gestionamos</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Adaptamos la inteligencia producida a las necesidades específicas de cada cliente</w:t>
            </w:r>
          </w:p>
        </w:tc>
      </w:tr>
    </w:tbl>
    <w:p>
      <w:pPr>
        <w:spacing w:after="0" w:before="100"/>
      </w:pPr>
    </w:p>
    <w:p>
      <w:pPr>
        <w:spacing w:after="120" w:line="312"/>
        <w:jc w:val="both"/>
      </w:pPr>
      <w:r>
        <w:rPr>
          <w:rFonts w:ascii="Calibri"/>
          <w:color w:val="333333"/>
          <w:sz w:val="22"/>
          <w:szCs w:val="22"/>
        </w:rPr>
        <w:t xml:space="preserve">Los verbos que la marca debe transmitir son: procesar, transformar, producir, indicar, articular, comprender, gestionar. Los conceptos de vigilancia, espionaje, custodia, protección, defensa o control están completamente fuera de nuestro alcance y no deben estar asociados a la marca bajo ninguna circunstancia.</w:t>
      </w:r>
    </w:p>
    <w:p>
      <w:pPr>
        <w:spacing w:after="0" w:before="100"/>
      </w:pPr>
    </w:p>
    <w:p>
      <w:pPr>
        <w:pStyle w:val="Heading1"/>
        <w:spacing w:after="160" w:before="400"/>
      </w:pPr>
      <w:r>
        <w:rPr>
          <w:rFonts w:ascii="Calibri"/>
          <w:b/>
          <w:bCs/>
          <w:color w:val="0A1628"/>
          <w:sz w:val="32"/>
          <w:szCs w:val="32"/>
        </w:rPr>
        <w:t xml:space="preserve">3. Lo Que No Somos</w:t>
      </w:r>
    </w:p>
    <w:p>
      <w:pPr>
        <w:spacing w:after="120" w:line="312"/>
        <w:jc w:val="both"/>
      </w:pPr>
      <w:r>
        <w:rPr>
          <w:rFonts w:ascii="Calibri"/>
          <w:color w:val="333333"/>
          <w:sz w:val="22"/>
          <w:szCs w:val="22"/>
        </w:rPr>
        <w:t xml:space="preserve">Para evitar confusiones, es igualmente importante definir lo que la marca no debe comunicar. Estas líneas rojas deben respetarse rigurosamente en cualquier propuesta de naming: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Concepto Rechazado</w:t>
            </w:r>
          </w:p>
        </w:tc>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Razón</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Vigilancia / espionaje</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Asociación militar e invasiva; genera desconfianza inmediata</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Seguridad / custodia</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Suena a seguridad física o cibernética, no a procesamiento de información</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Control / dominio</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Tono autoritario y manipulador, opuesto a nuestra filosofía</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Big Brother</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Genera rechazo universal; asociación negativa inmediata</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Gestión de reputación</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Es el modelo de la competencia; nosotros no vendemos imagen</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Manipulación / spin</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Es exactamente lo que nos diferencia de la competencia</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Exclusividad / elite</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Contrario a nuestra posición de accesibilidad democrática</w:t>
            </w:r>
          </w:p>
        </w:tc>
      </w:tr>
    </w:tbl>
    <w:p>
      <w:pPr>
        <w:spacing w:after="0" w:before="100"/>
      </w:pPr>
    </w:p>
    <w:p>
      <w:pPr>
        <w:pStyle w:val="Heading1"/>
        <w:spacing w:after="160" w:before="400"/>
      </w:pPr>
      <w:r>
        <w:rPr>
          <w:rFonts w:ascii="Calibri"/>
          <w:b/>
          <w:bCs/>
          <w:color w:val="0A1628"/>
          <w:sz w:val="32"/>
          <w:szCs w:val="32"/>
        </w:rPr>
        <w:t xml:space="preserve">4. Contexto de Mercado</w:t>
      </w:r>
    </w:p>
    <w:p>
      <w:pPr>
        <w:spacing w:after="120" w:line="312"/>
        <w:jc w:val="both"/>
      </w:pPr>
      <w:r>
        <w:rPr>
          <w:rFonts w:ascii="Calibri"/>
          <w:color w:val="333333"/>
          <w:sz w:val="22"/>
          <w:szCs w:val="22"/>
        </w:rPr>
        <w:t xml:space="preserve">El mercado de monitoreo de medios en Latinoamérica está dominado por empresas internacionales que operan con un enfoque fundamentalmente mercantilista: venden herramientas de gestión de reputación y control de narrativas, principalmente a gobiernos y grandes corporaciones que buscan maquillar su imagen pública o manipular la opinión.</w:t>
      </w:r>
    </w:p>
    <w:p>
      <w:pPr>
        <w:pStyle w:val="Heading2"/>
        <w:spacing w:after="120" w:before="300"/>
      </w:pPr>
      <w:r>
        <w:rPr>
          <w:rFonts w:ascii="Calibri"/>
          <w:b/>
          <w:bCs/>
          <w:color w:val="0A1628"/>
          <w:sz w:val="26"/>
          <w:szCs w:val="26"/>
        </w:rPr>
        <w:t xml:space="preserve">4.1 La Competencia</w:t>
      </w:r>
    </w:p>
    <w:p>
      <w:pPr>
        <w:spacing w:after="120" w:line="312"/>
        <w:jc w:val="both"/>
      </w:pPr>
      <w:r>
        <w:rPr>
          <w:rFonts w:ascii="Calibri"/>
          <w:color w:val="333333"/>
          <w:sz w:val="22"/>
          <w:szCs w:val="22"/>
        </w:rPr>
        <w:t xml:space="preserve">Los principales actores del mercado son plataformas globales como Cision (propietaria de Brandwatch, con costos superiores a $3,000 USD mensuales), Talkwalker (adquirida por Hootsuite, con costos de aproximadamente $27,000 USD anuales), Meltwater y Sprinklr. A nivel regional, destacan Integra Metrics (con presencia en 16 países de Latinoamérica), IPNoticias, Interlat y Exacta Digital. En Bolivia específicamente, existe ToolData.io como offer directa, aunque con un alcance limitado.</w:t>
      </w:r>
    </w:p>
    <w:p>
      <w:pPr>
        <w:spacing w:after="120" w:line="312"/>
        <w:jc w:val="both"/>
      </w:pPr>
      <w:r>
        <w:rPr>
          <w:rFonts w:ascii="Calibri"/>
          <w:color w:val="333333"/>
          <w:sz w:val="22"/>
          <w:szCs w:val="22"/>
        </w:rPr>
        <w:t xml:space="preserve">Todas estas plataformas comparten un modelo común: revenden licencias de tecnología desarrollada en otros países, cobran precios prohibitivos, se enfocan en clientes corporativos y gubernamentales con presupuestos elevados, y venden esencialmente gestión de imagen pública bajo el eufemismo de inteligencia de medios.</w:t>
      </w:r>
    </w:p>
    <w:p>
      <w:pPr>
        <w:pStyle w:val="Heading2"/>
        <w:spacing w:after="120" w:before="300"/>
      </w:pPr>
      <w:r>
        <w:rPr>
          <w:rFonts w:ascii="Calibri"/>
          <w:b/>
          <w:bCs/>
          <w:color w:val="0A1628"/>
          <w:sz w:val="26"/>
          <w:szCs w:val="26"/>
        </w:rPr>
        <w:t xml:space="preserve">4.2 Nuestra Diferenciación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Competencia</w:t>
            </w:r>
          </w:p>
        </w:tc>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Nuestra Posición</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Revenden plataformas extranjeras</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Somos creadores y dueños de nuestra tecnología (Onion200)</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Usan IA genérica entrenada en inglés</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IA propia diseñada para procesar medios en español boliviano</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Cajas negras sin control del procesamiento</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Sistema Onion200: procesamiento por capas, transparente y modificable</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Templates genéricos para Latinoamérica</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Creado desde y para Bolivia con comprensión profunda del ecosistema local</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Dependen del roadmap del proveedor</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Evolucionamos a nuestro ritmo según necesidades de nuestros clientes</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Información procesada en servidores extranjeros</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Soberanía de datos: procesamiento propio</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Gestionan reputación (maquillaje)</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Producimos indicadores objetivos de la realidad mediática</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Precios de $3,000 a $27,000 USD/mes</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Accesible y democrático</w:t>
            </w:r>
          </w:p>
        </w:tc>
      </w:tr>
    </w:tbl>
    <w:p>
      <w:pPr>
        <w:spacing w:after="0" w:before="100"/>
      </w:pPr>
    </w:p>
    <w:p>
      <w:pPr>
        <w:spacing w:after="120" w:line="312"/>
        <w:jc w:val="both"/>
      </w:pPr>
      <w:r>
        <w:rPr>
          <w:rFonts w:ascii="Calibri"/>
          <w:color w:val="333333"/>
          <w:sz w:val="22"/>
          <w:szCs w:val="22"/>
        </w:rPr>
        <w:t xml:space="preserve">El tamaño del mercado de herramientas de social media monitoring en Latinoamérica alcanza los $242.71 millones USD (2024), con un crecimiento anual del 7.4%. No existe actualmente una plataforma boliviana especializada que combine monitoreo tradicional y digital con inteligencia artificial propia. Esta es nuestra oportunidad estratégica.</w:t>
      </w:r>
    </w:p>
    <w:p>
      <w:pPr>
        <w:spacing w:after="0" w:before="100"/>
      </w:pPr>
    </w:p>
    <w:p>
      <w:pPr>
        <w:pStyle w:val="Heading1"/>
        <w:spacing w:after="160" w:before="400"/>
      </w:pPr>
      <w:r>
        <w:rPr>
          <w:rFonts w:ascii="Calibri"/>
          <w:b/>
          <w:bCs/>
          <w:color w:val="0A1628"/>
          <w:sz w:val="32"/>
          <w:szCs w:val="32"/>
        </w:rPr>
        <w:t xml:space="preserve">5. Personalidad de Marca</w:t>
      </w:r>
    </w:p>
    <w:p>
      <w:pPr>
        <w:spacing w:after="120" w:line="312"/>
        <w:jc w:val="both"/>
      </w:pPr>
      <w:r>
        <w:rPr>
          <w:rFonts w:ascii="Calibri"/>
          <w:color w:val="333333"/>
          <w:sz w:val="22"/>
          <w:szCs w:val="22"/>
        </w:rPr>
        <w:t xml:space="preserve">La personalidad de la marca debe reflejar los siguientes atributos, que definen cómo queremos que nos perciban nuestros clientes y el mercado en general: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Atributo</w:t>
            </w:r>
          </w:p>
        </w:tc>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Lo que Sí Es</w:t>
            </w:r>
          </w:p>
        </w:tc>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Lo que No Es</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Innovación</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Vanguardista: IA propia, sistema propio, creadores de tecnología</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Seguidor: revendedor, adaptador, importador</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Tono</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Profesional, tecnológico, moderno, innovador</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Formal y pesado, frío y genérico</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Actitud</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Activa, transformadora, pionera</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Pasiva, reactiva, de observación</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Propiedad</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Creadores y dueños de la solución</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Revendedores o intermediarios</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Saber</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Deep tech, IA, procesamiento por capas</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Superficial, solo dashboards</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Autonomía</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Independientes tecnológicamente</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Dependientes de proveedores extranjeros</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Identidad</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Tecnología boliviana con estándares internacionales</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Solo local o solo importado</w:t>
            </w:r>
          </w:p>
        </w:tc>
      </w:tr>
    </w:tbl>
    <w:p>
      <w:pPr>
        <w:spacing w:after="0" w:before="100"/>
      </w:pPr>
    </w:p>
    <w:p>
      <w:pPr>
        <w:spacing w:after="120" w:line="312"/>
        <w:jc w:val="both"/>
      </w:pPr>
      <w:r>
        <w:rPr>
          <w:rFonts w:ascii="Calibri"/>
          <w:color w:val="333333"/>
          <w:sz w:val="22"/>
          <w:szCs w:val="22"/>
        </w:rPr>
        <w:t xml:space="preserve">Referencias de tono para inspiración (sin copiar): Datadog (plataforma tech moderna, procesamiento, datos), Notion (productividad, inteligencia, flexibilidad), DeepMind (IA propia, investigación seria). El tono debe transmitir confianza tecnológica sin ser frio, modernidad sin ser efimero, y profesionalismo sin ser rígido.</w:t>
      </w:r>
    </w:p>
    <w:p>
      <w:pPr>
        <w:spacing w:after="0" w:before="100"/>
      </w:pPr>
    </w:p>
    <w:p>
      <w:pPr>
        <w:pStyle w:val="Heading1"/>
        <w:spacing w:after="160" w:before="400"/>
      </w:pPr>
      <w:r>
        <w:rPr>
          <w:rFonts w:ascii="Calibri"/>
          <w:b/>
          <w:bCs/>
          <w:color w:val="0A1628"/>
          <w:sz w:val="32"/>
          <w:szCs w:val="32"/>
        </w:rPr>
        <w:t xml:space="preserve">6. Qué la Marca Debe Comunicar</w:t>
      </w:r>
    </w:p>
    <w:p>
      <w:pPr>
        <w:spacing w:after="120" w:line="312"/>
        <w:jc w:val="both"/>
      </w:pPr>
      <w:r>
        <w:rPr>
          <w:rFonts w:ascii="Calibri"/>
          <w:color w:val="333333"/>
          <w:sz w:val="22"/>
          <w:szCs w:val="22"/>
        </w:rPr>
        <w:t xml:space="preserve">La nueva marca debe comunicar, en orden de prioridad, los siguientes conceptos fundamentales:</w:t>
      </w:r>
    </w:p>
    <w:p>
      <w:pPr>
        <w:spacing w:after="100" w:line="312"/>
        <w:jc w:val="both"/>
      </w:pPr>
      <w:r>
        <w:rPr>
          <w:rFonts w:ascii="Calibri"/>
          <w:b/>
          <w:bCs/>
          <w:color w:val="333333"/>
          <w:sz w:val="22"/>
          <w:szCs w:val="22"/>
        </w:rPr>
        <w:t xml:space="preserve">1. Tecnología propia. </w:t>
      </w:r>
      <w:r>
        <w:rPr>
          <w:rFonts w:ascii="Calibri"/>
          <w:color w:val="333333"/>
          <w:sz w:val="22"/>
          <w:szCs w:val="22"/>
        </w:rPr>
        <w:t xml:space="preserve">Creamos y poseemos nuestra solución integral. No somos revendedores ni adaptadores de plataformas ajenas. Esto es un diferenciador masivo en un mercado donde todos revenden lo mismo.</w:t>
      </w:r>
    </w:p>
    <w:p>
      <w:pPr>
        <w:spacing w:after="100" w:line="312"/>
        <w:jc w:val="both"/>
      </w:pPr>
      <w:r>
        <w:rPr>
          <w:rFonts w:ascii="Calibri"/>
          <w:b/>
          <w:bCs/>
          <w:color w:val="333333"/>
          <w:sz w:val="22"/>
          <w:szCs w:val="22"/>
        </w:rPr>
        <w:t xml:space="preserve">2. Inteligencia artificial. </w:t>
      </w:r>
      <w:r>
        <w:rPr>
          <w:rFonts w:ascii="Calibri"/>
          <w:color w:val="333333"/>
          <w:sz w:val="22"/>
          <w:szCs w:val="22"/>
        </w:rPr>
        <w:t xml:space="preserve">IA diseñada y aplicada específicamente para procesar medios de comunicación, no una herramienta genérica adaptada a fuerza.</w:t>
      </w:r>
    </w:p>
    <w:p>
      <w:pPr>
        <w:spacing w:after="100" w:line="312"/>
        <w:jc w:val="both"/>
      </w:pPr>
      <w:r>
        <w:rPr>
          <w:rFonts w:ascii="Calibri"/>
          <w:b/>
          <w:bCs/>
          <w:color w:val="333333"/>
          <w:sz w:val="22"/>
          <w:szCs w:val="22"/>
        </w:rPr>
        <w:t xml:space="preserve">3. Procesamiento por capas. </w:t>
      </w:r>
      <w:r>
        <w:rPr>
          <w:rFonts w:ascii="Calibri"/>
          <w:color w:val="333333"/>
          <w:sz w:val="22"/>
          <w:szCs w:val="22"/>
        </w:rPr>
        <w:t xml:space="preserve">La información se transforma a través de múltiples niveles de inteligencia, cada uno añadiendo valor al anterior.</w:t>
      </w:r>
    </w:p>
    <w:p>
      <w:pPr>
        <w:spacing w:after="100" w:line="312"/>
        <w:jc w:val="both"/>
      </w:pPr>
      <w:r>
        <w:rPr>
          <w:rFonts w:ascii="Calibri"/>
          <w:b/>
          <w:bCs/>
          <w:color w:val="333333"/>
          <w:sz w:val="22"/>
          <w:szCs w:val="22"/>
        </w:rPr>
        <w:t xml:space="preserve">4. Integral: cuantitativo y cualitativo. </w:t>
      </w:r>
      <w:r>
        <w:rPr>
          <w:rFonts w:ascii="Calibri"/>
          <w:color w:val="333333"/>
          <w:sz w:val="22"/>
          <w:szCs w:val="22"/>
        </w:rPr>
        <w:t xml:space="preserve">No solo números. Entregamos tanto indicadores cuantitativos como análisis cualitativo de sentimiento, narrativas y contextos.</w:t>
      </w:r>
    </w:p>
    <w:p>
      <w:pPr>
        <w:spacing w:after="100" w:line="312"/>
        <w:jc w:val="both"/>
      </w:pPr>
      <w:r>
        <w:rPr>
          <w:rFonts w:ascii="Calibri"/>
          <w:b/>
          <w:bCs/>
          <w:color w:val="333333"/>
          <w:sz w:val="22"/>
          <w:szCs w:val="22"/>
        </w:rPr>
        <w:t xml:space="preserve">5. Objetividad. </w:t>
      </w:r>
      <w:r>
        <w:rPr>
          <w:rFonts w:ascii="Calibri"/>
          <w:color w:val="333333"/>
          <w:sz w:val="22"/>
          <w:szCs w:val="22"/>
        </w:rPr>
        <w:t xml:space="preserve">No manipulamos, no vendemos imagen, no hacemos spin. Procesamos información y producimos indicadores objetivos.</w:t>
      </w:r>
    </w:p>
    <w:p>
      <w:pPr>
        <w:spacing w:after="100" w:line="312"/>
        <w:jc w:val="both"/>
      </w:pPr>
      <w:r>
        <w:rPr>
          <w:rFonts w:ascii="Calibri"/>
          <w:b/>
          <w:bCs/>
          <w:color w:val="333333"/>
          <w:sz w:val="22"/>
          <w:szCs w:val="22"/>
        </w:rPr>
        <w:t xml:space="preserve">6. Gestión a medida. </w:t>
      </w:r>
      <w:r>
        <w:rPr>
          <w:rFonts w:ascii="Calibri"/>
          <w:color w:val="333333"/>
          <w:sz w:val="22"/>
          <w:szCs w:val="22"/>
        </w:rPr>
        <w:t xml:space="preserve">Nos adaptamos a las necesidades específicas de cada cliente, no ofrecemos paquetes rígidos.</w:t>
      </w:r>
    </w:p>
    <w:p>
      <w:pPr>
        <w:spacing w:after="100" w:line="312"/>
        <w:jc w:val="both"/>
      </w:pPr>
      <w:r>
        <w:rPr>
          <w:rFonts w:ascii="Calibri"/>
          <w:b/>
          <w:bCs/>
          <w:color w:val="333333"/>
          <w:sz w:val="22"/>
          <w:szCs w:val="22"/>
        </w:rPr>
        <w:t xml:space="preserve">7. Boliviana. </w:t>
      </w:r>
      <w:r>
        <w:rPr>
          <w:rFonts w:ascii="Calibri"/>
          <w:color w:val="333333"/>
          <w:sz w:val="22"/>
          <w:szCs w:val="22"/>
        </w:rPr>
        <w:t xml:space="preserve">Hecho en Bolivia, para Bolivia, con tecnología propia. Entendemos el ecosistema mediático local como nadie.</w:t>
      </w:r>
    </w:p>
    <w:p>
      <w:pPr>
        <w:spacing w:after="100" w:line="312"/>
        <w:jc w:val="both"/>
      </w:pPr>
      <w:r>
        <w:rPr>
          <w:rFonts w:ascii="Calibri"/>
          <w:b/>
          <w:bCs/>
          <w:color w:val="333333"/>
          <w:sz w:val="22"/>
          <w:szCs w:val="22"/>
        </w:rPr>
        <w:t xml:space="preserve">8. Accesible. </w:t>
      </w:r>
      <w:r>
        <w:rPr>
          <w:rFonts w:ascii="Calibri"/>
          <w:color w:val="333333"/>
          <w:sz w:val="22"/>
          <w:szCs w:val="22"/>
        </w:rPr>
        <w:t xml:space="preserve">Democratizamos el acceso a inteligencia de medios. No servimos solo al que puede pagar miles de dólares.</w:t>
      </w:r>
    </w:p>
    <w:p>
      <w:pPr>
        <w:spacing w:after="0" w:before="100"/>
      </w:pPr>
    </w:p>
    <w:p>
      <w:pPr>
        <w:pStyle w:val="Heading1"/>
        <w:spacing w:after="160" w:before="400"/>
      </w:pPr>
      <w:r>
        <w:rPr>
          <w:rFonts w:ascii="Calibri"/>
          <w:b/>
          <w:bCs/>
          <w:color w:val="0A1628"/>
          <w:sz w:val="32"/>
          <w:szCs w:val="32"/>
        </w:rPr>
        <w:t xml:space="preserve">7. Direcciones Conceptuales para el Nombre</w:t>
      </w:r>
    </w:p>
    <w:p>
      <w:pPr>
        <w:spacing w:after="120" w:line="312"/>
        <w:jc w:val="both"/>
      </w:pPr>
      <w:r>
        <w:rPr>
          <w:rFonts w:ascii="Calibri"/>
          <w:color w:val="333333"/>
          <w:sz w:val="22"/>
          <w:szCs w:val="22"/>
        </w:rPr>
        <w:t xml:space="preserve">Proponemos a la agencia explorar las siguientes direcciones conceptuales. No son nombres cerrados sino caminos creativos que pueden generar múltiples opciones: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Dirección</w:t>
            </w:r>
          </w:p>
        </w:tc>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Concepto</w:t>
            </w:r>
          </w:p>
        </w:tc>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Verbos Asociados</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Procesamiento por capas</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Información que se transforma a través de niveles sucesivos de inteligencia</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Procesar, transformar, refinar, destilar</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IA y transformación</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Datos que se convierten en inteligencia mediante algoritmos</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Convertir, aprender, evolucionar, inferir</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Síntesis inteligente</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Múltiples fuentes procesadas en un producto coherente y útil</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Sintetizar, condensar, integrar, converger</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Arquitectura de datos</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Sistema estructurado, construido con propósito y diseño</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Construir, articular, estructurar, organizar</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Medición inteligente</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Cifras con contexto, indicadores con narrativa, datos que cuentan historias</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Medir, cuantificar, cualificar, indicar</w:t>
            </w:r>
          </w:p>
        </w:tc>
      </w:tr>
    </w:tbl>
    <w:p>
      <w:pPr>
        <w:spacing w:after="0" w:before="100"/>
      </w:pPr>
    </w:p>
    <w:p>
      <w:pPr>
        <w:pStyle w:val="Heading1"/>
        <w:spacing w:after="160" w:before="400"/>
      </w:pPr>
      <w:r>
        <w:rPr>
          <w:rFonts w:ascii="Calibri"/>
          <w:b/>
          <w:bCs/>
          <w:color w:val="0A1628"/>
          <w:sz w:val="32"/>
          <w:szCs w:val="32"/>
        </w:rPr>
        <w:t xml:space="preserve">8. Requisitos Técnicos del Nombre</w:t>
      </w:r>
    </w:p>
    <w:p>
      <w:pPr>
        <w:spacing w:after="120" w:line="312"/>
        <w:jc w:val="both"/>
      </w:pPr>
      <w:r>
        <w:rPr>
          <w:rFonts w:ascii="Calibri"/>
          <w:color w:val="333333"/>
          <w:sz w:val="22"/>
          <w:szCs w:val="22"/>
        </w:rPr>
        <w:t xml:space="preserve">El nombre debe cumplir con los siguientes requisitos técnicos y funcionales:</w:t>
      </w:r>
    </w:p>
    <w:p>
      <w:pPr>
        <w:spacing w:after="60" w:line="312"/>
        <w:ind w:left="600"/>
      </w:pPr>
      <w:r>
        <w:rPr>
          <w:rFonts w:ascii="Calibri"/>
          <w:color w:val="37DCF2"/>
          <w:sz w:val="22"/>
          <w:szCs w:val="22"/>
        </w:rPr>
        <w:t xml:space="preserve">•  </w:t>
      </w:r>
      <w:r>
        <w:rPr>
          <w:rFonts w:ascii="Calibri"/>
          <w:color w:val="333333"/>
          <w:sz w:val="22"/>
          <w:szCs w:val="22"/>
        </w:rPr>
        <w:t xml:space="preserve">De preferencia una sola palabra (máximo dos)</w:t>
      </w:r>
    </w:p>
    <w:p>
      <w:pPr>
        <w:spacing w:after="60" w:line="312"/>
        <w:ind w:left="600"/>
      </w:pPr>
      <w:r>
        <w:rPr>
          <w:rFonts w:ascii="Calibri"/>
          <w:color w:val="37DCF2"/>
          <w:sz w:val="22"/>
          <w:szCs w:val="22"/>
        </w:rPr>
        <w:t xml:space="preserve">•  </w:t>
      </w:r>
      <w:r>
        <w:rPr>
          <w:rFonts w:ascii="Calibri"/>
          <w:color w:val="333333"/>
          <w:sz w:val="22"/>
          <w:szCs w:val="22"/>
        </w:rPr>
        <w:t xml:space="preserve">Corto: entre 4 y 8 letras idealmente</w:t>
      </w:r>
    </w:p>
    <w:p>
      <w:pPr>
        <w:spacing w:after="60" w:line="312"/>
        <w:ind w:left="600"/>
      </w:pPr>
      <w:r>
        <w:rPr>
          <w:rFonts w:ascii="Calibri"/>
          <w:color w:val="37DCF2"/>
          <w:sz w:val="22"/>
          <w:szCs w:val="22"/>
        </w:rPr>
        <w:t xml:space="preserve">•  </w:t>
      </w:r>
      <w:r>
        <w:rPr>
          <w:rFonts w:ascii="Calibri"/>
          <w:color w:val="333333"/>
          <w:sz w:val="22"/>
          <w:szCs w:val="22"/>
        </w:rPr>
        <w:t xml:space="preserve">Fácil de pronunciar en español</w:t>
      </w:r>
    </w:p>
    <w:p>
      <w:pPr>
        <w:spacing w:after="60" w:line="312"/>
        <w:ind w:left="600"/>
      </w:pPr>
      <w:r>
        <w:rPr>
          <w:rFonts w:ascii="Calibri"/>
          <w:color w:val="37DCF2"/>
          <w:sz w:val="22"/>
          <w:szCs w:val="22"/>
        </w:rPr>
        <w:t xml:space="preserve">•  </w:t>
      </w:r>
      <w:r>
        <w:rPr>
          <w:rFonts w:ascii="Calibri"/>
          <w:color w:val="333333"/>
          <w:sz w:val="22"/>
          <w:szCs w:val="22"/>
        </w:rPr>
        <w:t xml:space="preserve">Visualizable como logotipo (compatible con el logo actual)</w:t>
      </w:r>
    </w:p>
    <w:p>
      <w:pPr>
        <w:spacing w:after="60" w:line="312"/>
        <w:ind w:left="600"/>
      </w:pPr>
      <w:r>
        <w:rPr>
          <w:rFonts w:ascii="Calibri"/>
          <w:color w:val="37DCF2"/>
          <w:sz w:val="22"/>
          <w:szCs w:val="22"/>
        </w:rPr>
        <w:t xml:space="preserve">•  </w:t>
      </w:r>
      <w:r>
        <w:rPr>
          <w:rFonts w:ascii="Calibri"/>
          <w:color w:val="333333"/>
          <w:sz w:val="22"/>
          <w:szCs w:val="22"/>
        </w:rPr>
        <w:t xml:space="preserve">Sonido tech/moderno pero no genérico</w:t>
      </w:r>
    </w:p>
    <w:p>
      <w:pPr>
        <w:spacing w:after="60" w:line="312"/>
        <w:ind w:left="600"/>
      </w:pPr>
      <w:r>
        <w:rPr>
          <w:rFonts w:ascii="Calibri"/>
          <w:color w:val="37DCF2"/>
          <w:sz w:val="22"/>
          <w:szCs w:val="22"/>
        </w:rPr>
        <w:t xml:space="preserve">•  </w:t>
      </w:r>
      <w:r>
        <w:rPr>
          <w:rFonts w:ascii="Calibri"/>
          <w:color w:val="333333"/>
          <w:sz w:val="22"/>
          <w:szCs w:val="22"/>
        </w:rPr>
        <w:t xml:space="preserve">Debe funcionar como nombre de app y como nombre de empresa</w:t>
      </w:r>
    </w:p>
    <w:p>
      <w:pPr>
        <w:spacing w:after="60" w:line="312"/>
        <w:ind w:left="600"/>
      </w:pPr>
      <w:r>
        <w:rPr>
          <w:rFonts w:ascii="Calibri"/>
          <w:color w:val="37DCF2"/>
          <w:sz w:val="22"/>
          <w:szCs w:val="22"/>
        </w:rPr>
        <w:t xml:space="preserve">•  </w:t>
      </w:r>
      <w:r>
        <w:rPr>
          <w:rFonts w:ascii="Calibri"/>
          <w:color w:val="333333"/>
          <w:sz w:val="22"/>
          <w:szCs w:val="22"/>
        </w:rPr>
        <w:t xml:space="preserve">Que no contenga la palabra Connect ni ninguna variante</w:t>
      </w:r>
    </w:p>
    <w:p>
      <w:pPr>
        <w:spacing w:after="60" w:line="312"/>
        <w:ind w:left="600"/>
      </w:pPr>
      <w:r>
        <w:rPr>
          <w:rFonts w:ascii="Calibri"/>
          <w:color w:val="37DCF2"/>
          <w:sz w:val="22"/>
          <w:szCs w:val="22"/>
        </w:rPr>
        <w:t xml:space="preserve">•  </w:t>
      </w:r>
      <w:r>
        <w:rPr>
          <w:rFonts w:ascii="Calibri"/>
          <w:color w:val="333333"/>
          <w:sz w:val="22"/>
          <w:szCs w:val="22"/>
        </w:rPr>
        <w:t xml:space="preserve">Que no evoque conceptos militares, de vigilancia o de seguridad</w:t>
      </w:r>
    </w:p>
    <w:p>
      <w:pPr>
        <w:spacing w:after="60" w:line="312"/>
        <w:ind w:left="600"/>
      </w:pPr>
      <w:r>
        <w:rPr>
          <w:rFonts w:ascii="Calibri"/>
          <w:color w:val="37DCF2"/>
          <w:sz w:val="22"/>
          <w:szCs w:val="22"/>
        </w:rPr>
        <w:t xml:space="preserve">•  </w:t>
      </w:r>
      <w:r>
        <w:rPr>
          <w:rFonts w:ascii="Calibri"/>
          <w:color w:val="333333"/>
          <w:sz w:val="22"/>
          <w:szCs w:val="22"/>
        </w:rPr>
        <w:t xml:space="preserve">Que no sea un nombre genérico del sector (no Data, no Info, no Media como único componente)</w:t>
      </w:r>
    </w:p>
    <w:p>
      <w:pPr>
        <w:spacing w:after="60" w:line="312"/>
        <w:ind w:left="600"/>
      </w:pPr>
      <w:r>
        <w:rPr>
          <w:rFonts w:ascii="Calibri"/>
          <w:color w:val="37DCF2"/>
          <w:sz w:val="22"/>
          <w:szCs w:val="22"/>
        </w:rPr>
        <w:t xml:space="preserve">•  </w:t>
      </w:r>
      <w:r>
        <w:rPr>
          <w:rFonts w:ascii="Calibri"/>
          <w:color w:val="333333"/>
          <w:sz w:val="22"/>
          <w:szCs w:val="22"/>
        </w:rPr>
        <w:t xml:space="preserve">Preferiblemente que funcione tanto en español como en contextos internacionales</w:t>
      </w:r>
    </w:p>
    <w:p>
      <w:pPr>
        <w:spacing w:after="60" w:line="312"/>
        <w:ind w:left="600"/>
      </w:pPr>
      <w:r>
        <w:rPr>
          <w:rFonts w:ascii="Calibri"/>
          <w:color w:val="37DCF2"/>
          <w:sz w:val="22"/>
          <w:szCs w:val="22"/>
        </w:rPr>
        <w:t xml:space="preserve">•  </w:t>
      </w:r>
      <w:r>
        <w:rPr>
          <w:rFonts w:ascii="Calibri"/>
          <w:color w:val="333333"/>
          <w:sz w:val="22"/>
          <w:szCs w:val="22"/>
        </w:rPr>
        <w:t xml:space="preserve">Que conviva armónicamente con Onion200 como nombre del sistema técnico</w:t>
      </w:r>
    </w:p>
    <w:p>
      <w:pPr>
        <w:spacing w:after="0" w:before="100"/>
      </w:pPr>
    </w:p>
    <w:p>
      <w:pPr>
        <w:spacing w:after="120" w:line="312"/>
        <w:jc w:val="both"/>
      </w:pPr>
      <w:r>
        <w:rPr>
          <w:rFonts w:ascii="Calibri"/>
          <w:color w:val="333333"/>
          <w:sz w:val="22"/>
          <w:szCs w:val="22"/>
        </w:rPr>
        <w:t xml:space="preserve">La relación entre la marca comercial y el sistema técnico sería: la marca comercial identifica la empresa y el producto frente al cliente final, mientras que Onion200 funciona como el nombre del motor de procesamiento interno. Ejemplo de convivencia: Procesado por Onion200, la inteligencia artificial de [Nombre de Marca].</w:t>
      </w:r>
    </w:p>
    <w:p>
      <w:pPr>
        <w:spacing w:after="0" w:before="100"/>
      </w:pPr>
    </w:p>
    <w:p>
      <w:pPr>
        <w:pStyle w:val="Heading1"/>
        <w:spacing w:after="160" w:before="400"/>
      </w:pPr>
      <w:r>
        <w:rPr>
          <w:rFonts w:ascii="Calibri"/>
          <w:b/>
          <w:bCs/>
          <w:color w:val="0A1628"/>
          <w:sz w:val="32"/>
          <w:szCs w:val="32"/>
        </w:rPr>
        <w:t xml:space="preserve">9. Público Objetivo</w:t>
      </w:r>
    </w:p>
    <w:p>
      <w:pPr>
        <w:spacing w:after="120" w:line="312"/>
        <w:jc w:val="both"/>
      </w:pPr>
      <w:r>
        <w:rPr>
          <w:rFonts w:ascii="Calibri"/>
          <w:color w:val="333333"/>
          <w:sz w:val="22"/>
          <w:szCs w:val="22"/>
        </w:rPr>
        <w:t xml:space="preserve">La marca debe resonar con los siguientes segmentos de cliente: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Segmento</w:t>
            </w:r>
          </w:p>
        </w:tc>
        <w:tc>
          <w:tcPr>
            <w:tcBorders>
              <w:top w:val="single" w:color="FFFFFF" w:sz="2"/>
              <w:left w:val="none" w:color="FFFFFF" w:sz="0"/>
              <w:bottom w:val="single" w:color="FFFFFF" w:sz="2"/>
              <w:right w:val="none" w:color="FFFFFF" w:sz="0"/>
            </w:tcBorders>
            <w:shd w:fill="0A1628" w:val="clear"/>
            <w:tcMar>
              <w:top w:type="dxa" w:w="60"/>
              <w:left w:type="dxa" w:w="120"/>
              <w:bottom w:type="dxa" w:w="60"/>
              <w:right w:type="dxa" w:w="120"/>
            </w:tcMar>
          </w:tcPr>
          <w:p>
            <w:pPr>
              <w:jc w:val="center"/>
            </w:pPr>
            <w:r>
              <w:rPr>
                <w:rFonts w:ascii="Calibri"/>
                <w:b/>
                <w:bCs/>
                <w:color w:val="FFFFFF"/>
                <w:sz w:val="20"/>
                <w:szCs w:val="20"/>
              </w:rPr>
              <w:t xml:space="preserve">Descripción</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Gobierno</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Instituciones que necesitan comprender su presencia mediática real de forma objetiva</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Empresas</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Organizaciones que requieren inteligencia de mercado y percepción para tomar decisiones</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ONGs y Cooperación</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Organizaciones que monitorean temas específicos (medio ambiente, derechos, transparencia)</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Medios de comunicación</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Medios que necesitan entender el ecosistema mediático completo</w:t>
            </w:r>
          </w:p>
        </w:tc>
      </w:tr>
      <w:tr>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Consultoras</w:t>
            </w:r>
          </w:p>
        </w:tc>
        <w:tc>
          <w:tcPr>
            <w:tcBorders>
              <w:top w:val="none" w:color="FFFFFF" w:sz="0"/>
              <w:left w:val="none" w:color="FFFFFF" w:sz="0"/>
              <w:bottom w:val="single" w:color="D0D8E0" w:sz="1"/>
              <w:right w:val="none" w:color="FFFFFF" w:sz="0"/>
            </w:tcBorders>
            <w:shd w:fill="F4F8FC" w:val="clear"/>
            <w:tcMar>
              <w:top w:type="dxa" w:w="50"/>
              <w:left w:type="dxa" w:w="120"/>
              <w:bottom w:type="dxa" w:w="50"/>
              <w:right w:type="dxa" w:w="120"/>
            </w:tcMar>
          </w:tcPr>
          <w:p>
            <w:pPr>
              <w:spacing w:line="300"/>
            </w:pPr>
            <w:r>
              <w:rPr>
                <w:rFonts w:ascii="Calibri"/>
                <w:color w:val="333333"/>
                <w:sz w:val="20"/>
                <w:szCs w:val="20"/>
              </w:rPr>
              <w:t xml:space="preserve">Firmas que necesitan inteligencia operativa para sus propios clientes</w:t>
            </w:r>
          </w:p>
        </w:tc>
      </w:tr>
      <w:tr>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Campañas políticas</w:t>
            </w:r>
          </w:p>
        </w:tc>
        <w:tc>
          <w:tcPr>
            <w:tcBorders>
              <w:top w:val="none" w:color="FFFFFF" w:sz="0"/>
              <w:left w:val="none" w:color="FFFFFF" w:sz="0"/>
              <w:bottom w:val="single" w:color="D0D8E0" w:sz="1"/>
              <w:right w:val="none" w:color="FFFFFF" w:sz="0"/>
            </w:tcBorders>
            <w:shd w:fill="FFFFFF" w:val="clear"/>
            <w:tcMar>
              <w:top w:type="dxa" w:w="50"/>
              <w:left w:type="dxa" w:w="120"/>
              <w:bottom w:type="dxa" w:w="50"/>
              <w:right w:type="dxa" w:w="120"/>
            </w:tcMar>
          </w:tcPr>
          <w:p>
            <w:pPr>
              <w:spacing w:line="300"/>
            </w:pPr>
            <w:r>
              <w:rPr>
                <w:rFonts w:ascii="Calibri"/>
                <w:color w:val="333333"/>
                <w:sz w:val="20"/>
                <w:szCs w:val="20"/>
              </w:rPr>
              <w:t xml:space="preserve">Equipos que necesitan indicadores objetivos de cobertura y percepción</w:t>
            </w:r>
          </w:p>
        </w:tc>
      </w:tr>
    </w:tbl>
    <w:p>
      <w:pPr>
        <w:spacing w:after="0" w:before="100"/>
      </w:pPr>
    </w:p>
    <w:p>
      <w:pPr>
        <w:pStyle w:val="Heading1"/>
        <w:spacing w:after="160" w:before="400"/>
      </w:pPr>
      <w:r>
        <w:rPr>
          <w:rFonts w:ascii="Calibri"/>
          <w:b/>
          <w:bCs/>
          <w:color w:val="0A1628"/>
          <w:sz w:val="32"/>
          <w:szCs w:val="32"/>
        </w:rPr>
        <w:t xml:space="preserve">10. Entregables Esperados</w:t>
      </w:r>
    </w:p>
    <w:p>
      <w:pPr>
        <w:spacing w:after="120" w:line="312"/>
        <w:jc w:val="both"/>
      </w:pPr>
      <w:r>
        <w:rPr>
          <w:rFonts w:ascii="Calibri"/>
          <w:color w:val="333333"/>
          <w:sz w:val="22"/>
          <w:szCs w:val="22"/>
        </w:rPr>
        <w:t xml:space="preserve">Para esta primera fase, centrada exclusivamente en el desarrollo del nombre, esperamos los siguientes entregables de la agencia:</w:t>
      </w:r>
    </w:p>
    <w:p>
      <w:pPr>
        <w:spacing w:after="100" w:line="312"/>
        <w:jc w:val="both"/>
      </w:pPr>
      <w:r>
        <w:rPr>
          <w:rFonts w:ascii="Calibri"/>
          <w:b/>
          <w:bCs/>
          <w:color w:val="333333"/>
          <w:sz w:val="22"/>
          <w:szCs w:val="22"/>
        </w:rPr>
        <w:t xml:space="preserve">Propuesta de naming. </w:t>
      </w:r>
      <w:r>
        <w:rPr>
          <w:rFonts w:ascii="Calibri"/>
          <w:color w:val="333333"/>
          <w:sz w:val="22"/>
          <w:szCs w:val="22"/>
        </w:rPr>
        <w:t xml:space="preserve">Mínimo 5 opciones de nombre con justificación estratégica de cada una. Cada propuesta debe incluir: concepto que comunica, por qué funciona para nuestro producto, qué lo diferencia de la competencia, y potencial visual del nombre.</w:t>
      </w:r>
    </w:p>
    <w:p>
      <w:pPr>
        <w:spacing w:after="100" w:line="312"/>
        <w:jc w:val="both"/>
      </w:pPr>
      <w:r>
        <w:rPr>
          <w:rFonts w:ascii="Calibri"/>
          <w:b/>
          <w:bCs/>
          <w:color w:val="333333"/>
          <w:sz w:val="22"/>
          <w:szCs w:val="22"/>
        </w:rPr>
        <w:t xml:space="preserve">Verificación de disponibilidad. </w:t>
      </w:r>
      <w:r>
        <w:rPr>
          <w:rFonts w:ascii="Calibri"/>
          <w:color w:val="333333"/>
          <w:sz w:val="22"/>
          <w:szCs w:val="22"/>
        </w:rPr>
        <w:t xml:space="preserve">Búsqueda preliminar de marcas similares o idénticas registradas en SENAPI (Bolivia), así como verificación de disponibilidad de dominios (.bo, .com.bo, .com) y redes sociales relevantes.</w:t>
      </w:r>
    </w:p>
    <w:p>
      <w:pPr>
        <w:spacing w:after="100" w:line="312"/>
        <w:jc w:val="both"/>
      </w:pPr>
      <w:r>
        <w:rPr>
          <w:rFonts w:ascii="Calibri"/>
          <w:b/>
          <w:bCs/>
          <w:color w:val="333333"/>
          <w:sz w:val="22"/>
          <w:szCs w:val="22"/>
        </w:rPr>
        <w:t xml:space="preserve">Tagline. </w:t>
      </w:r>
      <w:r>
        <w:rPr>
          <w:rFonts w:ascii="Calibri"/>
          <w:color w:val="333333"/>
          <w:sz w:val="22"/>
          <w:szCs w:val="22"/>
        </w:rPr>
        <w:t xml:space="preserve">Propuesta de eslogan o descripción corta en español (una línea) que acompañe al nombre y refuerce el posicionamiento.</w:t>
      </w:r>
    </w:p>
    <w:p>
      <w:pPr>
        <w:spacing w:after="0" w:before="100"/>
      </w:pPr>
    </w:p>
    <w:p>
      <w:pPr>
        <w:pStyle w:val="Heading1"/>
        <w:spacing w:after="160" w:before="400"/>
      </w:pPr>
      <w:r>
        <w:rPr>
          <w:rFonts w:ascii="Calibri"/>
          <w:b/>
          <w:bCs/>
          <w:color w:val="0A1628"/>
          <w:sz w:val="32"/>
          <w:szCs w:val="32"/>
        </w:rPr>
        <w:t xml:space="preserve">11. Referencia para Fases Futuras</w:t>
      </w:r>
    </w:p>
    <w:p>
      <w:pPr>
        <w:spacing w:after="120" w:line="312"/>
        <w:jc w:val="both"/>
      </w:pPr>
      <w:r>
        <w:rPr>
          <w:rFonts w:ascii="Calibri"/>
          <w:color w:val="333333"/>
          <w:sz w:val="22"/>
          <w:szCs w:val="22"/>
        </w:rPr>
        <w:t xml:space="preserve">Lo que sigue a continuación no forma parte del alcance de esta solicitud. Se incluye únicamente como contexto para que la agencia entienda la visión completa del proyecto y pueda proponer nombres que tengan potencial de crecimiento con la marca a futuro:</w:t>
      </w:r>
    </w:p>
    <w:p>
      <w:pPr>
        <w:spacing w:after="60" w:line="312"/>
        <w:ind w:left="600"/>
      </w:pPr>
      <w:r>
        <w:rPr>
          <w:rFonts w:ascii="Calibri"/>
          <w:color w:val="37DCF2"/>
          <w:sz w:val="22"/>
          <w:szCs w:val="22"/>
        </w:rPr>
        <w:t xml:space="preserve">•  </w:t>
      </w:r>
      <w:r>
        <w:rPr>
          <w:rFonts w:ascii="Calibri"/>
          <w:color w:val="333333"/>
          <w:sz w:val="22"/>
          <w:szCs w:val="22"/>
        </w:rPr>
        <w:t xml:space="preserve">Desarrollo completo de identidad visual (paleta cromática extendida, tipografía, elementográfico)</w:t>
      </w:r>
    </w:p>
    <w:p>
      <w:pPr>
        <w:spacing w:after="60" w:line="312"/>
        <w:ind w:left="600"/>
      </w:pPr>
      <w:r>
        <w:rPr>
          <w:rFonts w:ascii="Calibri"/>
          <w:color w:val="37DCF2"/>
          <w:sz w:val="22"/>
          <w:szCs w:val="22"/>
        </w:rPr>
        <w:t xml:space="preserve">•  </w:t>
      </w:r>
      <w:r>
        <w:rPr>
          <w:rFonts w:ascii="Calibri"/>
          <w:color w:val="333333"/>
          <w:sz w:val="22"/>
          <w:szCs w:val="22"/>
        </w:rPr>
        <w:t xml:space="preserve">Manual de marca completo con reglas de uso correcto e incorrecto</w:t>
      </w:r>
    </w:p>
    <w:p>
      <w:pPr>
        <w:spacing w:after="60" w:line="312"/>
        <w:ind w:left="600"/>
      </w:pPr>
      <w:r>
        <w:rPr>
          <w:rFonts w:ascii="Calibri"/>
          <w:color w:val="37DCF2"/>
          <w:sz w:val="22"/>
          <w:szCs w:val="22"/>
        </w:rPr>
        <w:t xml:space="preserve">•  </w:t>
      </w:r>
      <w:r>
        <w:rPr>
          <w:rFonts w:ascii="Calibri"/>
          <w:color w:val="333333"/>
          <w:sz w:val="22"/>
          <w:szCs w:val="22"/>
        </w:rPr>
        <w:t xml:space="preserve">Aplicaciones: plataforma SaaS, reportes en PDF, redes sociales, presentaciones comerciales</w:t>
      </w:r>
    </w:p>
    <w:p>
      <w:pPr>
        <w:spacing w:after="60" w:line="312"/>
        <w:ind w:left="600"/>
      </w:pPr>
      <w:r>
        <w:rPr>
          <w:rFonts w:ascii="Calibri"/>
          <w:color w:val="37DCF2"/>
          <w:sz w:val="22"/>
          <w:szCs w:val="22"/>
        </w:rPr>
        <w:t xml:space="preserve">•  </w:t>
      </w:r>
      <w:r>
        <w:rPr>
          <w:rFonts w:ascii="Calibri"/>
          <w:color w:val="333333"/>
          <w:sz w:val="22"/>
          <w:szCs w:val="22"/>
        </w:rPr>
        <w:t xml:space="preserve">Plantillas de documentos comerciales con la nueva identidad</w:t>
      </w:r>
    </w:p>
    <w:p>
      <w:pPr>
        <w:spacing w:after="60" w:line="312"/>
        <w:ind w:left="600"/>
      </w:pPr>
      <w:r>
        <w:rPr>
          <w:rFonts w:ascii="Calibri"/>
          <w:color w:val="37DCF2"/>
          <w:sz w:val="22"/>
          <w:szCs w:val="22"/>
        </w:rPr>
        <w:t xml:space="preserve">•  </w:t>
      </w:r>
      <w:r>
        <w:rPr>
          <w:rFonts w:ascii="Calibri"/>
          <w:color w:val="333333"/>
          <w:sz w:val="22"/>
          <w:szCs w:val="22"/>
        </w:rPr>
        <w:t xml:space="preserve">Estrategia de comunicación del rebranding</w:t>
      </w:r>
    </w:p>
    <w:p>
      <w:pPr>
        <w:spacing w:after="60" w:line="312"/>
        <w:ind w:left="600"/>
      </w:pPr>
      <w:r>
        <w:rPr>
          <w:rFonts w:ascii="Calibri"/>
          <w:color w:val="37DCF2"/>
          <w:sz w:val="22"/>
          <w:szCs w:val="22"/>
        </w:rPr>
        <w:t xml:space="preserve">•  </w:t>
      </w:r>
      <w:r>
        <w:rPr>
          <w:rFonts w:ascii="Calibri"/>
          <w:color w:val="333333"/>
          <w:sz w:val="22"/>
          <w:szCs w:val="22"/>
        </w:rPr>
        <w:t xml:space="preserve">Diseño de materiales de lanzamiento</w:t>
      </w:r>
    </w:p>
    <w:p>
      <w:pPr>
        <w:spacing w:after="120" w:line="312"/>
        <w:jc w:val="both"/>
      </w:pPr>
      <w:r>
        <w:rPr>
          <w:rFonts w:ascii="Calibri"/>
          <w:color w:val="333333"/>
          <w:sz w:val="22"/>
          <w:szCs w:val="22"/>
        </w:rPr>
        <w:t xml:space="preserve">El logotipo actual se mantiene como definitivo. Cualquier futura evolución de la identidad visual deberá convivir armoniosamente con él.</w:t>
      </w:r>
    </w:p>
    <w:p>
      <w:pPr>
        <w:spacing w:after="0" w:before="100"/>
      </w:pP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999999"/>
        <w:sz w:val="16"/>
        <w:szCs w:val="16"/>
      </w:rPr>
      <w:t xml:space="preserve">Brief de Naming  |  CONFIDENCIAL  |  </w:t>
    </w:r>
    <w:r>
      <w:rPr>
        <w:rFonts w:asci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333333"/>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2026-05-02T20:11:47.211Z</dcterms:created>
  <dcterms:modified xsi:type="dcterms:W3CDTF">2026-05-02T20:11:47.211Z</dcterms:modified>
</cp:coreProperties>
</file>

<file path=docProps/custom.xml><?xml version="1.0" encoding="utf-8"?>
<Properties xmlns="http://schemas.openxmlformats.org/officeDocument/2006/custom-properties" xmlns:vt="http://schemas.openxmlformats.org/officeDocument/2006/docPropsVTypes"/>
</file>