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before="600" w:line="600"/>
        <w:jc w:val="left"/>
      </w:pPr>
      <w:r>
        <w:rPr>
          <w:rFonts w:ascii="Calibri" w:cs="Calibri" w:eastAsia="Calibri" w:hAnsi="Calibri"/>
          <w:b/>
          <w:bCs/>
          <w:color w:val="FFFFFF"/>
          <w:sz w:val="56"/>
          <w:szCs w:val="56"/>
        </w:rPr>
        <w:t xml:space="preserve">DECODEX Bolivia</w:t>
      </w:r>
    </w:p>
    <w:p>
      <w:pPr>
        <w:spacing w:after="300" w:line="500"/>
        <w:jc w:val="left"/>
      </w:pPr>
      <w:r>
        <w:rPr>
          <w:rFonts w:ascii="Calibri" w:cs="Calibri" w:eastAsia="Calibri" w:hAnsi="Calibri"/>
          <w:b/>
          <w:bCs/>
          <w:color w:val="529286"/>
          <w:sz w:val="36"/>
          <w:szCs w:val="36"/>
        </w:rPr>
        <w:t xml:space="preserve">ONION200</w:t>
      </w:r>
    </w:p>
    <w:p>
      <w:pPr>
        <w:pBdr>
          <w:bottom w:val="single" w:color="529286" w:sz="6" w:space="12"/>
        </w:pBdr>
        <w:spacing w:after="100" w:line="400"/>
        <w:ind w:left="200"/>
      </w:pPr>
    </w:p>
    <w:p>
      <w:pPr>
        <w:spacing w:after="200" w:before="400" w:line="312"/>
        <w:jc w:val="left"/>
      </w:pPr>
      <w:r>
        <w:rPr>
          <w:rFonts w:ascii="Calibri" w:cs="Calibri" w:eastAsia="Calibri" w:hAnsi="Calibri"/>
          <w:color w:val="FFFFFF"/>
          <w:sz w:val="36"/>
          <w:szCs w:val="36"/>
        </w:rPr>
        <w:t xml:space="preserve">Arquitectura de Ejes Tematicos v2.0</w:t>
      </w:r>
    </w:p>
    <w:p>
      <w:pPr>
        <w:spacing w:after="100" w:line="312"/>
        <w:jc w:val="left"/>
      </w:pPr>
      <w:r>
        <w:rPr>
          <w:rFonts w:ascii="Calibri" w:cs="Calibri" w:eastAsia="Calibri" w:hAnsi="Calibri"/>
          <w:color w:val="B0B8C0"/>
          <w:sz w:val="24"/>
          <w:szCs w:val="24"/>
        </w:rPr>
        <w:t xml:space="preserve">Modelo Multi-Eje con Determinantes Sociales, Lentes Transversales y Reclasificacion</w:t>
      </w:r>
    </w:p>
    <w:p>
      <w:pPr>
        <w:spacing w:after="60" w:before="2000" w:line="312"/>
        <w:jc w:val="left"/>
      </w:pPr>
      <w:r>
        <w:rPr>
          <w:rFonts w:ascii="Calibri" w:cs="Calibri" w:eastAsia="Calibri" w:hAnsi="Calibri"/>
          <w:color w:val="90989F"/>
          <w:sz w:val="20"/>
          <w:szCs w:val="20"/>
        </w:rPr>
        <w:t xml:space="preserve">Documento de Arquitectura de Producto</w:t>
      </w:r>
    </w:p>
    <w:p>
      <w:pPr>
        <w:spacing w:after="60" w:line="312"/>
        <w:jc w:val="left"/>
      </w:pPr>
      <w:r>
        <w:rPr>
          <w:rFonts w:ascii="Calibri" w:cs="Calibri" w:eastAsia="Calibri" w:hAnsi="Calibri"/>
          <w:color w:val="90989F"/>
          <w:sz w:val="20"/>
          <w:szCs w:val="20"/>
        </w:rPr>
        <w:t xml:space="preserve">Junio 2026</w:t>
      </w:r>
    </w:p>
    <w:p>
      <w:pPr>
        <w:spacing w:after="60" w:line="312"/>
        <w:jc w:val="left"/>
      </w:pPr>
      <w:r>
        <w:rPr>
          <w:rFonts w:ascii="Calibri" w:cs="Calibri" w:eastAsia="Calibri" w:hAnsi="Calibri"/>
          <w:color w:val="687078"/>
          <w:sz w:val="18"/>
          <w:szCs w:val="18"/>
        </w:rPr>
        <w:t xml:space="preserve">Version 2.0 — Revision integral con investigacion de campo</w:t>
      </w:r>
    </w:p>
    <w:p>
      <w:pPr>
        <w:sectPr>
          <w:pgSz w:w="11906" w:h="16838" w:orient="portrait"/>
          <w:pgMar w:top="0" w:right="0" w:bottom="0" w:left="0" w:header="708" w:footer="708" w:gutter="0"/>
          <w:pgNumType/>
          <w:docGrid w:linePitch="360"/>
        </w:sectPr>
      </w:pPr>
    </w:p>
    <w:p>
      <w:pPr>
        <w:spacing w:after="200"/>
      </w:pPr>
      <w:r>
        <w:rPr>
          <w:rFonts w:ascii="Calibri" w:cs="Calibri" w:eastAsia="Calibri" w:hAnsi="Calibri"/>
          <w:b/>
          <w:bCs/>
          <w:color w:val="0B1C2C"/>
          <w:sz w:val="32"/>
          <w:szCs w:val="32"/>
        </w:rPr>
        <w:t xml:space="preserve">Tabla de Contenidos</w:t>
      </w:r>
    </w:p>
    <w:sdt>
      <w:sdtPr>
        <w:alias w:val="Tabla de Contenido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Diagnostico del Estado Actual</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Problemas estructurales identificados</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1.2 El patron sistematico de errores</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2. Principios Epistemologicos Fundacionales</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2.1 Marco constitucional</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2.2 Principios rectores</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Modelo Multi-Eje: Arquitectura Propuesta</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3.1 Del mono-eje al multi-eje</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3.2 Controles de ruido</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3.3 Ejes estructurales vs. Lentes transversales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3.4 Ejemplo de clasificacion multi-eje</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4. Tabla Maestra de Ejes Tematicos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Dominio 1: Hidrocarburos y Energia</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Dominio 2: Economia y Modelo de Desarrollo</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Dominio 3: Salud y Determinantes Sociales</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Dominio 4: Mineria y Metales Estrategicos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Dominio 5: Sistemas de Vida, Tierra y Territorio</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Dominio 6: Participacion y Accion Colectiva</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Dominio 7: Gestion Publica e Institucional</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Dominio 8: Organizacion Politica y Electoral</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Dominio 9: Justicia, Derechos Humanos e Impunidad</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Dominio 10: Educacion, Cultura e Identidad</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Dominio 11: Geopolitica y Relaciones Internacionales</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Dominio 12: Territorio y Derechos Colectivos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Dominio 13: Economia Social, Soberania y Bienestar (NUEVO)</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5. Lentes Transversales</w:t>
            </w:r>
            <w:r>
              <w:tab/>
            </w:r>
            <w:r>
              <w:fldChar w:fldCharType="begin"/>
            </w:r>
            <w:r>
              <w:instrText xml:space="preserve"> PAGEREF _Toc100025 \h </w:instrText>
            </w:r>
            <w:r>
              <w:fldChar w:fldCharType="separate"/>
            </w:r>
            <w:r>
              <w:t>10</w:t>
            </w:r>
            <w:r>
              <w:fldChar w:fldCharType="end"/>
            </w:r>
          </w:hyperlink>
        </w:p>
        <w:p>
          <w:pPr>
            <w:pStyle w:val="9"/>
            <w:tabs>
              <w:tab w:val="right" w:leader="dot" w:pos="9026"/>
            </w:tabs>
            <w:spacing w:before="120" w:after="60"/>
          </w:pPr>
          <w:hyperlink w:anchor="_Toc100026" w:history="1">
            <w:r>
              <w:rPr>
                <w:rStyle w:val="Hyperlink"/>
              </w:rPr>
              <w:t>6. Modelo de Datos</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6.1 Schema propuesto</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6.2 Consultas tipicas por producto</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6.3 Prompt LLM para clasificacion multi-eje</w:t>
            </w:r>
            <w:r>
              <w:tab/>
            </w:r>
            <w:r>
              <w:fldChar w:fldCharType="begin"/>
            </w:r>
            <w:r>
              <w:instrText xml:space="preserve"> PAGEREF _Toc100029 \h </w:instrText>
            </w:r>
            <w:r>
              <w:fldChar w:fldCharType="separate"/>
            </w:r>
            <w:r>
              <w:t>11</w:t>
            </w:r>
            <w:r>
              <w:fldChar w:fldCharType="end"/>
            </w:r>
          </w:hyperlink>
        </w:p>
        <w:p>
          <w:pPr>
            <w:pStyle w:val="9"/>
            <w:tabs>
              <w:tab w:val="right" w:leader="dot" w:pos="9026"/>
            </w:tabs>
            <w:spacing w:before="120" w:after="60"/>
          </w:pPr>
          <w:hyperlink w:anchor="_Toc100030" w:history="1">
            <w:r>
              <w:rPr>
                <w:rStyle w:val="Hyperlink"/>
              </w:rPr>
              <w:t>7. Impacto en Productos</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7.1 Productos reestructurados por el modelo multi-eje</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7.2 El Especializado: Modelo Freemium</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7.3 Boletin del Grano: Semanal + Resumen Mensual</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7.4 Relacion Medio-Producto (Pull Architecture)</w:t>
            </w:r>
            <w:r>
              <w:tab/>
            </w:r>
            <w:r>
              <w:fldChar w:fldCharType="begin"/>
            </w:r>
            <w:r>
              <w:instrText xml:space="preserve"> PAGEREF _Toc100034 \h </w:instrText>
            </w:r>
            <w:r>
              <w:fldChar w:fldCharType="separate"/>
            </w:r>
            <w:r>
              <w:t>13</w:t>
            </w:r>
            <w:r>
              <w:fldChar w:fldCharType="end"/>
            </w:r>
          </w:hyperlink>
        </w:p>
        <w:p>
          <w:pPr>
            <w:pStyle w:val="9"/>
            <w:tabs>
              <w:tab w:val="right" w:leader="dot" w:pos="9026"/>
            </w:tabs>
            <w:spacing w:before="120" w:after="60"/>
          </w:pPr>
          <w:hyperlink w:anchor="_Toc100035" w:history="1">
            <w:r>
              <w:rPr>
                <w:rStyle w:val="Hyperlink"/>
              </w:rPr>
              <w:t>8. Ruta de Implementacion</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Fase 1: Esquema y datos (2 semanas)</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Fase 2: Prompt LLM y clasificacion (2 semanas)</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Fase 3: Productos (3 semanas)</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Fase 4: Reclasificacion historica (pendiente definicion)</w:t>
            </w:r>
            <w:r>
              <w:tab/>
            </w:r>
            <w:r>
              <w:fldChar w:fldCharType="begin"/>
            </w:r>
            <w:r>
              <w:instrText xml:space="preserve"> PAGEREF _Toc100039 \h </w:instrText>
            </w:r>
            <w:r>
              <w:fldChar w:fldCharType="separate"/>
            </w:r>
            <w:r>
              <w:t>14</w:t>
            </w:r>
            <w:r>
              <w:fldChar w:fldCharType="end"/>
            </w:r>
          </w:hyperlink>
        </w:p>
        <w:p>
          <w:pPr>
            <w:pStyle w:val="9"/>
            <w:tabs>
              <w:tab w:val="right" w:leader="dot" w:pos="9026"/>
            </w:tabs>
            <w:spacing w:before="120" w:after="60"/>
          </w:pPr>
          <w:hyperlink w:anchor="_Toc100040" w:history="1">
            <w:r>
              <w:rPr>
                <w:rStyle w:val="Hyperlink"/>
              </w:rPr>
              <w:t>9. Decisiones Pendientes</w:t>
            </w:r>
            <w:r>
              <w:tab/>
            </w:r>
            <w:r>
              <w:fldChar w:fldCharType="begin"/>
            </w:r>
            <w:r>
              <w:instrText xml:space="preserve"> PAGEREF _Toc100040 \h </w:instrText>
            </w:r>
            <w:r>
              <w:fldChar w:fldCharType="separate"/>
            </w:r>
            <w:r>
              <w:t>14</w:t>
            </w:r>
            <w:r>
              <w:fldChar w:fldCharType="end"/>
            </w:r>
          </w:hyperlink>
        </w:p>
        <w:p>
          <w:r>
            <w:fldChar w:fldCharType="end"/>
          </w:r>
        </w:p>
      </w:sdtContent>
    </w:sdt>
    <w:p>
      <w:pPr>
        <w:spacing w:before="200"/>
      </w:pPr>
      <w:r>
        <w:rPr>
          <w:rFonts w:ascii="Calibri" w:cs="Calibri" w:eastAsia="Calibri" w:hAnsi="Calibri"/>
          <w:i/>
          <w:iCs/>
          <w:color w:val="506070"/>
          <w:sz w:val="18"/>
          <w:szCs w:val="18"/>
        </w:rPr>
        <w:t xml:space="preserve">Nota: En Microsoft Word, haga clic derecho sobre la tabla y seleccione 'Actualizar campo' para refrescar los numeros de pagina.</w:t>
      </w:r>
    </w:p>
    <w:p>
      <w:r>
        <w:br w:type="page"/>
      </w:r>
    </w:p>
    <w:p>
      <w:pPr>
        <w:sectPr>
          <w:footerReference w:type="default" r:id="rId7"/>
          <w:pgSz w:w="11906" w:h="16838" w:orient="portrait"/>
          <w:pgMar w:top="1440" w:right="1417" w:bottom="1440" w:left="1701" w:header="708" w:footer="708" w:gutter="0"/>
          <w:pgNumType/>
          <w:docGrid w:linePitch="360"/>
        </w:sectPr>
      </w:pPr>
    </w:p>
    <w:p>
      <w:pPr>
        <w:pStyle w:val="Heading1"/>
        <w:keepNext/>
        <w:spacing w:after="160" w:before="360" w:line="312"/>
      </w:pPr>
      <w:bookmarkStart w:id="100000" w:name="_Toc100000"/>
      <w:r>
        <w:rPr>
          <w:rFonts w:ascii="Calibri" w:cs="Calibri" w:eastAsia="Calibri" w:hAnsi="Calibri"/>
          <w:b/>
          <w:bCs/>
          <w:color w:val="0B1C2C"/>
          <w:sz w:val="32"/>
          <w:szCs w:val="32"/>
        </w:rPr>
        <w:t xml:space="preserve">1. Diagnostico del Estado Actual</w:t>
      </w:r>
      <w:bookmarkEnd w:id="100000"/>
    </w:p>
    <w:p>
      <w:pPr>
        <w:spacing w:after="120" w:line="312"/>
        <w:jc w:val="both"/>
      </w:pPr>
      <w:r>
        <w:rPr>
          <w:rFonts w:ascii="Calibri" w:cs="Calibri" w:eastAsia="Calibri" w:hAnsi="Calibri"/>
          <w:color w:val="000000"/>
          <w:sz w:val="22"/>
          <w:szCs w:val="22"/>
        </w:rPr>
        <w:t xml:space="preserve">El sistema de clasificacion actual de DECODEX Bolivia opera bajo un modelo mono-eje: cada nota se asigna a un unico eje tematico. Este modelo, heredado de la arquitectura inicial, presenta seis problemas estructurales que limitan la capacidad del sistema para representar la realidad boliviana. A lo largo de multiples sesiones de revision epistemologica, se identificaron estos problemas y se construyeron las correcciones que fundamentan la nueva arquitectura.</w:t>
      </w:r>
    </w:p>
    <w:p>
      <w:pPr>
        <w:pStyle w:val="Heading2"/>
        <w:keepNext/>
        <w:spacing w:after="120" w:before="280" w:line="312"/>
      </w:pPr>
      <w:bookmarkStart w:id="100001" w:name="_Toc100001"/>
      <w:r>
        <w:rPr>
          <w:rFonts w:ascii="Calibri" w:cs="Calibri" w:eastAsia="Calibri" w:hAnsi="Calibri"/>
          <w:b/>
          <w:bCs/>
          <w:color w:val="0B1C2C"/>
          <w:sz w:val="28"/>
          <w:szCs w:val="28"/>
        </w:rPr>
        <w:t xml:space="preserve">1.1 Problemas estructurales identificados</w:t>
      </w:r>
      <w:bookmarkEnd w:id="100001"/>
    </w:p>
    <w:p>
      <w:pPr>
        <w:spacing w:after="120" w:line="312"/>
        <w:jc w:val="both"/>
      </w:pPr>
      <w:r>
        <w:rPr>
          <w:rFonts w:ascii="Calibri" w:cs="Calibri" w:eastAsia="Calibri" w:hAnsi="Calibri"/>
          <w:b/>
          <w:bCs/>
          <w:color w:val="000000"/>
          <w:sz w:val="22"/>
          <w:szCs w:val="22"/>
        </w:rPr>
        <w:t xml:space="preserve">A. Mezcla de niveles de abstraccion: </w:t>
      </w:r>
      <w:r>
        <w:rPr>
          <w:rFonts w:ascii="Calibri" w:cs="Calibri" w:eastAsia="Calibri" w:hAnsi="Calibri"/>
          <w:color w:val="000000"/>
          <w:sz w:val="22"/>
          <w:szCs w:val="22"/>
        </w:rPr>
        <w:t xml:space="preserve">El sistema actual combina en un mismo nivel categorias de diferente naturaleza ontologica. Un 'eje' puede ser un sector economico (Hidrocarburos), un actor social (Organizaciones), una institucion (Gobierno), o una accion colectiva (Movilizacion). Esta heterogeneidad impide consultas consistentes y genera ambiguedad en la clasificacion.</w:t>
      </w:r>
    </w:p>
    <w:p>
      <w:pPr>
        <w:spacing w:after="120" w:line="312"/>
        <w:jc w:val="both"/>
      </w:pPr>
      <w:r>
        <w:rPr>
          <w:rFonts w:ascii="Calibri" w:cs="Calibri" w:eastAsia="Calibri" w:hAnsi="Calibri"/>
          <w:b/>
          <w:bCs/>
          <w:color w:val="000000"/>
          <w:sz w:val="22"/>
          <w:szCs w:val="22"/>
        </w:rPr>
        <w:t xml:space="preserve">B. Ambiguedad categorial: </w:t>
      </w:r>
      <w:r>
        <w:rPr>
          <w:rFonts w:ascii="Calibri" w:cs="Calibri" w:eastAsia="Calibri" w:hAnsi="Calibri"/>
          <w:color w:val="000000"/>
          <w:sz w:val="22"/>
          <w:szCs w:val="22"/>
        </w:rPr>
        <w:t xml:space="preserve">Categorias como 'Instituciones' son demasiado amplias y vacias de contenido especifico. Existen multiples tipos de instituciones (judiciales, legislativas, electorales, de control, sociales, empresariales, comunitarias) con lenguajes, tiempos y logicas completamente distintos. Agruparlas bajo una sola etiqueta borra la especificidad de cada una.</w:t>
      </w:r>
    </w:p>
    <w:p>
      <w:pPr>
        <w:spacing w:after="120" w:line="312"/>
        <w:jc w:val="both"/>
      </w:pPr>
      <w:r>
        <w:rPr>
          <w:rFonts w:ascii="Calibri" w:cs="Calibri" w:eastAsia="Calibri" w:hAnsi="Calibri"/>
          <w:b/>
          <w:bCs/>
          <w:color w:val="000000"/>
          <w:sz w:val="22"/>
          <w:szCs w:val="22"/>
        </w:rPr>
        <w:t xml:space="preserve">C. Criminalizacion de la demanda social: </w:t>
      </w:r>
      <w:r>
        <w:rPr>
          <w:rFonts w:ascii="Calibri" w:cs="Calibri" w:eastAsia="Calibri" w:hAnsi="Calibri"/>
          <w:color w:val="000000"/>
          <w:sz w:val="22"/>
          <w:szCs w:val="22"/>
        </w:rPr>
        <w:t xml:space="preserve">La categoria 'Conflictos y Movimientos Sociales' asocia implicitamente las demandas de las organizaciones sociales con la conflictividad, contribuyendo a la criminalizacion de la accion colectiva. Esta asociacion es eticamente problematica, contraviene convenciones internacionales de derechos humanos y viola los principios constitucionales del Estado Plurinacional de Bolivia (Arts. 2, 8, 11, 241, 242).</w:t>
      </w:r>
    </w:p>
    <w:p>
      <w:pPr>
        <w:spacing w:after="120" w:line="312"/>
        <w:jc w:val="both"/>
      </w:pPr>
      <w:r>
        <w:rPr>
          <w:rFonts w:ascii="Calibri" w:cs="Calibri" w:eastAsia="Calibri" w:hAnsi="Calibri"/>
          <w:b/>
          <w:bCs/>
          <w:color w:val="000000"/>
          <w:sz w:val="22"/>
          <w:szCs w:val="22"/>
        </w:rPr>
        <w:t xml:space="preserve">D. Monopolio de la accion colectiva: </w:t>
      </w:r>
      <w:r>
        <w:rPr>
          <w:rFonts w:ascii="Calibri" w:cs="Calibri" w:eastAsia="Calibri" w:hAnsi="Calibri"/>
          <w:color w:val="000000"/>
          <w:sz w:val="22"/>
          <w:szCs w:val="22"/>
        </w:rPr>
        <w:t xml:space="preserve">Al asignar 'Movilizacion, huelgas, bloqueos, marchas' exclusivamente como atributo de las organizaciones sociales, el sistema invisibiliza que la CAO declara paros empresariales, que los comites civicos convocan cabildos con bloqueos, que las juntas de vecinos marchan, y que las federaciones de cooperativistas mineros toman carreteras. La accion colectiva es un derecho constitucional generico, no propiedad de ningun actor en particular.</w:t>
      </w:r>
    </w:p>
    <w:p>
      <w:pPr>
        <w:spacing w:after="120" w:line="312"/>
        <w:jc w:val="both"/>
      </w:pPr>
      <w:r>
        <w:rPr>
          <w:rFonts w:ascii="Calibri" w:cs="Calibri" w:eastAsia="Calibri" w:hAnsi="Calibri"/>
          <w:b/>
          <w:bCs/>
          <w:color w:val="000000"/>
          <w:sz w:val="22"/>
          <w:szCs w:val="22"/>
        </w:rPr>
        <w:t xml:space="preserve">E. Reduccion de la politica al parlamento: </w:t>
      </w:r>
      <w:r>
        <w:rPr>
          <w:rFonts w:ascii="Calibri" w:cs="Calibri" w:eastAsia="Calibri" w:hAnsi="Calibri"/>
          <w:color w:val="000000"/>
          <w:sz w:val="22"/>
          <w:szCs w:val="22"/>
        </w:rPr>
        <w:t xml:space="preserve">Al crear 'Sistema Politico y Partidario' centrado exclusivamente en partidos con bancada parlamentaria, el sistema excluye las agrupaciones ciudadanas, la democracia comunitaria (Art. 11 CPE), la participacion politica de los pueblos indigenos a traves de sus propios usos y costumbres, y las formas de organizacion politica no parlamentarias reconocidas por la Constitucion.</w:t>
      </w:r>
    </w:p>
    <w:p>
      <w:pPr>
        <w:spacing w:after="120" w:line="312"/>
        <w:jc w:val="both"/>
      </w:pPr>
      <w:r>
        <w:rPr>
          <w:rFonts w:ascii="Calibri" w:cs="Calibri" w:eastAsia="Calibri" w:hAnsi="Calibri"/>
          <w:b/>
          <w:bCs/>
          <w:color w:val="000000"/>
          <w:sz w:val="22"/>
          <w:szCs w:val="22"/>
        </w:rPr>
        <w:t xml:space="preserve">F. Falsa separacion entre dominios: </w:t>
      </w:r>
      <w:r>
        <w:rPr>
          <w:rFonts w:ascii="Calibri" w:cs="Calibri" w:eastAsia="Calibri" w:hAnsi="Calibri"/>
          <w:color w:val="000000"/>
          <w:sz w:val="22"/>
          <w:szCs w:val="22"/>
        </w:rPr>
        <w:t xml:space="preserve">La pretension de ejes estancos choca con la realidad boliviana. No existe 'Salud' sin agua potable, saneamiento basico, carreteras de acceso, alimentacion adecuada y condiciones de vida dignas. La OMS lo establecio desde 1948: la salud es un estado de completo bienestar fisico, mental y social, no meramente la ausencia de enfermedad. El agua es simultaneamente salud, infraestructura, derechos sociales y gestion municipal.</w:t>
      </w:r>
    </w:p>
    <w:p>
      <w:pPr>
        <w:pStyle w:val="Heading2"/>
        <w:keepNext/>
        <w:spacing w:after="120" w:before="280" w:line="312"/>
      </w:pPr>
      <w:bookmarkStart w:id="100002" w:name="_Toc100002"/>
      <w:r>
        <w:rPr>
          <w:rFonts w:ascii="Calibri" w:cs="Calibri" w:eastAsia="Calibri" w:hAnsi="Calibri"/>
          <w:b/>
          <w:bCs/>
          <w:color w:val="0B1C2C"/>
          <w:sz w:val="28"/>
          <w:szCs w:val="28"/>
        </w:rPr>
        <w:t xml:space="preserve">1.2 El patron sistematico de errores</w:t>
      </w:r>
      <w:bookmarkEnd w:id="100002"/>
    </w:p>
    <w:p>
      <w:pPr>
        <w:spacing w:after="120" w:line="312"/>
        <w:jc w:val="both"/>
      </w:pPr>
      <w:r>
        <w:rPr>
          <w:rFonts w:ascii="Calibri" w:cs="Calibri" w:eastAsia="Calibri" w:hAnsi="Calibri"/>
          <w:color w:val="000000"/>
          <w:sz w:val="22"/>
          <w:szCs w:val="22"/>
        </w:rPr>
        <w:t xml:space="preserve">En todos los casos identificados, el patrón es el mismo: un actor dominante absorbe la categoria completa y los demas quedan invisibilizados. El sistema de ejes heredaria este sesgo si se codificara sin correccion. La revision epistemologica condujo a tres principios fundacionales que estructuran toda la nueva arquitectura.</w:t>
      </w:r>
    </w:p>
    <w:p>
      <w:pPr>
        <w:pStyle w:val="Heading1"/>
        <w:keepNext/>
        <w:spacing w:after="160" w:before="360" w:line="312"/>
      </w:pPr>
      <w:bookmarkStart w:id="100003" w:name="_Toc100003"/>
      <w:r>
        <w:rPr>
          <w:rFonts w:ascii="Calibri" w:cs="Calibri" w:eastAsia="Calibri" w:hAnsi="Calibri"/>
          <w:b/>
          <w:bCs/>
          <w:color w:val="0B1C2C"/>
          <w:sz w:val="32"/>
          <w:szCs w:val="32"/>
        </w:rPr>
        <w:t xml:space="preserve">2. Principios Epistemologicos Fundacionales</w:t>
      </w:r>
      <w:bookmarkEnd w:id="100003"/>
    </w:p>
    <w:p>
      <w:pPr>
        <w:spacing w:after="120" w:line="312"/>
        <w:jc w:val="both"/>
      </w:pPr>
      <w:r>
        <w:rPr>
          <w:rFonts w:ascii="Calibri" w:cs="Calibri" w:eastAsia="Calibri" w:hAnsi="Calibri"/>
          <w:color w:val="000000"/>
          <w:sz w:val="22"/>
          <w:szCs w:val="22"/>
        </w:rPr>
        <w:t xml:space="preserve">La nueva arquitectura de ejes tematicos se fundamenta en un marco epistemologico construido a traves de la revision critica del sistema anterior, el analisis de la Constitucion Politica del Estado Plurinacional de Bolivia, las convenciones internacionales de derechos humanos, y los aportes de la Comision sobre Determinantes Sociales de la Salud de la OMS.</w:t>
      </w:r>
    </w:p>
    <w:p>
      <w:pPr>
        <w:pStyle w:val="Heading2"/>
        <w:keepNext/>
        <w:spacing w:after="120" w:before="280" w:line="312"/>
      </w:pPr>
      <w:bookmarkStart w:id="100004" w:name="_Toc100004"/>
      <w:r>
        <w:rPr>
          <w:rFonts w:ascii="Calibri" w:cs="Calibri" w:eastAsia="Calibri" w:hAnsi="Calibri"/>
          <w:b/>
          <w:bCs/>
          <w:color w:val="0B1C2C"/>
          <w:sz w:val="28"/>
          <w:szCs w:val="28"/>
        </w:rPr>
        <w:t xml:space="preserve">2.1 Marco constitucional</w:t>
      </w:r>
      <w:bookmarkEnd w:id="100004"/>
    </w:p>
    <w:p>
      <w:pPr>
        <w:spacing w:after="120" w:line="312"/>
        <w:jc w:val="both"/>
      </w:pPr>
      <w:r>
        <w:rPr>
          <w:rFonts w:ascii="Calibri" w:cs="Calibri" w:eastAsia="Calibri" w:hAnsi="Calibri"/>
          <w:color w:val="000000"/>
          <w:sz w:val="22"/>
          <w:szCs w:val="22"/>
        </w:rPr>
        <w:t xml:space="preserve">La Constitucion Politica del Estado Plurinacional de Bolivia (CPE) no divide el mundo en silos tematicos. Articulo 8, parrafo II establece como valores del Estado: libertad, paz, justicia, igualdad, solidaridad, bienestar comun, responsabilidad, transparencia, interculturalidad, convivencia con la naturaleza. El Articulo 11 reconoce multiples formas de democracia (representativa, participativa y comunitaria). El Articulo 2 define a Bolivia como un Estado unitario social de derecho plurinacional comunitario, libre, independiente, soberano, democratico, intercultural, descentralizado y con autonomias.</w:t>
      </w:r>
    </w:p>
    <w:p>
      <w:pPr>
        <w:spacing w:after="120" w:line="312"/>
        <w:jc w:val="both"/>
      </w:pPr>
      <w:r>
        <w:rPr>
          <w:rFonts w:ascii="Calibri" w:cs="Calibri" w:eastAsia="Calibri" w:hAnsi="Calibri"/>
          <w:color w:val="000000"/>
          <w:sz w:val="22"/>
          <w:szCs w:val="22"/>
        </w:rPr>
        <w:t xml:space="preserve">El Articulo 241 reconoce y respeta a las organizaciones indigenas, originario campesinas, comunidades interculturales y afrobolivianas. El Articulo 242 establece que las organizaciones sociales tienen funcion de control social sobre la gestion publica. El Articulo 222 reconoce a las organizaciones empresariales como actor economico. El Articulo 226 reconoce las agrupaciones ciudadanas como forma de organizacion politica. El Articulo 307 reconoce el papel economico de las cooperativas. Ninguno de estos articulos establece jerarquias entre actores; todos tienen reconocimientos constitucionales especificos.</w:t>
      </w:r>
    </w:p>
    <w:p>
      <w:pPr>
        <w:pStyle w:val="Heading2"/>
        <w:keepNext/>
        <w:spacing w:after="120" w:before="280" w:line="312"/>
      </w:pPr>
      <w:bookmarkStart w:id="100005" w:name="_Toc100005"/>
      <w:r>
        <w:rPr>
          <w:rFonts w:ascii="Calibri" w:cs="Calibri" w:eastAsia="Calibri" w:hAnsi="Calibri"/>
          <w:b/>
          <w:bCs/>
          <w:color w:val="0B1C2C"/>
          <w:sz w:val="28"/>
          <w:szCs w:val="28"/>
        </w:rPr>
        <w:t xml:space="preserve">2.2 Principios rectores</w:t>
      </w:r>
      <w:bookmarkEnd w:id="100005"/>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Principio</w:t>
            </w:r>
          </w:p>
        </w:tc>
        <w:tc>
          <w:tcPr>
            <w:tcW w:type="pct" w:w="4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Definicion</w:t>
            </w:r>
          </w:p>
        </w:tc>
        <w:tc>
          <w:tcPr>
            <w:tcW w:type="pct" w:w="4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Implicacion para el sistema</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Separacion sujeto-accion-evaluacion</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Los sujetos (quien), las acciones (que hacen) y las evaluaciones (que significa) son categorias ontologicas distintas que no deben mezclarse en un mismo nivel taxonomico.</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 se puede crear un eje 'Conflicto' que mezcle un sujeto con una evaluacion. La movilizacion es una accion que cualquier actor puede ejercer.</w:t>
            </w:r>
          </w:p>
        </w:tc>
      </w:tr>
      <w:tr>
        <w:trPr>
          <w:cantSplit/>
        </w:trPr>
        <w:tc>
          <w:tcPr>
            <w:tcW w:type="pct" w:w="2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 criminalizacion de la demanda social</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Las demandas de las organizaciones sociales son derechos constitucionales, no delitos ni fuentes de conflicto.</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Eliminada toda categoria que asocie demandas sociales con conflictividad.</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Representacion plural de actores</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Todos los actores constitucionalmente reconocidos deben tener representacion equitativa, sin monopolio de ninguno.</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Comites civicos, empresariales, cooperativistas, pueblos indigenos y sindicatos coexisten como sujetos.</w:t>
            </w:r>
          </w:p>
        </w:tc>
      </w:tr>
      <w:tr>
        <w:trPr>
          <w:cantSplit/>
        </w:trPr>
        <w:tc>
          <w:tcPr>
            <w:tcW w:type="pct" w:w="2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Integralidad del Vivir Bien</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El Buen Vivir / Vivir Bien (Sumaq Ñan) es integral y no admite separaciones artificiales entre dominios.</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 implementa un modelo multi-eje que permite que una nota pertenezca a multiples dominios simultaneamente.</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Ejes estructurales vs. lentes transversales</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Los ejes definen el QUE (tematica), los lentes definen el COMO (enfoque de analisis). Son dimensiones diferentes.</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Genero, generacion, violencia estatal son lentes que se aplican sobre cualquier eje.</w:t>
            </w:r>
          </w:p>
        </w:tc>
      </w:tr>
      <w:tr>
        <w:trPr>
          <w:cantSplit/>
        </w:trPr>
        <w:tc>
          <w:tcPr>
            <w:tcW w:type="pct" w:w="2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Determinantes sociales</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La salud, la educacion, el bienestar estan determinados por condiciones socioeconomicas, no solo por servicios institucionales.</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Los dominios incluyen explcitamente sus determinantes.</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Umbral de relevancia</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 todo lo tangencialmente relacionado merece clasificacion. Solo se registran ejes con peso &gt;= 0.5 y maximo 6 por nota.</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Evita el ruido de sobre-clasificacion sin perder la riqueza multi-eje.</w:t>
            </w:r>
          </w:p>
        </w:tc>
      </w:tr>
    </w:tbl>
    <w:p>
      <w:pPr>
        <w:spacing w:after="60"/>
      </w:pPr>
    </w:p>
    <w:p>
      <w:pPr>
        <w:pStyle w:val="Heading1"/>
        <w:keepNext/>
        <w:spacing w:after="160" w:before="360" w:line="312"/>
      </w:pPr>
      <w:bookmarkStart w:id="100006" w:name="_Toc100006"/>
      <w:r>
        <w:rPr>
          <w:rFonts w:ascii="Calibri" w:cs="Calibri" w:eastAsia="Calibri" w:hAnsi="Calibri"/>
          <w:b/>
          <w:bCs/>
          <w:color w:val="0B1C2C"/>
          <w:sz w:val="32"/>
          <w:szCs w:val="32"/>
        </w:rPr>
        <w:t xml:space="preserve">3. Modelo Multi-Eje: Arquitectura Propuesta</w:t>
      </w:r>
      <w:bookmarkEnd w:id="100006"/>
    </w:p>
    <w:p>
      <w:pPr>
        <w:pStyle w:val="Heading2"/>
        <w:keepNext/>
        <w:spacing w:after="120" w:before="280" w:line="312"/>
      </w:pPr>
      <w:bookmarkStart w:id="100007" w:name="_Toc100007"/>
      <w:r>
        <w:rPr>
          <w:rFonts w:ascii="Calibri" w:cs="Calibri" w:eastAsia="Calibri" w:hAnsi="Calibri"/>
          <w:b/>
          <w:bCs/>
          <w:color w:val="0B1C2C"/>
          <w:sz w:val="28"/>
          <w:szCs w:val="28"/>
        </w:rPr>
        <w:t xml:space="preserve">3.1 Del mono-eje al multi-eje</w:t>
      </w:r>
      <w:bookmarkEnd w:id="100007"/>
    </w:p>
    <w:p>
      <w:pPr>
        <w:spacing w:after="120" w:line="312"/>
        <w:jc w:val="both"/>
      </w:pPr>
      <w:r>
        <w:rPr>
          <w:rFonts w:ascii="Calibri" w:cs="Calibri" w:eastAsia="Calibri" w:hAnsi="Calibri"/>
          <w:color w:val="000000"/>
          <w:sz w:val="22"/>
          <w:szCs w:val="22"/>
        </w:rPr>
        <w:t xml:space="preserve">El cambio fundamental es pasar de un modelo donde cada nota tiene un unico eje_id a un modelo relacional donde cada nota puede tener multiples ejes con pesos diferenciados. Esto no es solo una mejora tecnica sino una correccion epistemologica: reconoce que la realidad boliviana no tiene bordes fijos entre dominios tematicos.</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Aspecto</w:t>
            </w:r>
          </w:p>
        </w:tc>
        <w:tc>
          <w:tcPr>
            <w:tcW w:type="pct" w:w="3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Mono-eje actual</w:t>
            </w:r>
          </w:p>
        </w:tc>
        <w:tc>
          <w:tcPr>
            <w:tcW w:type="pct" w:w="4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Multi-eje propuesto</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Modelo de datos</w:t>
            </w:r>
          </w:p>
        </w:tc>
        <w:tc>
          <w:tcPr>
            <w:tcW w:type="pct" w:w="3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nota.eje_id (unico)</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Tabla intermedia nota_ejes(nota_id, eje_id, peso)</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Prompt del LLM</w:t>
            </w:r>
          </w:p>
        </w:tc>
        <w:tc>
          <w:tcPr>
            <w:tcW w:type="pct" w:w="3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Clasifica en UN eje</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Asigna todos los ejes relevantes con peso 0-1</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Consultas por producto</w:t>
            </w:r>
          </w:p>
        </w:tc>
        <w:tc>
          <w:tcPr>
            <w:tcW w:type="pct" w:w="3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WHERE eje_id = X</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WHERE eje_id = X AND peso &gt;= 0.5</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Maximo ejes por nota</w:t>
            </w:r>
          </w:p>
        </w:tc>
        <w:tc>
          <w:tcPr>
            <w:tcW w:type="pct" w:w="3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1</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6</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Umbral minimo</w:t>
            </w:r>
          </w:p>
        </w:tc>
        <w:tc>
          <w:tcPr>
            <w:tcW w:type="pct" w:w="3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N/A</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peso &gt;= 0.5</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Costo LLM</w:t>
            </w:r>
          </w:p>
        </w:tc>
        <w:tc>
          <w:tcPr>
            <w:tcW w:type="pct" w:w="3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1 clasificacion por nota</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1 clasificacion con multiples salidas (mismo costo)</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Cobertura del producto</w:t>
            </w:r>
          </w:p>
        </w:tc>
        <w:tc>
          <w:tcPr>
            <w:tcW w:type="pct" w:w="3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Pierde notas que tocan varios temas</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Captura la realidad entrelazada</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Riesgo</w:t>
            </w:r>
          </w:p>
        </w:tc>
        <w:tc>
          <w:tcPr>
            <w:tcW w:type="pct" w:w="3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Notas forzadas a una caja</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Ruido si LLM asigna pesos a todo</w:t>
            </w:r>
          </w:p>
        </w:tc>
      </w:tr>
    </w:tbl>
    <w:p>
      <w:pPr>
        <w:spacing w:after="60"/>
      </w:pPr>
    </w:p>
    <w:p>
      <w:pPr>
        <w:pStyle w:val="Heading2"/>
        <w:keepNext/>
        <w:spacing w:after="120" w:before="280" w:line="312"/>
      </w:pPr>
      <w:bookmarkStart w:id="100008" w:name="_Toc100008"/>
      <w:r>
        <w:rPr>
          <w:rFonts w:ascii="Calibri" w:cs="Calibri" w:eastAsia="Calibri" w:hAnsi="Calibri"/>
          <w:b/>
          <w:bCs/>
          <w:color w:val="0B1C2C"/>
          <w:sz w:val="28"/>
          <w:szCs w:val="28"/>
        </w:rPr>
        <w:t xml:space="preserve">3.2 Controles de ruido</w:t>
      </w:r>
      <w:bookmarkEnd w:id="100008"/>
    </w:p>
    <w:p>
      <w:pPr>
        <w:spacing w:after="120" w:line="312"/>
        <w:jc w:val="both"/>
      </w:pPr>
      <w:r>
        <w:rPr>
          <w:rFonts w:ascii="Calibri" w:cs="Calibri" w:eastAsia="Calibri" w:hAnsi="Calibri"/>
          <w:color w:val="000000"/>
          <w:sz w:val="22"/>
          <w:szCs w:val="22"/>
        </w:rPr>
        <w:t xml:space="preserve">El unico riesgo real del multi-eje es que el LLM se entusiasme y asigne peso 0.3 a diez ejes por nota. Se controla con tres mecanismos: umbral minimo de 0.5 (solo se registran ejes genuinamente relevantes), limite de 6 ejes por nota (se conservan solo los 6 con mayor peso), y una instruccion explicita en el prompt: 'Solo asigna ejes que sean genuinamente relevantes para el contenido, no todos los tangencialmente relacionados'.</w:t>
      </w:r>
    </w:p>
    <w:p>
      <w:pPr>
        <w:pStyle w:val="Heading2"/>
        <w:keepNext/>
        <w:spacing w:after="120" w:before="280" w:line="312"/>
      </w:pPr>
      <w:bookmarkStart w:id="100009" w:name="_Toc100009"/>
      <w:r>
        <w:rPr>
          <w:rFonts w:ascii="Calibri" w:cs="Calibri" w:eastAsia="Calibri" w:hAnsi="Calibri"/>
          <w:b/>
          <w:bCs/>
          <w:color w:val="0B1C2C"/>
          <w:sz w:val="28"/>
          <w:szCs w:val="28"/>
        </w:rPr>
        <w:t xml:space="preserve">3.3 Ejes estructurales vs. Lentes transversales</w:t>
      </w:r>
      <w:bookmarkEnd w:id="100009"/>
    </w:p>
    <w:p>
      <w:pPr>
        <w:spacing w:after="120" w:line="312"/>
        <w:jc w:val="both"/>
      </w:pPr>
      <w:r>
        <w:rPr>
          <w:rFonts w:ascii="Calibri" w:cs="Calibri" w:eastAsia="Calibri" w:hAnsi="Calibri"/>
          <w:color w:val="000000"/>
          <w:sz w:val="22"/>
          <w:szCs w:val="22"/>
        </w:rPr>
        <w:t xml:space="preserve">La arquitectura distingue dos dimensiones claramente diferenciadas. Los ejes estructurales definen el QUE de la nota: de que tema habla. Los lentes transversales definen el COMO: desde que perspectiva se puede analizar. Un eje responde a la pregunta 'de que trata esta nota?' Un lente responde a 'desde que enfoque adicional se puede leer esta nota?'</w:t>
      </w:r>
    </w:p>
    <w:p>
      <w:pPr>
        <w:spacing w:after="120" w:line="312"/>
        <w:jc w:val="both"/>
      </w:pPr>
      <w:r>
        <w:rPr>
          <w:rFonts w:ascii="Calibri" w:cs="Calibri" w:eastAsia="Calibri" w:hAnsi="Calibri"/>
          <w:color w:val="000000"/>
          <w:sz w:val="22"/>
          <w:szCs w:val="22"/>
        </w:rPr>
        <w:t xml:space="preserve">Ejemplo: 'Tres mineras mueren en derrumbe en Potosi' → eje principal: Mineria y Metales Estrategicos [0.9], pero tambien se puede leer desde el lente generacional (condiciones laborales), el lente de genero (las mujeres en la mineria), o el lente de violencia estatal (falta de fiscalizacion). Los lentes son dimensiones de analisis, no clasificaciones excluyentes.</w:t>
      </w:r>
    </w:p>
    <w:p>
      <w:pPr>
        <w:pStyle w:val="Heading2"/>
        <w:keepNext/>
        <w:spacing w:after="120" w:before="280" w:line="312"/>
      </w:pPr>
      <w:bookmarkStart w:id="100010" w:name="_Toc100010"/>
      <w:r>
        <w:rPr>
          <w:rFonts w:ascii="Calibri" w:cs="Calibri" w:eastAsia="Calibri" w:hAnsi="Calibri"/>
          <w:b/>
          <w:bCs/>
          <w:color w:val="0B1C2C"/>
          <w:sz w:val="28"/>
          <w:szCs w:val="28"/>
        </w:rPr>
        <w:t xml:space="preserve">3.4 Ejemplo de clasificacion multi-eje</w:t>
      </w:r>
      <w:bookmarkEnd w:id="100010"/>
    </w:p>
    <w:p>
      <w:pPr>
        <w:spacing w:after="120" w:line="312"/>
        <w:jc w:val="both"/>
      </w:pPr>
      <w:r>
        <w:rPr>
          <w:rFonts w:ascii="Calibri" w:cs="Calibri" w:eastAsia="Calibri" w:hAnsi="Calibri"/>
          <w:b/>
          <w:bCs/>
          <w:color w:val="000000"/>
          <w:sz w:val="22"/>
          <w:szCs w:val="22"/>
        </w:rPr>
        <w:t xml:space="preserve">Nota: </w:t>
      </w:r>
      <w:r>
        <w:rPr>
          <w:rFonts w:ascii="Calibri" w:cs="Calibri" w:eastAsia="Calibri" w:hAnsi="Calibri"/>
          <w:color w:val="000000"/>
          <w:sz w:val="22"/>
          <w:szCs w:val="22"/>
        </w:rPr>
        <w:t xml:space="preserve">'El Alto: 200 mil sin agua potable hace dos semanas'</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w:t>
            </w:r>
          </w:p>
        </w:tc>
        <w:tc>
          <w:tcPr>
            <w:tcW w:type="pct" w:w="1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Peso</w:t>
            </w:r>
          </w:p>
        </w:tc>
        <w:tc>
          <w:tcPr>
            <w:tcW w:type="pct" w:w="4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Justificacion</w:t>
            </w:r>
          </w:p>
        </w:tc>
      </w:tr>
      <w:tr>
        <w:trPr>
          <w:cantSplit/>
        </w:trPr>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Salud y Determinantes Sociales</w:t>
            </w:r>
          </w:p>
        </w:tc>
        <w:tc>
          <w:tcPr>
            <w:tcW w:type="pct" w:w="1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0.8</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Determinante directo de salud publica</w:t>
            </w:r>
          </w:p>
        </w:tc>
      </w:tr>
      <w:tr>
        <w:trPr>
          <w:cantSplit/>
        </w:trPr>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Gestion Publica e Institucional</w:t>
            </w:r>
          </w:p>
        </w:tc>
        <w:tc>
          <w:tcPr>
            <w:tcW w:type="pct" w:w="1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0.9</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Responsabilidad institucional sobre servicios</w:t>
            </w:r>
          </w:p>
        </w:tc>
      </w:tr>
      <w:tr>
        <w:trPr>
          <w:cantSplit/>
        </w:trPr>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Participacion y Accion Colectiva</w:t>
            </w:r>
          </w:p>
        </w:tc>
        <w:tc>
          <w:tcPr>
            <w:tcW w:type="pct" w:w="1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0.5</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Probablemente hay movilizacion social</w:t>
            </w:r>
          </w:p>
        </w:tc>
      </w:tr>
      <w:tr>
        <w:trPr>
          <w:cantSplit/>
        </w:trPr>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Sistemas de Vida, Tierra y Territorio</w:t>
            </w:r>
          </w:p>
        </w:tc>
        <w:tc>
          <w:tcPr>
            <w:tcW w:type="pct" w:w="1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0.6</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Derecho al agua como recurso vital</w:t>
            </w:r>
          </w:p>
        </w:tc>
      </w:tr>
    </w:tbl>
    <w:p>
      <w:pPr>
        <w:spacing w:after="60"/>
      </w:pPr>
    </w:p>
    <w:p>
      <w:pPr>
        <w:pStyle w:val="Heading1"/>
        <w:keepNext/>
        <w:spacing w:after="160" w:before="360" w:line="312"/>
      </w:pPr>
      <w:bookmarkStart w:id="100011" w:name="_Toc100011"/>
      <w:r>
        <w:rPr>
          <w:rFonts w:ascii="Calibri" w:cs="Calibri" w:eastAsia="Calibri" w:hAnsi="Calibri"/>
          <w:b/>
          <w:bCs/>
          <w:color w:val="0B1C2C"/>
          <w:sz w:val="32"/>
          <w:szCs w:val="32"/>
        </w:rPr>
        <w:t xml:space="preserve">4. Tabla Maestra de Ejes Tematicos</w:t>
      </w:r>
      <w:bookmarkEnd w:id="100011"/>
    </w:p>
    <w:p>
      <w:pPr>
        <w:spacing w:after="120" w:line="312"/>
        <w:jc w:val="both"/>
      </w:pPr>
      <w:r>
        <w:rPr>
          <w:rFonts w:ascii="Calibri" w:cs="Calibri" w:eastAsia="Calibri" w:hAnsi="Calibri"/>
          <w:color w:val="000000"/>
          <w:sz w:val="22"/>
          <w:szCs w:val="22"/>
        </w:rPr>
        <w:t xml:space="preserve">La tabla maestra define 13 dominios tematicos con sus subtemas especificos. Cada dominio fue construido a traves de un proceso de revision epistemologica, investigacion de campo (busqueda web de fuentes periodisticas bolivianas 2025-2026), y validacion cruzada con la Constitucion Politica del Estado. Los subtemas estan abiertos a ampliaciones futuras conforme el sistema identifique nuevos dominios relevantes para la cobertura periodistica de Bolivia. Esta tabla es el nucleo del sistema de clasificacion y alimenta tanto la asignacion LLM como las consultas de los productos.</w:t>
      </w:r>
    </w:p>
    <w:p>
      <w:pPr>
        <w:spacing w:after="60"/>
      </w:pPr>
    </w:p>
    <w:p>
      <w:pPr>
        <w:pStyle w:val="Heading2"/>
        <w:keepNext/>
        <w:spacing w:after="120" w:before="280" w:line="312"/>
      </w:pPr>
      <w:bookmarkStart w:id="100012" w:name="_Toc100012"/>
      <w:r>
        <w:rPr>
          <w:rFonts w:ascii="Calibri" w:cs="Calibri" w:eastAsia="Calibri" w:hAnsi="Calibri"/>
          <w:b/>
          <w:bCs/>
          <w:color w:val="0B1C2C"/>
          <w:sz w:val="28"/>
          <w:szCs w:val="28"/>
        </w:rPr>
        <w:t xml:space="preserve">Dominio 1: Hidrocarburos y Energia</w:t>
      </w:r>
      <w:bookmarkEnd w:id="100012"/>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Subtema</w:t>
            </w:r>
          </w:p>
        </w:tc>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 de nota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Gas natural (exportacion, contratos, revenue)</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Exportacion de gas a Brasil y Argentina, contratos, ingresos fiscales, GNL</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Gobierno renegocia contrato de gas natural con Brasil</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Gas domiciliario (GNL/GLP)</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Distribucion, tarifas, subsidio cruzado, abastecimiento, desabastecimiento, contrabando al exterior</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Aumento de tarifa de gas en zona sur de La Paz genera protestas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Combustibles liquidos (gasolina, diesel, GLP)</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Abastecimiento, desabastecimiento, importacion, precios, contrabando</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Seis dias sin diesel en Santa Cruz de la Sierra</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Importacion y comercio exterior de hidrocarburos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Importacion de combustibles, precios internacionales, contratos de compra, sobreprecios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Precio de importacion de gasolina sube 15% en mercado internacional</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Hidrocarburos: politica e institucional</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YPFB, Ministerio, politica hidrocarburifera, nacionalizacion</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YPFB anuncia inversion en campo gasifero</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Energias alternativas y renovables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Energia solar, eolica, hidroelectrica, proyectos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Gobierno inaugura planta solar en Potosi</w:t>
            </w:r>
          </w:p>
        </w:tc>
      </w:tr>
    </w:tbl>
    <w:p>
      <w:pPr>
        <w:spacing w:after="60"/>
      </w:pPr>
    </w:p>
    <w:p>
      <w:pPr>
        <w:pStyle w:val="Heading2"/>
        <w:keepNext/>
        <w:spacing w:after="120" w:before="280" w:line="312"/>
      </w:pPr>
      <w:bookmarkStart w:id="100013" w:name="_Toc100013"/>
      <w:r>
        <w:rPr>
          <w:rFonts w:ascii="Calibri" w:cs="Calibri" w:eastAsia="Calibri" w:hAnsi="Calibri"/>
          <w:b/>
          <w:bCs/>
          <w:color w:val="0B1C2C"/>
          <w:sz w:val="28"/>
          <w:szCs w:val="28"/>
        </w:rPr>
        <w:t xml:space="preserve">Dominio 2: Economia y Modelo de Desarrollo</w:t>
      </w:r>
      <w:bookmarkEnd w:id="100013"/>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Subtema</w:t>
            </w:r>
          </w:p>
        </w:tc>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 de nota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Macroeconomia y politicas fiscal</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PIB, inflacion, politica monetaria, Banco Central, reservas internacionales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BCB reduce reservas internacionales en US$ 200 millones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Ingresos fiscales y gasto publico</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Recaudacion tributaria, gasto corriente, inversion publica, deficit</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Recaudacion tributaria cae 12% en primer trimestre</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Comercio exterior</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Exportaciones, importaciones, balanza comercial, tratados de libre comercio</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Exportaciones bolivianas caen 8% respecto a 2024</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Sector bancario y financiero</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Bancos, creditos, depositos, politica crediticia, morosidad</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Morosidad bancaria sube al 3.2%</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Modelo de desarrollo y politica economica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Debate sobre modelo economico, nacionalizacion vs apertura, planificacion</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Gobierno anuncia paquete de leyes estructurales para reactivar economia</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Empleo y mercado laboral</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Desempleo, empleo informal, subempleo, salario minimo</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Desempleo en Bolivia llega al 8.5% segun INE</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Inversion publica y deuda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Proyectos de inversion, deuda publica, deuda externa, financiamiento</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Deuda publica supera el 55% del PIB</w:t>
            </w:r>
          </w:p>
        </w:tc>
      </w:tr>
    </w:tbl>
    <w:p>
      <w:pPr>
        <w:spacing w:after="60"/>
      </w:pPr>
    </w:p>
    <w:p>
      <w:pPr>
        <w:pStyle w:val="Heading2"/>
        <w:keepNext/>
        <w:spacing w:after="120" w:before="280" w:line="312"/>
      </w:pPr>
      <w:bookmarkStart w:id="100014" w:name="_Toc100014"/>
      <w:r>
        <w:rPr>
          <w:rFonts w:ascii="Calibri" w:cs="Calibri" w:eastAsia="Calibri" w:hAnsi="Calibri"/>
          <w:b/>
          <w:bCs/>
          <w:color w:val="0B1C2C"/>
          <w:sz w:val="28"/>
          <w:szCs w:val="28"/>
        </w:rPr>
        <w:t xml:space="preserve">Dominio 3: Salud y Determinantes Sociales</w:t>
      </w:r>
      <w:bookmarkEnd w:id="100014"/>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Subtema</w:t>
            </w:r>
          </w:p>
        </w:tc>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 de nota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Servicios de salud (hospitales, centros)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Infraestructura hospitalaria, personal medico, camas, equipos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Hospital de tercer nivel inaugura nueva unidad de cuidados intensivos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Programas de salud y prevencion</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Programas nacionales de vacunacion, salud materna, salud infantil, VIH</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Ministerio lanza programa de prevencion del VIH en comunidades vulnerables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Enfermedades y epidemias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Dengue, chikungunya, zika, COVID-19, enfermedades endemicas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Santa Cruz declara alerta por brote de dengue con 5.000 casos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Agua potable y saneamiento basico</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Acceso a agua, tratamiento de aguas residuales, saneamiento</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El Alto: 200 mil sin agua potable hace dos semanas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Centros de medicina nuclear</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Centro de medicina nuclear de La Paz y Santa Cruz, cancer, radioterapia</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Centro de medicina nuclear de La Paz atiende 1.500 pacientes con cancer al mes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Nutricion y alimentacion</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Desnutricion, obesidad, programas alimentarios, seguridad alimentaria</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UNICEF alerta sobre desnutricion infantil en comunidades rurales del altiplano</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Determinantes sociales de la salud</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Condiciones de vida, vivienda, medio ambiente, acceso a servicios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Estudio vincula contaminacion del aire en El Alto con enfermedades respiratorias</w:t>
            </w:r>
          </w:p>
        </w:tc>
      </w:tr>
    </w:tbl>
    <w:p>
      <w:pPr>
        <w:spacing w:after="60"/>
      </w:pPr>
    </w:p>
    <w:p>
      <w:pPr>
        <w:pStyle w:val="Heading2"/>
        <w:keepNext/>
        <w:spacing w:after="120" w:before="280" w:line="312"/>
      </w:pPr>
      <w:bookmarkStart w:id="100015" w:name="_Toc100015"/>
      <w:r>
        <w:rPr>
          <w:rFonts w:ascii="Calibri" w:cs="Calibri" w:eastAsia="Calibri" w:hAnsi="Calibri"/>
          <w:b/>
          <w:bCs/>
          <w:color w:val="0B1C2C"/>
          <w:sz w:val="28"/>
          <w:szCs w:val="28"/>
        </w:rPr>
        <w:t xml:space="preserve">Dominio 4: Mineria y Metales Estrategicos</w:t>
      </w:r>
      <w:bookmarkEnd w:id="100015"/>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Subtema</w:t>
            </w:r>
          </w:p>
        </w:tc>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 de nota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Marco legal y normativa minera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Ley 535 de 2014, nueva legislacion propuesta, decretos, Ley del Oro</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Bolivia necesita una nueva ley minera para no seguir rezagada</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Fiscalidad y regalías mineras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Regalías (2,5% mineros vs 50% hidrocarburos), impuestos, gravamen especial, distribucion departamental</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Diputados debaten gravamen especial a utilidades de empresas mineras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Mineria estatal (COMIBOL)</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COMIBOL, Huanuni, Colquiri, Vinto/EMV, plantas estatales, crisis y reestructuracion</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COMIBOL debilitada: plantas sin operar y millones sin retorno</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Mineria cooperativista</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Cooperativas, concesiones, federaciones (FENCOMIN, FDECO), condiciones laborales, mecanizacion</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Cooperativistas mineros reclaman nuevas areas de explotacion en Potosi</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Oro (categoria propia)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Produccion aurifera (US$ 23.244M exportaciones), BCB compra obligatoria, contrabando Bolivia-Peru</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Mineros rechazan vender 22 toneladas de oro al BCB y denuncian contrabando</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Litio e industrializacion</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YLB, planta Llipi, Coipasa, DLE, convenios internacionales, secretismo en contratos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YLB impulsa certificacion internacional de recursos en salar de Coipasa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Tierras raras y minerales criticos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Indio, galio, germanio, cobre, antimonio, wolfram, bismuto</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Tierras raras contienen minerales criticos clave para la economia de Bolivia</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Estaño, zinc, plata, plomo</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Produccion, exportacion, precios internacionales, mercados globales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Precio del estaño sube 8% en bolsa de Londres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Mutun y siderurgia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Complejo del Mutun, 40.000 Mt de hierro, planta DRI, deuda historica</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El Mutun fue inaugurado dos veces pero hasta ahora no funciona</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Exportaciones y comercio minero</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Balanza comercial minera, destino de exportaciones, boletines estadisticos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Minerales en alza: Bolivia diversifica canasta exportadora en 2025</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Condiciones laborales y seguridad</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Accidentes (425 muertos en 4 anos), silicosis, salud ocupacional, genero (6% fuerza femenina)</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Mueren 425 mineros en accidentes en ultimos 4 anos en Bolivia</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Medio ambiente minero</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Pasivos ambientales (1.000+ depositos contaminan 300 comunidades), mercurio, cuencas, remediacion</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Bolivia: mil depositos mineros contaminan 300 comunidades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Formalizacion y transparencia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SENARECOM, formalizacion, AJAM, fiscalizacion, convenios secretos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Convenios secretos del litio boliviano: la opacidad detras de las alianzas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Geopolitica e inversion minera</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IED, competencia China-EEUU, mecanizacion, OIT ThinkCOOP</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Propuesta minera busca colocar a Bolivia en mapa de inversiones extranjeras</w:t>
            </w:r>
          </w:p>
        </w:tc>
      </w:tr>
    </w:tbl>
    <w:p>
      <w:pPr>
        <w:spacing w:after="60"/>
      </w:pPr>
    </w:p>
    <w:p>
      <w:pPr>
        <w:pStyle w:val="Heading2"/>
        <w:keepNext/>
        <w:spacing w:after="120" w:before="280" w:line="312"/>
      </w:pPr>
      <w:bookmarkStart w:id="100016" w:name="_Toc100016"/>
      <w:r>
        <w:rPr>
          <w:rFonts w:ascii="Calibri" w:cs="Calibri" w:eastAsia="Calibri" w:hAnsi="Calibri"/>
          <w:b/>
          <w:bCs/>
          <w:color w:val="0B1C2C"/>
          <w:sz w:val="28"/>
          <w:szCs w:val="28"/>
        </w:rPr>
        <w:t xml:space="preserve">Dominio 5: Sistemas de Vida, Tierra y Territorio</w:t>
      </w:r>
      <w:bookmarkEnd w:id="100016"/>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Subtema</w:t>
            </w:r>
          </w:p>
        </w:tc>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 de nota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Deforestacion e incendios forestales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Tasa de deforestacion, quema de terrenos, incendios, control</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Incendios forestales devoran 100,000 hectareas en Santa Cruz</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Biodiversidad y areas protegidas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Parques nacionales, especies amenazadas, reservas, macheteo</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Macheteo en Parque Nacional Madidi genera controversia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Fuentes de agua y recursos hidricos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Rios, vertientes, cuencas, glaciares, agua subterranea, Ley de Agua</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Sequía en el altiplano afecta fuentes de agua de comunidades rurales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Clima y fenómenos atmosfericos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Lluvias, sequias, inundaciones, El Niño/La Niña, SENAMHI</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Lluvias torrenciales causan inundaciones en Trinidad, Beni</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Contaminacion ambiental</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Aire, suelo, residuos solidos, tratamiento de basura, vertederos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Rio Pilcomayo registra niveles toxicos de plomo</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Cambio climatico</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Eventos extremos, adaptacion, mitigacion, politica climatica</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Estudio proyecta reduccion de 40% en cosechas por cambio climatico</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Gestion territorial y tenencia de tierra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INRA, saneamiento de tierras, ordenamiento territorial, tierras fiscales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INRA avanza en saneamiento de tierras en Beni</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Plagas agricolas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Arañita roja, mosca de la fruta, gusano barrenador, impacto en produccion</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Plaga de langostas amenaza cultivos de soya en Santa Cruz</w:t>
            </w:r>
          </w:p>
        </w:tc>
      </w:tr>
    </w:tbl>
    <w:p>
      <w:pPr>
        <w:spacing w:after="60"/>
      </w:pPr>
    </w:p>
    <w:p>
      <w:pPr>
        <w:pStyle w:val="Heading2"/>
        <w:keepNext/>
        <w:spacing w:after="120" w:before="280" w:line="312"/>
      </w:pPr>
      <w:bookmarkStart w:id="100017" w:name="_Toc100017"/>
      <w:r>
        <w:rPr>
          <w:rFonts w:ascii="Calibri" w:cs="Calibri" w:eastAsia="Calibri" w:hAnsi="Calibri"/>
          <w:b/>
          <w:bCs/>
          <w:color w:val="0B1C2C"/>
          <w:sz w:val="28"/>
          <w:szCs w:val="28"/>
        </w:rPr>
        <w:t xml:space="preserve">Dominio 6: Participacion y Accion Colectiva</w:t>
      </w:r>
      <w:bookmarkEnd w:id="100017"/>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Subtema</w:t>
            </w:r>
          </w:p>
        </w:tc>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 de nota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Organizaciones de trabajadores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COB, federaciones sindicales, sindicatos sectoriales, huelgas, marchas, paros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COB convoca marcha por salario minimo</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Organizaciones campesino-interculturales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CSUTCB, federaciones campesinas, comunidades interculturales, formas propias de organizacion y demandas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Federacion campesina exige cumbre sobre distribucion de tierras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Organizaciones empresariales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CAO, CAInco, camaras sectoriales, federaciones de cooperativistas mineros, federaciones de transporte (pesado, interdepartamental, urbano), paros empresariales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CAO solicita reunion con Ministro de Economia</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Comites civicos y juntas de vecinos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Comites departamentales (Santa Cruz, Cochabamba, etc.), juntas de barrio, cabildos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Comite Civico de Santa Cruz convoca cabildo por autonomias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Movilizacion y medidas de presion (transversal)</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Bloqueos, marchas, huelgas, paros, cabildos, asambleas, declaraciones (cualquier actor puede ejercer)</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Transportistas bloquean rutas por aumento de precio del diesel</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Pueblos indigenas y comunidades originarias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Naciones y pueblos indígena originario campesinos, usos y costumbres, consulta previa, autonomias indigenas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Comunidad guarani ejerce consulta previa sobre proyecto petrolero</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Derechos y demandas sociales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Demandas laborales, territoriales, de servicios basicos, reivindicaciones sectoriales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Vecinos de Villazon exigen agua potable tras 10 dias de corte</w:t>
            </w:r>
          </w:p>
        </w:tc>
      </w:tr>
    </w:tbl>
    <w:p>
      <w:pPr>
        <w:spacing w:after="60"/>
      </w:pPr>
    </w:p>
    <w:p>
      <w:pPr>
        <w:pStyle w:val="Heading2"/>
        <w:keepNext/>
        <w:spacing w:after="120" w:before="280" w:line="312"/>
      </w:pPr>
      <w:bookmarkStart w:id="100018" w:name="_Toc100018"/>
      <w:r>
        <w:rPr>
          <w:rFonts w:ascii="Calibri" w:cs="Calibri" w:eastAsia="Calibri" w:hAnsi="Calibri"/>
          <w:b/>
          <w:bCs/>
          <w:color w:val="0B1C2C"/>
          <w:sz w:val="28"/>
          <w:szCs w:val="28"/>
        </w:rPr>
        <w:t xml:space="preserve">Dominio 7: Gestion Publica e Institucional</w:t>
      </w:r>
      <w:bookmarkEnd w:id="100018"/>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Subtema</w:t>
            </w:r>
          </w:p>
        </w:tc>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 de nota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Gestion del Poder Ejecutivo</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Presidencia, ministerios, decisiones ejecutivas, politica de gobierno</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Presidente anuncia gabinete ministerial de reactivacion</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Gestion de gobiernos autónomos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Gobernadores, alcaldes, asambleas departamentales, concejos municipales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Alcalde de La Paz presenta plan de movilidad urbana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Gestion legislativa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Camara de Diputados, Senado, proyectos de ley, sesiones, comisiones, votaciones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Diputados aprueban ley de pensiones con amplia mayoria</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Instituciones de control y fiscalizacion</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Contraloria, Tribunal de Cuentas, Defensoria del Pueblo, Ministerio Publico</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Contraloria denuncia irregularidades en contrato de carreteras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Elecciones y proceso electoral</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TSE, elecciones generales, municipales, departamentales, referendos, auditorias electorales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TSE convoca elecciones municipales para diciembre de 2026</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Politica de seguridad ciudadana</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Fuerzas armadas, policia, delincuencia, prevencion (como gestion estatal, no como eje tematico prioritario)</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Gobierno anuncia plan de seguridad ciudadana con 5.000 efectivos</w:t>
            </w:r>
          </w:p>
        </w:tc>
      </w:tr>
    </w:tbl>
    <w:p>
      <w:pPr>
        <w:spacing w:after="60"/>
      </w:pPr>
    </w:p>
    <w:p>
      <w:pPr>
        <w:pStyle w:val="Heading2"/>
        <w:keepNext/>
        <w:spacing w:after="120" w:before="280" w:line="312"/>
      </w:pPr>
      <w:bookmarkStart w:id="100019" w:name="_Toc100019"/>
      <w:r>
        <w:rPr>
          <w:rFonts w:ascii="Calibri" w:cs="Calibri" w:eastAsia="Calibri" w:hAnsi="Calibri"/>
          <w:b/>
          <w:bCs/>
          <w:color w:val="0B1C2C"/>
          <w:sz w:val="28"/>
          <w:szCs w:val="28"/>
        </w:rPr>
        <w:t xml:space="preserve">Dominio 8: Organizacion Politica y Electoral</w:t>
      </w:r>
      <w:bookmarkEnd w:id="100019"/>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Subtema</w:t>
            </w:r>
          </w:p>
        </w:tc>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 de nota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Partidos politicos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MAS, CC, CREEMOS, MNR, otros partidos con o sin bancada parlamentaria</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Nuevo partido se inscribe ante el TSE para elecciones 2026</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Agrupaciones ciudadanas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Organizaciones politicas no partidarias, candidaturas independientes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Agrupacion ciudadana presenta candidatos sin respaldo partidario</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Pueblos indigenas como organizacion politica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Participacion politica a traves de usos y costumbres, democracia comunitaria, mallkus, t'amanis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Autoridades originarias de ayllu participan en cumbre de pueblos indigenas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Posicionamiento partidario tematico</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Partidos y organizaciones toman posiciones sobre temas sectoriales (no solo electoral)</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Partido Comunista rechaza nuevo contrato minero por condiciones desfavorables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Alianzas y bloques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Alianzas electorales, coaliciones, bloques parlamentarios, negociaciones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CC y CREEMOS anuncian alianza estrategica para elecciones</w:t>
            </w:r>
          </w:p>
        </w:tc>
      </w:tr>
    </w:tbl>
    <w:p>
      <w:pPr>
        <w:spacing w:after="60"/>
      </w:pPr>
    </w:p>
    <w:p>
      <w:pPr>
        <w:pStyle w:val="Heading2"/>
        <w:keepNext/>
        <w:spacing w:after="120" w:before="280" w:line="312"/>
      </w:pPr>
      <w:bookmarkStart w:id="100020" w:name="_Toc100020"/>
      <w:r>
        <w:rPr>
          <w:rFonts w:ascii="Calibri" w:cs="Calibri" w:eastAsia="Calibri" w:hAnsi="Calibri"/>
          <w:b/>
          <w:bCs/>
          <w:color w:val="0B1C2C"/>
          <w:sz w:val="28"/>
          <w:szCs w:val="28"/>
        </w:rPr>
        <w:t xml:space="preserve">Dominio 9: Justicia, Derechos Humanos e Impunidad</w:t>
      </w:r>
      <w:bookmarkEnd w:id="100020"/>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Subtema</w:t>
            </w:r>
          </w:p>
        </w:tc>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 de nota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Sistema de justicia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Tribunal Supremo, tribunales departamentales, juzgados, procesos judiciales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Tribunal Supremo anula sentencia en caso de corrupcion</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Derechos humanos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Violaciones de DDHH, tortura, tratos crueles, ONU, CIDH</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CIDH cita al Estado boliviano por caso de tortura en Oruro</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Componente de genero</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Violencia de genero, feminicidio, derechos reproductivos, igualdad</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Feminicidio en Bolivia: 95 casos en lo que va del ano</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Componente generacional</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Derechos de la niñez, juventud, tercera edad, ciudadanos de capacidades diversas (discapacidad, autismo, sindrome de Down)</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Senado aprueba ley de proteccion integral de personas con discapacidad</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Violencia estatal y policial</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Uso excesivo de fuerza, represion, desapariciones forzadas, responsabilidad penal del Estado</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Comision investiga uso excesivo de fuerza en bloqueo de 2025</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Impunidad y casos emblematicos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Casos sin resolver, denuncias archivadas, justicia selectiva</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Caso de Sacaba sigue sin resolver tras 6 anos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Derechos de las personas privadas de libertad</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Carceles, hacinamiento, condiciones penitenciarias, reforma penitenciaria</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Hacinamiento carcelario alcanza 230% de capacidad</w:t>
            </w:r>
          </w:p>
        </w:tc>
      </w:tr>
    </w:tbl>
    <w:p>
      <w:pPr>
        <w:spacing w:after="60"/>
      </w:pPr>
    </w:p>
    <w:p>
      <w:pPr>
        <w:pStyle w:val="Heading2"/>
        <w:keepNext/>
        <w:spacing w:after="120" w:before="280" w:line="312"/>
      </w:pPr>
      <w:bookmarkStart w:id="100021" w:name="_Toc100021"/>
      <w:r>
        <w:rPr>
          <w:rFonts w:ascii="Calibri" w:cs="Calibri" w:eastAsia="Calibri" w:hAnsi="Calibri"/>
          <w:b/>
          <w:bCs/>
          <w:color w:val="0B1C2C"/>
          <w:sz w:val="28"/>
          <w:szCs w:val="28"/>
        </w:rPr>
        <w:t xml:space="preserve">Dominio 10: Educacion, Cultura e Identidad</w:t>
      </w:r>
      <w:bookmarkEnd w:id="100021"/>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Subtema</w:t>
            </w:r>
          </w:p>
        </w:tc>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 de nota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Universidades y autonomia universitaria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CEUB, universidades publicas, autonomia, presupuesto, co-gobierno, universidades privadas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CEUB exige al Gobierno Bs 1.296 millones para universidades publicas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Magisterio y condiciones docentes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Escalafon, demanda salarial, huelgas, paros, rutas del magisterio, bonificacion pedagogica</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Magisterio urbano se suma a huelga general exigiendo incremento salarial</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Formacion docente (ESFM/UA)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Escuelas Superiores de Formacion, admision, titulo en educacion, normales rurales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Mas de 80.000 postulantes se inscriben a convocatoria para ESFM</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Juntas escolares y padres de familia</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Reglamento, funciones de control social, elecciones de juntas, conflictos pedagogicos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Ministerio prohíbe a juntas escolares intervenir en asuntos tecnicos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Infraestructura educativa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Construccion, equipamiento, deficit rural, normas de diseno</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Gobierno inaugura 12 unidades educativas en El Alto con Bs 122 millones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Presupuesto educativo</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Asignacion, ejecucion, IDC, gasto en educacion como % del PIB</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Presupuesto 2025 destina Bs 30.000 millones a educacion</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Reforma curricular y normativa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Diseno curricular nuevo, Ley Avelino Siñani-Elizardo Perez, resoluciones ministeriales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Ministerio de Educacion inicia diseno de nuevo curriculo para gestion 2026</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Educacion intercultural bilingue</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37 lenguas oficiales, EIB, revitalizacion de lenguas indigenas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Direccion Nacional de EIB capacita docentes en lengua materna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Educacion tecnica y formacion profesional</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Institutos tecnicos, transitabilidad, oferta formativa, insercion laboral</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50 centros de formacion tecnica se articulan a servicios de empleo</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Desercion y equidad educativa</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Abandono escolar (~35.000 estudiantes), crisis economica, brecha rural-urbana</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UNICEF alerta que 35.000 estudiantes abandonaron escuela por crisis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Violencia y convivencia escolar</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Acoso escolar, Ley antibullying, ciberacoso, protocolos de prevencion</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Atienden 17.248 casos de violencia en colegios de Chuquisaca</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Calendario e inscripcion escolar</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Inicio de clases, 200 dias habiles, doble turno, inscripcion, examen de ingreso</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Candidatos proponen modificar jornadas escolares a 8 horas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Tecnologia y educacion digital</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Aulas digitales, clases virtuales, conectividad, brecha digital</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Ministerio instruye implementacion de clases virtuales por contingencia climatica</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Cultura, patrimonio e identidad</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Patrimonio tangible e intangible, fiestas patronales, descolonizacion cultural, artes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Carnaval de Oruro declarado patrimonio intangible</w:t>
            </w:r>
          </w:p>
        </w:tc>
      </w:tr>
    </w:tbl>
    <w:p>
      <w:pPr>
        <w:spacing w:after="60"/>
      </w:pPr>
    </w:p>
    <w:p>
      <w:pPr>
        <w:pStyle w:val="Heading2"/>
        <w:keepNext/>
        <w:spacing w:after="120" w:before="280" w:line="312"/>
      </w:pPr>
      <w:bookmarkStart w:id="100022" w:name="_Toc100022"/>
      <w:r>
        <w:rPr>
          <w:rFonts w:ascii="Calibri" w:cs="Calibri" w:eastAsia="Calibri" w:hAnsi="Calibri"/>
          <w:b/>
          <w:bCs/>
          <w:color w:val="0B1C2C"/>
          <w:sz w:val="28"/>
          <w:szCs w:val="28"/>
        </w:rPr>
        <w:t xml:space="preserve">Dominio 11: Geopolitica y Relaciones Internacionales</w:t>
      </w:r>
      <w:bookmarkEnd w:id="100022"/>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Subtema</w:t>
            </w:r>
          </w:p>
        </w:tc>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 de nota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Relaciones bilaterales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Relaciones con Argentina, Brasil, Chile, Peru, EEUU, China, UE, Venezuela</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Presidente se reune con mandatario argentino para renegociar gas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Integracion regional</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Mercosur, UNASUR, CELAC, Alianza del Pacifico, relaciones sudamericanas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Bolivia asume presidencia pro tempore de CELAC</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Cooperacion y convenios internacionales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Cooperacion tecnica, financiera, acuerdos bilaterales, organismos internacionales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BID aprueba US$ 50 millones para proyecto de caminos rurales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Acuerdos arancelarios y comercio</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Acuerdos comerciales, tratados de libre comercio, aranceles, barreras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Bolivia negocia acuerdo arancelario preferencial con la Union Europea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Soberanía y politica exterior</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Soberania nacional, recursos naturales, autonomia politica</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Gobierno reafirma soberania sobre recursos naturales en foro internacional</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Organismos multilaterales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ONU, OEA, OIT, Corte IDH, FAO, Banco Mundial, BID</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ONU recomienda a Bolivia reformar sistema penitenciario</w:t>
            </w:r>
          </w:p>
        </w:tc>
      </w:tr>
    </w:tbl>
    <w:p>
      <w:pPr>
        <w:spacing w:after="60"/>
      </w:pPr>
    </w:p>
    <w:p>
      <w:pPr>
        <w:pStyle w:val="Heading2"/>
        <w:keepNext/>
        <w:spacing w:after="120" w:before="280" w:line="312"/>
      </w:pPr>
      <w:bookmarkStart w:id="100023" w:name="_Toc100023"/>
      <w:r>
        <w:rPr>
          <w:rFonts w:ascii="Calibri" w:cs="Calibri" w:eastAsia="Calibri" w:hAnsi="Calibri"/>
          <w:b/>
          <w:bCs/>
          <w:color w:val="0B1C2C"/>
          <w:sz w:val="28"/>
          <w:szCs w:val="28"/>
        </w:rPr>
        <w:t xml:space="preserve">Dominio 12: Territorio y Derechos Colectivos</w:t>
      </w:r>
      <w:bookmarkEnd w:id="100023"/>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Subtema</w:t>
            </w:r>
          </w:p>
        </w:tc>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 de nota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Autonomias indigenas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Autonomias indigena originario campesinas, TCOs, gestion territorial propia</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Tres autonomias indigenas consolidan gestion territorial en tierras bajas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Derechos colectivos</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Consulta previa (CPLI), derechos de pueblos indigenas, territories ancestrales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Defensoria del Pueblo documenta vulneracion de derechos por mineria ilegal</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Conflictos de tenencia de tierra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Tenencia, saneamiento, conflictos entre comunidades, tierras fiscales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Comunidades de Santa Cruz denuncian avasallamiento de tierras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Poblacion y demografia</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Censo 2024, migracion interna, crecimiento poblacional, densidad demografica</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Resultados del censo 2024 revelan poblacion de 12 millones</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Desarrollo rural y economias campesinas</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Economias comunitarias, agricultura familiar, comercio justo, ferias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Ferias alternativas crecen 30% en El Alto por crisis de precios</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Seguridad ciudadana (eje propio, nunca prioritario)</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Delincuencia, violencia urbana, fuerzas de orden, prevencion (como fenomeno social, nunca como tema prioritario del sistema)</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Robos al ascenso incrementan 40% en zona sur de La Paz</w:t>
            </w:r>
          </w:p>
        </w:tc>
      </w:tr>
    </w:tbl>
    <w:p>
      <w:pPr>
        <w:spacing w:after="60"/>
      </w:pPr>
    </w:p>
    <w:p>
      <w:pPr>
        <w:pStyle w:val="Heading2"/>
        <w:keepNext/>
        <w:spacing w:after="120" w:before="280" w:line="312"/>
      </w:pPr>
      <w:bookmarkStart w:id="100024" w:name="_Toc100024"/>
      <w:r>
        <w:rPr>
          <w:rFonts w:ascii="Calibri" w:cs="Calibri" w:eastAsia="Calibri" w:hAnsi="Calibri"/>
          <w:b/>
          <w:bCs/>
          <w:color w:val="0B1C2C"/>
          <w:sz w:val="28"/>
          <w:szCs w:val="28"/>
        </w:rPr>
        <w:t xml:space="preserve">Dominio 13: Economia Social, Soberania y Bienestar (NUEVO)</w:t>
      </w:r>
      <w:bookmarkEnd w:id="100024"/>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Subtema</w:t>
            </w:r>
          </w:p>
        </w:tc>
        <w:tc>
          <w:tcPr>
            <w:tcW w:type="pct" w:w="4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 de nota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Soberania y seguridad alimentaria</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Produccion nacional de alimentos, importacion, dependencia alimentaria, programas, leyes (Bolivia importa 41% alimentos)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Bolivia importa 41% de alimentos que consume segun estudio</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Precios, inflacion y canasta basica</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IPC (INE/BCB), canasta familiar, escasez, encarecimiento, control de precios (inflacion 20,40% en 2025)</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Inflacion acumulada 2025 alcanza 20.40% segun CERES Bolivia</w:t>
            </w:r>
          </w:p>
        </w:tc>
      </w:tr>
      <w:tr>
        <w:trPr>
          <w:cantSplit/>
        </w:trPr>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Migracion y desplazamiento</w:t>
            </w:r>
          </w:p>
        </w:tc>
        <w:tc>
          <w:tcPr>
            <w:tcW w:type="pct" w:w="4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Emigracion, inmigracion, politicas migratorias, trata de personas, remesas (+1 millon estimado 2025-26)</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Estimaciones: mas de un millon de personas migrarian hacia Argentina</w:t>
            </w:r>
          </w:p>
        </w:tc>
      </w:tr>
      <w:tr>
        <w:trPr>
          <w:cantSplit/>
        </w:trPr>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Condiciones de vida y bienestar social</w:t>
            </w:r>
          </w:p>
        </w:tc>
        <w:tc>
          <w:tcPr>
            <w:tcW w:type="pct" w:w="4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Pobreza, desigualdad, vivienda, programas sociales, transferencias condicionadas</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Programa Bono Juancito Pinto beneficia a 2 millones de estudiantes</w:t>
            </w:r>
          </w:p>
        </w:tc>
      </w:tr>
    </w:tbl>
    <w:p>
      <w:pPr>
        <w:spacing w:after="60"/>
      </w:pPr>
    </w:p>
    <w:p>
      <w:pPr>
        <w:spacing w:after="120" w:line="312"/>
        <w:jc w:val="both"/>
      </w:pPr>
      <w:r>
        <w:rPr>
          <w:rFonts w:ascii="Calibri" w:cs="Calibri" w:eastAsia="Calibri" w:hAnsi="Calibri"/>
          <w:color w:val="000000"/>
          <w:sz w:val="22"/>
          <w:szCs w:val="22"/>
        </w:rPr>
        <w:t xml:space="preserve">Nota: La distincion entre Dominio 2 (Economia y Modelo de Desarrollo) y Dominio 13 (Economia Social, Soberania y Bienestar) es la diferencia entre 'la economia del pais' (fiscal, PIB, reservas, inversion) y 'la economia de la gente' (cuanto cuesta comer, si hay alimentos, si hay que migrar). En Bolivia, donde la crisis de 2025 convirtio el precio del pollo en noticia nacional, esta distincion es periodisticamente esencial. El concepto esta respaldado por el Vivir Bien (Art. 8.II, 16, 307, 405 CPE).</w:t>
      </w:r>
    </w:p>
    <w:p>
      <w:pPr>
        <w:pStyle w:val="Heading1"/>
        <w:keepNext/>
        <w:spacing w:after="160" w:before="360" w:line="312"/>
      </w:pPr>
      <w:bookmarkStart w:id="100025" w:name="_Toc100025"/>
      <w:r>
        <w:rPr>
          <w:rFonts w:ascii="Calibri" w:cs="Calibri" w:eastAsia="Calibri" w:hAnsi="Calibri"/>
          <w:b/>
          <w:bCs/>
          <w:color w:val="0B1C2C"/>
          <w:sz w:val="32"/>
          <w:szCs w:val="32"/>
        </w:rPr>
        <w:t xml:space="preserve">5. Lentes Transversales</w:t>
      </w:r>
      <w:bookmarkEnd w:id="100025"/>
    </w:p>
    <w:p>
      <w:pPr>
        <w:spacing w:after="120" w:line="312"/>
        <w:jc w:val="both"/>
      </w:pPr>
      <w:r>
        <w:rPr>
          <w:rFonts w:ascii="Calibri" w:cs="Calibri" w:eastAsia="Calibri" w:hAnsi="Calibri"/>
          <w:color w:val="000000"/>
          <w:sz w:val="22"/>
          <w:szCs w:val="22"/>
        </w:rPr>
        <w:t xml:space="preserve">Los lentes transversales son dimensiones de analisis que se aplican sobre cualquier eje estructural. No son ejes tematicos sino perspectivas desde las cuales una nota puede ser leida. Se activan cuando la nota contiene indicadores especificos (triggers) que justifican el enfoque adicional.</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Lente</w:t>
            </w:r>
          </w:p>
        </w:tc>
        <w:tc>
          <w:tcPr>
            <w:tcW w:type="pct" w:w="4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Trigger de activacion</w:t>
            </w:r>
          </w:p>
        </w:tc>
        <w:tc>
          <w:tcPr>
            <w:tcW w:type="pct" w:w="4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Ejemplo</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Genero</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Menciona mujeres, feminicidio, violencia de genero, derechos reproductivos, brecha salarial, participacion femenina</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 sobre mineria que menciona que solo 6% de la fuerza laboral es femenina</w:t>
            </w:r>
          </w:p>
        </w:tc>
      </w:tr>
      <w:tr>
        <w:trPr>
          <w:cantSplit/>
        </w:trPr>
        <w:tc>
          <w:tcPr>
            <w:tcW w:type="pct" w:w="2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Generacional</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Menciona niñez, juventud, tercera edad, personas con capacidades diversas (discapacidad, autismo, sindrome de Down)</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 sobre educacion que menciona abandono escolar por crisis economica</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Violencia estatal / policial</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Menciona represion, uso excesivo de fuerza, detenciones arbitrarias, tortura, desapariciones</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 sobre protesta donde se reporta uso desproporcionado de fuerza policial</w:t>
            </w:r>
          </w:p>
        </w:tc>
      </w:tr>
      <w:tr>
        <w:trPr>
          <w:cantSplit/>
        </w:trPr>
        <w:tc>
          <w:tcPr>
            <w:tcW w:type="pct" w:w="2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Derechos humanos</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Menciona DDHH, convenciones, tratados internacionales, CIDH, ONU</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 sobre justicia que cita pronunciamiento de la CIDH</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Territorialidad</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Menciona territorio, tenencia, consulta previa, autonomias, demarcacion</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 sobre mineria que afecta territorio de comunidades indigenas</w:t>
            </w:r>
          </w:p>
        </w:tc>
      </w:tr>
      <w:tr>
        <w:trPr>
          <w:cantSplit/>
        </w:trPr>
        <w:tc>
          <w:tcPr>
            <w:tcW w:type="pct" w:w="2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Medio ambiente</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Menciona contaminacion, biodiversidad, cambio climatico, deforestacion</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 sobre economia que discute impacto ambiental de una politica</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Interculturalidad</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Menciona pueblos indigenas, lenguas originarias, usos y costumbres, cosmovision</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 sobre politica que menciona participacion de pueblos indigenas</w:t>
            </w:r>
          </w:p>
        </w:tc>
      </w:tr>
      <w:tr>
        <w:trPr>
          <w:cantSplit/>
        </w:trPr>
        <w:tc>
          <w:tcPr>
            <w:tcW w:type="pct" w:w="2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Soberanía nacional</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Menciona recursos naturales, soberania, independencia economica, control estatal</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 sobre hidrocarburos que debate control nacional vs inversion extranjera</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Economía popular / informal</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Menciona comercio informal, vendedores, mercado popular, economia de sobrevivencia</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 sobre precios que describe impacto en vendedores del mercado popular</w:t>
            </w:r>
          </w:p>
        </w:tc>
      </w:tr>
    </w:tbl>
    <w:p>
      <w:pPr>
        <w:spacing w:after="60"/>
      </w:pPr>
    </w:p>
    <w:p>
      <w:pPr>
        <w:spacing w:after="120" w:line="312"/>
        <w:jc w:val="both"/>
      </w:pPr>
      <w:r>
        <w:rPr>
          <w:rFonts w:ascii="Calibri" w:cs="Calibri" w:eastAsia="Calibri" w:hAnsi="Calibri"/>
          <w:color w:val="000000"/>
          <w:sz w:val="22"/>
          <w:szCs w:val="22"/>
        </w:rPr>
        <w:t xml:space="preserve">Los lentes se implementan como una tabla secundaria: nota_lentes(nota_id, lente_id). Una nota puede tener cero o multiples lentes. Los productos pueden consultar por lente para generar entregables especializados (por ejemplo, un informe sobre genero en la mineria).</w:t>
      </w:r>
    </w:p>
    <w:p>
      <w:pPr>
        <w:pStyle w:val="Heading1"/>
        <w:keepNext/>
        <w:spacing w:after="160" w:before="360" w:line="312"/>
      </w:pPr>
      <w:bookmarkStart w:id="100026" w:name="_Toc100026"/>
      <w:r>
        <w:rPr>
          <w:rFonts w:ascii="Calibri" w:cs="Calibri" w:eastAsia="Calibri" w:hAnsi="Calibri"/>
          <w:b/>
          <w:bCs/>
          <w:color w:val="0B1C2C"/>
          <w:sz w:val="32"/>
          <w:szCs w:val="32"/>
        </w:rPr>
        <w:t xml:space="preserve">6. Modelo de Datos</w:t>
      </w:r>
      <w:bookmarkEnd w:id="100026"/>
    </w:p>
    <w:p>
      <w:pPr>
        <w:pStyle w:val="Heading2"/>
        <w:keepNext/>
        <w:spacing w:after="120" w:before="280" w:line="312"/>
      </w:pPr>
      <w:bookmarkStart w:id="100027" w:name="_Toc100027"/>
      <w:r>
        <w:rPr>
          <w:rFonts w:ascii="Calibri" w:cs="Calibri" w:eastAsia="Calibri" w:hAnsi="Calibri"/>
          <w:b/>
          <w:bCs/>
          <w:color w:val="0B1C2C"/>
          <w:sz w:val="28"/>
          <w:szCs w:val="28"/>
        </w:rPr>
        <w:t xml:space="preserve">6.1 Schema propuesto</w:t>
      </w:r>
      <w:bookmarkEnd w:id="100027"/>
    </w:p>
    <w:p>
      <w:pPr>
        <w:spacing w:after="120" w:line="312"/>
        <w:jc w:val="both"/>
      </w:pPr>
      <w:r>
        <w:rPr>
          <w:rFonts w:ascii="Calibri" w:cs="Calibri" w:eastAsia="Calibri" w:hAnsi="Calibri"/>
          <w:color w:val="000000"/>
          <w:sz w:val="22"/>
          <w:szCs w:val="22"/>
        </w:rPr>
        <w:t xml:space="preserve">El modelo de datos refleja la arquitectura multi-eje con separacion clara entre ejes estructurales y lentes transversales.</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2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Tabla</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Campos clave</w:t>
            </w:r>
          </w:p>
        </w:tc>
        <w:tc>
          <w:tcPr>
            <w:tcW w:type="pct" w:w="5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Descripcion</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EjeEstructural</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id, nombre, dominio, subtema, descripcion</w:t>
            </w:r>
          </w:p>
        </w:tc>
        <w:tc>
          <w:tcPr>
            <w:tcW w:type="pct" w:w="5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13 dominios con sus subtemas</w:t>
            </w:r>
          </w:p>
        </w:tc>
      </w:tr>
      <w:tr>
        <w:trPr>
          <w:cantSplit/>
        </w:trPr>
        <w:tc>
          <w:tcPr>
            <w:tcW w:type="pct" w:w="2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Lente</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id, nombre, descripcion, triggers</w:t>
            </w:r>
          </w:p>
        </w:tc>
        <w:tc>
          <w:tcPr>
            <w:tcW w:type="pct" w:w="5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9 lentes transversales con triggers de activacion</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NotaEje</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nota_id, eje_id, peso (0-1)</w:t>
            </w:r>
          </w:p>
        </w:tc>
        <w:tc>
          <w:tcPr>
            <w:tcW w:type="pct" w:w="5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Relacion many-to-many nota-eje con peso</w:t>
            </w:r>
          </w:p>
        </w:tc>
      </w:tr>
      <w:tr>
        <w:trPr>
          <w:cantSplit/>
        </w:trPr>
        <w:tc>
          <w:tcPr>
            <w:tcW w:type="pct" w:w="2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NotaLente</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nota_id, lente_id</w:t>
            </w:r>
          </w:p>
        </w:tc>
        <w:tc>
          <w:tcPr>
            <w:tcW w:type="pct" w:w="5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Relacion many-to-many nota-lente</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MedioProducto</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medio_id, producto_id, frecuencia, activo</w:t>
            </w:r>
          </w:p>
        </w:tc>
        <w:tc>
          <w:tcPr>
            <w:tcW w:type="pct" w:w="5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Configuracion por producto de que medios monitorear</w:t>
            </w:r>
          </w:p>
        </w:tc>
      </w:tr>
    </w:tbl>
    <w:p>
      <w:pPr>
        <w:spacing w:after="60"/>
      </w:pPr>
    </w:p>
    <w:p>
      <w:pPr>
        <w:pStyle w:val="Heading2"/>
        <w:keepNext/>
        <w:spacing w:after="120" w:before="280" w:line="312"/>
      </w:pPr>
      <w:bookmarkStart w:id="100028" w:name="_Toc100028"/>
      <w:r>
        <w:rPr>
          <w:rFonts w:ascii="Calibri" w:cs="Calibri" w:eastAsia="Calibri" w:hAnsi="Calibri"/>
          <w:b/>
          <w:bCs/>
          <w:color w:val="0B1C2C"/>
          <w:sz w:val="28"/>
          <w:szCs w:val="28"/>
        </w:rPr>
        <w:t xml:space="preserve">6.2 Consultas tipicas por producto</w:t>
      </w:r>
      <w:bookmarkEnd w:id="100028"/>
    </w:p>
    <w:p>
      <w:pPr>
        <w:spacing w:after="120" w:line="312"/>
        <w:jc w:val="both"/>
      </w:pPr>
      <w:r>
        <w:rPr>
          <w:rFonts w:ascii="Calibri" w:cs="Calibri" w:eastAsia="Calibri" w:hAnsi="Calibri"/>
          <w:color w:val="000000"/>
          <w:sz w:val="22"/>
          <w:szCs w:val="22"/>
        </w:rPr>
        <w:t xml:space="preserve">El Saldo del Dia para un cliente del sector empresarial prioriza los ejes: economia e ingresos fiscales, gestion ejecutivo, hidrocarburos. El Especializado Hidrocarburos recoge TODAS las notas donde hidrocarburos &gt;= 0.5, incluyendo notas de gestion ejecutivo, organizaciones sociales y economia por interseccion. La Ficha del Legislador recupera notas por actor (ministro, diputado) desde cualquier eje donde aparezca.</w:t>
      </w:r>
    </w:p>
    <w:p>
      <w:pPr>
        <w:pStyle w:val="Heading2"/>
        <w:keepNext/>
        <w:spacing w:after="120" w:before="280" w:line="312"/>
      </w:pPr>
      <w:bookmarkStart w:id="100029" w:name="_Toc100029"/>
      <w:r>
        <w:rPr>
          <w:rFonts w:ascii="Calibri" w:cs="Calibri" w:eastAsia="Calibri" w:hAnsi="Calibri"/>
          <w:b/>
          <w:bCs/>
          <w:color w:val="0B1C2C"/>
          <w:sz w:val="28"/>
          <w:szCs w:val="28"/>
        </w:rPr>
        <w:t xml:space="preserve">6.3 Prompt LLM para clasificacion multi-eje</w:t>
      </w:r>
      <w:bookmarkEnd w:id="100029"/>
    </w:p>
    <w:p>
      <w:pPr>
        <w:spacing w:after="120" w:line="312"/>
        <w:jc w:val="both"/>
      </w:pPr>
      <w:r>
        <w:rPr>
          <w:rFonts w:ascii="Calibri" w:cs="Calibri" w:eastAsia="Calibri" w:hAnsi="Calibri"/>
          <w:color w:val="000000"/>
          <w:sz w:val="22"/>
          <w:szCs w:val="22"/>
        </w:rPr>
        <w:t xml:space="preserve">El prompt de clasificacion se reescribe para asignar multiples ejes con pesos: 'Analiza esta nota periodistica. Asigna todos los ejes tematicos relevantes con un peso entre 0 y 1. Reglas: (1) Solo asigna ejes genuinamente relevantes, no tangencialmente relacionados. (2) Minimo peso para registrar: 0.5. (3) Maximo 6 ejes por nota. (4) El peso refleja la relevancia del eje EN ESTA NOTA, no la importancia del tema en abstracto. (5) Asigna tambien los lentes transversales activos si la nota contiene los triggers correspondientes.'</w:t>
      </w:r>
    </w:p>
    <w:p>
      <w:pPr>
        <w:pStyle w:val="Heading1"/>
        <w:keepNext/>
        <w:spacing w:after="160" w:before="360" w:line="312"/>
      </w:pPr>
      <w:bookmarkStart w:id="100030" w:name="_Toc100030"/>
      <w:r>
        <w:rPr>
          <w:rFonts w:ascii="Calibri" w:cs="Calibri" w:eastAsia="Calibri" w:hAnsi="Calibri"/>
          <w:b/>
          <w:bCs/>
          <w:color w:val="0B1C2C"/>
          <w:sz w:val="32"/>
          <w:szCs w:val="32"/>
        </w:rPr>
        <w:t xml:space="preserve">7. Impacto en Productos</w:t>
      </w:r>
      <w:bookmarkEnd w:id="100030"/>
    </w:p>
    <w:p>
      <w:pPr>
        <w:pStyle w:val="Heading2"/>
        <w:keepNext/>
        <w:spacing w:after="120" w:before="280" w:line="312"/>
      </w:pPr>
      <w:bookmarkStart w:id="100031" w:name="_Toc100031"/>
      <w:r>
        <w:rPr>
          <w:rFonts w:ascii="Calibri" w:cs="Calibri" w:eastAsia="Calibri" w:hAnsi="Calibri"/>
          <w:b/>
          <w:bCs/>
          <w:color w:val="0B1C2C"/>
          <w:sz w:val="28"/>
          <w:szCs w:val="28"/>
        </w:rPr>
        <w:t xml:space="preserve">7.1 Productos reestructurados por el modelo multi-eje</w:t>
      </w:r>
      <w:bookmarkEnd w:id="100031"/>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Producto</w:t>
            </w:r>
          </w:p>
        </w:tc>
        <w:tc>
          <w:tcPr>
            <w:tcW w:type="pct" w:w="1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Frecuencia</w:t>
            </w:r>
          </w:p>
        </w:tc>
        <w:tc>
          <w:tcPr>
            <w:tcW w:type="pct" w:w="2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Relacion con ejes</w:t>
            </w:r>
          </w:p>
        </w:tc>
        <w:tc>
          <w:tcPr>
            <w:tcW w:type="pct" w:w="4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Cambios por multi-eje</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El Radar</w:t>
            </w:r>
          </w:p>
        </w:tc>
        <w:tc>
          <w:tcPr>
            <w:tcW w:type="pct" w:w="1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Diario</w:t>
            </w:r>
          </w:p>
        </w:tc>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Todos los ejes (alerta temprana)</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Captura intersecciones: una nota de agua aparece tanto en salud como en gestion publica</w:t>
            </w:r>
          </w:p>
        </w:tc>
      </w:tr>
      <w:tr>
        <w:trPr>
          <w:cantSplit/>
        </w:trPr>
        <w:tc>
          <w:tcPr>
            <w:tcW w:type="pct" w:w="2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Saldo del Dia</w:t>
            </w:r>
          </w:p>
        </w:tc>
        <w:tc>
          <w:tcPr>
            <w:tcW w:type="pct" w:w="1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Diario</w:t>
            </w:r>
          </w:p>
        </w:tc>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Filtrado por perfil de cliente</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Cada cliente recibe resumen priorizado por los ejes de su sector</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El Foco</w:t>
            </w:r>
          </w:p>
        </w:tc>
        <w:tc>
          <w:tcPr>
            <w:tcW w:type="pct" w:w="1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Semanal</w:t>
            </w:r>
          </w:p>
        </w:tc>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1 dominio profundo por edicion</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Cubre notas donde el eje focal &gt;= 0.5, incluyendo intersecciones</w:t>
            </w:r>
          </w:p>
        </w:tc>
      </w:tr>
      <w:tr>
        <w:trPr>
          <w:cantSplit/>
        </w:trPr>
        <w:tc>
          <w:tcPr>
            <w:tcW w:type="pct" w:w="2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El Especializado</w:t>
            </w:r>
          </w:p>
        </w:tc>
        <w:tc>
          <w:tcPr>
            <w:tcW w:type="pct" w:w="1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Diario (rotativo) + pago por dominio</w:t>
            </w:r>
          </w:p>
        </w:tc>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1 dominio por instancia</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Modelo freemium: 1 edicion diaria gratuita rotando dominios</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Boletin del Grano</w:t>
            </w:r>
          </w:p>
        </w:tc>
        <w:tc>
          <w:tcPr>
            <w:tcW w:type="pct" w:w="1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Semanal + resumen mensual</w:t>
            </w:r>
          </w:p>
        </w:tc>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Economia Social + Sistemas de Vida</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Alimenta El Radar y El Especializado con alertas sectoriales</w:t>
            </w:r>
          </w:p>
        </w:tc>
      </w:tr>
      <w:tr>
        <w:trPr>
          <w:cantSplit/>
        </w:trPr>
        <w:tc>
          <w:tcPr>
            <w:tcW w:type="pct" w:w="2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El Informe Cerrado</w:t>
            </w:r>
          </w:p>
        </w:tc>
        <w:tc>
          <w:tcPr>
            <w:tcW w:type="pct" w:w="1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Semanal</w:t>
            </w:r>
          </w:p>
        </w:tc>
        <w:tc>
          <w:tcPr>
            <w:tcW w:type="pct" w:w="2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Todos los ejes</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Semanario con resumen multi-eje de la semana</w:t>
            </w:r>
          </w:p>
        </w:tc>
      </w:tr>
      <w:tr>
        <w:trPr>
          <w:cantSplit/>
        </w:trPr>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Ficha del Legislador</w:t>
            </w:r>
          </w:p>
        </w:tc>
        <w:tc>
          <w:tcPr>
            <w:tcW w:type="pct" w:w="1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Semanal</w:t>
            </w:r>
          </w:p>
        </w:tc>
        <w:tc>
          <w:tcPr>
            <w:tcW w:type="pct" w:w="2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Ejes donde aparece el actor</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Multi-eje permite seguimiento de un legislador desde multiples angulos</w:t>
            </w:r>
          </w:p>
        </w:tc>
      </w:tr>
    </w:tbl>
    <w:p>
      <w:pPr>
        <w:spacing w:after="60"/>
      </w:pPr>
    </w:p>
    <w:p>
      <w:pPr>
        <w:pStyle w:val="Heading2"/>
        <w:keepNext/>
        <w:spacing w:after="120" w:before="280" w:line="312"/>
      </w:pPr>
      <w:bookmarkStart w:id="100032" w:name="_Toc100032"/>
      <w:r>
        <w:rPr>
          <w:rFonts w:ascii="Calibri" w:cs="Calibri" w:eastAsia="Calibri" w:hAnsi="Calibri"/>
          <w:b/>
          <w:bCs/>
          <w:color w:val="0B1C2C"/>
          <w:sz w:val="28"/>
          <w:szCs w:val="28"/>
        </w:rPr>
        <w:t xml:space="preserve">7.2 El Especializado: Modelo Freemium</w:t>
      </w:r>
      <w:bookmarkEnd w:id="100032"/>
    </w:p>
    <w:p>
      <w:pPr>
        <w:spacing w:after="120" w:line="312"/>
        <w:jc w:val="both"/>
      </w:pPr>
      <w:r>
        <w:rPr>
          <w:rFonts w:ascii="Calibri" w:cs="Calibri" w:eastAsia="Calibri" w:hAnsi="Calibri"/>
          <w:color w:val="000000"/>
          <w:sz w:val="22"/>
          <w:szCs w:val="22"/>
        </w:rPr>
        <w:t xml:space="preserve">El Especializado no es un producto fijo sino una plantilla que se instancia por dominio tematico. Existe actualmente un producto diario que cada dia toma un dominio diferente y es gratuito, funcionando como vitrina de suscripcion. Un suscriptor puede solicitar un especializado de un dominio especifico y pagar por el.</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3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Modalidad</w:t>
            </w:r>
          </w:p>
        </w:tc>
        <w:tc>
          <w:tcPr>
            <w:tcW w:type="pct" w:w="2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Frecuencia</w:t>
            </w:r>
          </w:p>
        </w:tc>
        <w:tc>
          <w:tcPr>
            <w:tcW w:type="pct" w:w="1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Precio</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Contenido</w:t>
            </w:r>
          </w:p>
        </w:tc>
      </w:tr>
      <w:tr>
        <w:trPr>
          <w:cantSplit/>
        </w:trPr>
        <w:tc>
          <w:tcPr>
            <w:tcW w:type="pct" w:w="3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Especializado diario rotativo (showcase)</w:t>
            </w:r>
          </w:p>
        </w:tc>
        <w:tc>
          <w:tcPr>
            <w:tcW w:type="pct" w:w="2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1x diario</w:t>
            </w:r>
          </w:p>
        </w:tc>
        <w:tc>
          <w:tcPr>
            <w:tcW w:type="pct" w:w="1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Gratuito</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Resumen del dominio rotativo del dia</w:t>
            </w:r>
          </w:p>
        </w:tc>
      </w:tr>
      <w:tr>
        <w:trPr>
          <w:cantSplit/>
        </w:trPr>
        <w:tc>
          <w:tcPr>
            <w:tcW w:type="pct" w:w="3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Especializado de dominio especifico</w:t>
            </w:r>
          </w:p>
        </w:tc>
        <w:tc>
          <w:tcPr>
            <w:tcW w:type="pct" w:w="2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Diario o semanal</w:t>
            </w:r>
          </w:p>
        </w:tc>
        <w:tc>
          <w:tcPr>
            <w:tcW w:type="pct" w:w="1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Pago</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Analisis profundo del dominio solicitado</w:t>
            </w:r>
          </w:p>
        </w:tc>
      </w:tr>
    </w:tbl>
    <w:p>
      <w:pPr>
        <w:spacing w:after="60"/>
      </w:pPr>
    </w:p>
    <w:p>
      <w:pPr>
        <w:spacing w:after="120" w:line="312"/>
        <w:jc w:val="both"/>
      </w:pPr>
      <w:r>
        <w:rPr>
          <w:rFonts w:ascii="Calibri" w:cs="Calibri" w:eastAsia="Calibri" w:hAnsi="Calibri"/>
          <w:color w:val="000000"/>
          <w:sz w:val="22"/>
          <w:szCs w:val="22"/>
        </w:rPr>
        <w:t xml:space="preserve">El especializado diario rotativo funciona como ejemplo de suscripcion gratuita: cada dia un dominio diferente (lunes=mineria, martes=hidrocarburos, etc.) para que el usuario vea la calidad del producto y decida pagar por un dominio especifico.</w:t>
      </w:r>
    </w:p>
    <w:p>
      <w:pPr>
        <w:pStyle w:val="Heading2"/>
        <w:keepNext/>
        <w:spacing w:after="120" w:before="280" w:line="312"/>
      </w:pPr>
      <w:bookmarkStart w:id="100033" w:name="_Toc100033"/>
      <w:r>
        <w:rPr>
          <w:rFonts w:ascii="Calibri" w:cs="Calibri" w:eastAsia="Calibri" w:hAnsi="Calibri"/>
          <w:b/>
          <w:bCs/>
          <w:color w:val="0B1C2C"/>
          <w:sz w:val="28"/>
          <w:szCs w:val="28"/>
        </w:rPr>
        <w:t xml:space="preserve">7.3 Boletin del Grano: Semanal + Resumen Mensual</w:t>
      </w:r>
      <w:bookmarkEnd w:id="100033"/>
    </w:p>
    <w:p>
      <w:pPr>
        <w:spacing w:after="120" w:line="312"/>
        <w:jc w:val="both"/>
      </w:pPr>
      <w:r>
        <w:rPr>
          <w:rFonts w:ascii="Calibri" w:cs="Calibri" w:eastAsia="Calibri" w:hAnsi="Calibri"/>
          <w:color w:val="000000"/>
          <w:sz w:val="22"/>
          <w:szCs w:val="22"/>
        </w:rPr>
        <w:t xml:space="preserve">El Boletin del Grano tiene alta relevancia estrategica. El sector granero boliviano produjo 5,6 millones de toneladas en 2025 (record), genera 15-25 notas relevantes por semana, y tiene conflictos permanentes (exportaciones vs abastecimiento, clima extremo, expansion del frente agricola). La frecuencia semanal + resumen mensual es optima para capturar volatilidad de precios y agregar valor analitico.</w:t>
      </w:r>
    </w:p>
    <w:tbl>
      <w:tblPr>
        <w:tblW w:type="pct" w:w="100%"/>
        <w:tblBorders>
          <w:top w:val="single" w:color="529286" w:sz="2"/>
          <w:left w:val="none"/>
          <w:bottom w:val="single" w:color="529286" w:sz="2"/>
          <w:right w:val="none"/>
          <w:insideH w:val="single" w:color="BECFCC" w:sz="1"/>
          <w:insideV w:val="none"/>
        </w:tblBorders>
      </w:tblPr>
      <w:tblGrid>
        <w:gridCol w:w="100"/>
        <w:gridCol w:w="100"/>
      </w:tblGrid>
      <w:tr>
        <w:trPr>
          <w:cantSplit/>
          <w:tblHeader/>
        </w:trPr>
        <w:tc>
          <w:tcPr>
            <w:tcW w:type="pct" w:w="3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Parametro</w:t>
            </w:r>
          </w:p>
        </w:tc>
        <w:tc>
          <w:tcPr>
            <w:tcW w:type="pct" w:w="65%"/>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Especificacion</w:t>
            </w:r>
          </w:p>
        </w:tc>
      </w:tr>
      <w:tr>
        <w:trPr>
          <w:cantSplit/>
        </w:trPr>
        <w:tc>
          <w:tcPr>
            <w:tcW w:type="pct" w:w="3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Frecuencia base</w:t>
            </w:r>
          </w:p>
        </w:tc>
        <w:tc>
          <w:tcPr>
            <w:tcW w:type="pct" w:w="6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Semanal (todos los lunes)</w:t>
            </w:r>
          </w:p>
        </w:tc>
      </w:tr>
      <w:tr>
        <w:trPr>
          <w:cantSplit/>
        </w:trPr>
        <w:tc>
          <w:tcPr>
            <w:tcW w:type="pct" w:w="3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Resumen mensual</w:t>
            </w:r>
          </w:p>
        </w:tc>
        <w:tc>
          <w:tcPr>
            <w:tcW w:type="pct" w:w="6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1 vez por mes (ultima semana, con analisis de tendencias)</w:t>
            </w:r>
          </w:p>
        </w:tc>
      </w:tr>
      <w:tr>
        <w:trPr>
          <w:cantSplit/>
        </w:trPr>
        <w:tc>
          <w:tcPr>
            <w:tcW w:type="pct" w:w="3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Volumen estimado</w:t>
            </w:r>
          </w:p>
        </w:tc>
        <w:tc>
          <w:tcPr>
            <w:tcW w:type="pct" w:w="6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15-25 notas/semana, picos de 30+ en cosecha</w:t>
            </w:r>
          </w:p>
        </w:tc>
      </w:tr>
      <w:tr>
        <w:trPr>
          <w:cantSplit/>
        </w:trPr>
        <w:tc>
          <w:tcPr>
            <w:tcW w:type="pct" w:w="3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Granos prioritarios</w:t>
            </w:r>
          </w:p>
        </w:tc>
        <w:tc>
          <w:tcPr>
            <w:tcW w:type="pct" w:w="6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Soya, maiz, trigo, sorgo, quinua</w:t>
            </w:r>
          </w:p>
        </w:tc>
      </w:tr>
      <w:tr>
        <w:trPr>
          <w:cantSplit/>
        </w:trPr>
        <w:tc>
          <w:tcPr>
            <w:tcW w:type="pct" w:w="3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Lente</w:t>
            </w:r>
          </w:p>
        </w:tc>
        <w:tc>
          <w:tcPr>
            <w:tcW w:type="pct" w:w="6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Cafe y Economias Regionales</w:t>
            </w:r>
          </w:p>
        </w:tc>
      </w:tr>
      <w:tr>
        <w:trPr>
          <w:cantSplit/>
        </w:trPr>
        <w:tc>
          <w:tcPr>
            <w:tcW w:type="pct" w:w="3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Fuentes principales</w:t>
            </w:r>
          </w:p>
        </w:tc>
        <w:tc>
          <w:tcPr>
            <w:tcW w:type="pct" w:w="65%"/>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ANAPO, Publiagro, SIIP, El Deber, MDPyEP, Canal Rural Bolivia</w:t>
            </w:r>
          </w:p>
        </w:tc>
      </w:tr>
      <w:tr>
        <w:trPr>
          <w:cantSplit/>
        </w:trPr>
        <w:tc>
          <w:tcPr>
            <w:tcW w:type="pct" w:w="3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Conexion con otros productos</w:t>
            </w:r>
          </w:p>
        </w:tc>
        <w:tc>
          <w:tcPr>
            <w:tcW w:type="pct" w:w="65%"/>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Alimenta El Radar (alertas) y El Especializado (resumenes mensuales)</w:t>
            </w:r>
          </w:p>
        </w:tc>
      </w:tr>
    </w:tbl>
    <w:p>
      <w:pPr>
        <w:spacing w:after="60"/>
      </w:pPr>
    </w:p>
    <w:p>
      <w:pPr>
        <w:pStyle w:val="Heading2"/>
        <w:keepNext/>
        <w:spacing w:after="120" w:before="280" w:line="312"/>
      </w:pPr>
      <w:bookmarkStart w:id="100034" w:name="_Toc100034"/>
      <w:r>
        <w:rPr>
          <w:rFonts w:ascii="Calibri" w:cs="Calibri" w:eastAsia="Calibri" w:hAnsi="Calibri"/>
          <w:b/>
          <w:bCs/>
          <w:color w:val="0B1C2C"/>
          <w:sz w:val="28"/>
          <w:szCs w:val="28"/>
        </w:rPr>
        <w:t xml:space="preserve">7.4 Relacion Medio-Producto (Pull Architecture)</w:t>
      </w:r>
      <w:bookmarkEnd w:id="100034"/>
    </w:p>
    <w:p>
      <w:pPr>
        <w:spacing w:after="120" w:line="312"/>
        <w:jc w:val="both"/>
      </w:pPr>
      <w:r>
        <w:rPr>
          <w:rFonts w:ascii="Calibri" w:cs="Calibri" w:eastAsia="Calibri" w:hAnsi="Calibri"/>
          <w:color w:val="000000"/>
          <w:sz w:val="22"/>
          <w:szCs w:val="22"/>
        </w:rPr>
        <w:t xml:space="preserve">El scheduler opera bajo una arquitectura pull: cada producto define que medios necesita monitorear para su dominio, y la captura se realiza segun esa configuracion. No es un push monolitico que monitorea todo y luego distribuye. Los productos solicitan lo que necesitan.</w:t>
      </w:r>
    </w:p>
    <w:p>
      <w:pPr>
        <w:spacing w:after="120" w:line="312"/>
        <w:jc w:val="both"/>
      </w:pPr>
      <w:r>
        <w:rPr>
          <w:rFonts w:ascii="Calibri" w:cs="Calibri" w:eastAsia="Calibri" w:hAnsi="Calibri"/>
          <w:color w:val="000000"/>
          <w:sz w:val="22"/>
          <w:szCs w:val="22"/>
        </w:rPr>
        <w:t xml:space="preserve">Ejemplo: El Especializado en Mineria solicita monitoreo de La Razon (economia), ERBOL (mineria), Urgente.bo (nacional), Publiagro (si toca granos afectados por mineria). El Boletin del Grano solicita ANAPO, Publiagro, SIIP, Canal Rural, El Deber, Economy.com.bo. Cada producto define su propio media list.</w:t>
      </w:r>
    </w:p>
    <w:p>
      <w:pPr>
        <w:pStyle w:val="Heading1"/>
        <w:keepNext/>
        <w:spacing w:after="160" w:before="360" w:line="312"/>
      </w:pPr>
      <w:bookmarkStart w:id="100035" w:name="_Toc100035"/>
      <w:r>
        <w:rPr>
          <w:rFonts w:ascii="Calibri" w:cs="Calibri" w:eastAsia="Calibri" w:hAnsi="Calibri"/>
          <w:b/>
          <w:bCs/>
          <w:color w:val="0B1C2C"/>
          <w:sz w:val="32"/>
          <w:szCs w:val="32"/>
        </w:rPr>
        <w:t xml:space="preserve">8. Ruta de Implementacion</w:t>
      </w:r>
      <w:bookmarkEnd w:id="100035"/>
    </w:p>
    <w:p>
      <w:pPr>
        <w:spacing w:after="120" w:line="312"/>
        <w:jc w:val="both"/>
      </w:pPr>
      <w:r>
        <w:rPr>
          <w:rFonts w:ascii="Calibri" w:cs="Calibri" w:eastAsia="Calibri" w:hAnsi="Calibri"/>
          <w:color w:val="000000"/>
          <w:sz w:val="22"/>
          <w:szCs w:val="22"/>
        </w:rPr>
        <w:t xml:space="preserve">La implementacion del modelo multi-eje se divide en cuatro fases con entregables especificos.</w:t>
      </w:r>
    </w:p>
    <w:p>
      <w:pPr>
        <w:pStyle w:val="Heading2"/>
        <w:keepNext/>
        <w:spacing w:after="120" w:before="280" w:line="312"/>
      </w:pPr>
      <w:bookmarkStart w:id="100036" w:name="_Toc100036"/>
      <w:r>
        <w:rPr>
          <w:rFonts w:ascii="Calibri" w:cs="Calibri" w:eastAsia="Calibri" w:hAnsi="Calibri"/>
          <w:b/>
          <w:bCs/>
          <w:color w:val="0B1C2C"/>
          <w:sz w:val="28"/>
          <w:szCs w:val="28"/>
        </w:rPr>
        <w:t xml:space="preserve">Fase 1: Esquema y datos (2 semanas)</w:t>
      </w:r>
      <w:bookmarkEnd w:id="100036"/>
    </w:p>
    <w:p>
      <w:pPr>
        <w:spacing w:after="120" w:line="312"/>
        <w:jc w:val="both"/>
      </w:pPr>
      <w:r>
        <w:rPr>
          <w:rFonts w:ascii="Calibri" w:cs="Calibri" w:eastAsia="Calibri" w:hAnsi="Calibri"/>
          <w:color w:val="000000"/>
          <w:sz w:val="22"/>
          <w:szCs w:val="22"/>
        </w:rPr>
        <w:t xml:space="preserve">Implementar tabla NotaEje y NotaLente en la base de datos. Migrar datos existentes. Crear los 13 dominios con sus subtemas en tabla EjeEstructural. Crear los 9 lentes en tabla Lente.</w:t>
      </w:r>
    </w:p>
    <w:p>
      <w:pPr>
        <w:pStyle w:val="Heading2"/>
        <w:keepNext/>
        <w:spacing w:after="120" w:before="280" w:line="312"/>
      </w:pPr>
      <w:bookmarkStart w:id="100037" w:name="_Toc100037"/>
      <w:r>
        <w:rPr>
          <w:rFonts w:ascii="Calibri" w:cs="Calibri" w:eastAsia="Calibri" w:hAnsi="Calibri"/>
          <w:b/>
          <w:bCs/>
          <w:color w:val="0B1C2C"/>
          <w:sz w:val="28"/>
          <w:szCs w:val="28"/>
        </w:rPr>
        <w:t xml:space="preserve">Fase 2: Prompt LLM y clasificacion (2 semanas)</w:t>
      </w:r>
      <w:bookmarkEnd w:id="100037"/>
    </w:p>
    <w:p>
      <w:pPr>
        <w:spacing w:after="120" w:line="312"/>
        <w:jc w:val="both"/>
      </w:pPr>
      <w:r>
        <w:rPr>
          <w:rFonts w:ascii="Calibri" w:cs="Calibri" w:eastAsia="Calibri" w:hAnsi="Calibri"/>
          <w:color w:val="000000"/>
          <w:sz w:val="22"/>
          <w:szCs w:val="22"/>
        </w:rPr>
        <w:t xml:space="preserve">Reescribir prompt de clasificacion para multi-eje con pesos. Implementar controles (umbral 0.5, maximo 6 ejes). Pruebas de calidad con corpus de notas reales. Ajustar prompt hasta alcanzar precision aceptable.</w:t>
      </w:r>
    </w:p>
    <w:p>
      <w:pPr>
        <w:pStyle w:val="Heading2"/>
        <w:keepNext/>
        <w:spacing w:after="120" w:before="280" w:line="312"/>
      </w:pPr>
      <w:bookmarkStart w:id="100038" w:name="_Toc100038"/>
      <w:r>
        <w:rPr>
          <w:rFonts w:ascii="Calibri" w:cs="Calibri" w:eastAsia="Calibri" w:hAnsi="Calibri"/>
          <w:b/>
          <w:bCs/>
          <w:color w:val="0B1C2C"/>
          <w:sz w:val="28"/>
          <w:szCs w:val="28"/>
        </w:rPr>
        <w:t xml:space="preserve">Fase 3: Productos (3 semanas)</w:t>
      </w:r>
      <w:bookmarkEnd w:id="100038"/>
    </w:p>
    <w:p>
      <w:pPr>
        <w:spacing w:after="120" w:line="312"/>
        <w:jc w:val="both"/>
      </w:pPr>
      <w:r>
        <w:rPr>
          <w:rFonts w:ascii="Calibri" w:cs="Calibri" w:eastAsia="Calibri" w:hAnsi="Calibri"/>
          <w:color w:val="000000"/>
          <w:sz w:val="22"/>
          <w:szCs w:val="22"/>
        </w:rPr>
        <w:t xml:space="preserve">Adaptar todos los productos al modelo multi-eje. Implementar El Especializado freemium. Configurar Boletin del Grano semanal + mensual. Crear relacion MedioProducto para pull architecture.</w:t>
      </w:r>
    </w:p>
    <w:p>
      <w:pPr>
        <w:pStyle w:val="Heading2"/>
        <w:keepNext/>
        <w:spacing w:after="120" w:before="280" w:line="312"/>
      </w:pPr>
      <w:bookmarkStart w:id="100039" w:name="_Toc100039"/>
      <w:r>
        <w:rPr>
          <w:rFonts w:ascii="Calibri" w:cs="Calibri" w:eastAsia="Calibri" w:hAnsi="Calibri"/>
          <w:b/>
          <w:bCs/>
          <w:color w:val="0B1C2C"/>
          <w:sz w:val="28"/>
          <w:szCs w:val="28"/>
        </w:rPr>
        <w:t xml:space="preserve">Fase 4: Reclasificacion historica (pendiente definicion)</w:t>
      </w:r>
      <w:bookmarkEnd w:id="100039"/>
    </w:p>
    <w:p>
      <w:pPr>
        <w:spacing w:after="120" w:line="312"/>
        <w:jc w:val="both"/>
      </w:pPr>
      <w:r>
        <w:rPr>
          <w:rFonts w:ascii="Calibri" w:cs="Calibri" w:eastAsia="Calibri" w:hAnsi="Calibri"/>
          <w:color w:val="000000"/>
          <w:sz w:val="22"/>
          <w:szCs w:val="22"/>
        </w:rPr>
        <w:t xml:space="preserve">Mecanismo para reclasificar las notas historicas al nuevo modelo multi-eje. El usuario tiene una idea sobre como abordar esto. Decision pendiente.</w:t>
      </w:r>
    </w:p>
    <w:p>
      <w:pPr>
        <w:pStyle w:val="Heading1"/>
        <w:keepNext/>
        <w:spacing w:after="160" w:before="360" w:line="312"/>
      </w:pPr>
      <w:bookmarkStart w:id="100040" w:name="_Toc100040"/>
      <w:r>
        <w:rPr>
          <w:rFonts w:ascii="Calibri" w:cs="Calibri" w:eastAsia="Calibri" w:hAnsi="Calibri"/>
          <w:b/>
          <w:bCs/>
          <w:color w:val="0B1C2C"/>
          <w:sz w:val="32"/>
          <w:szCs w:val="32"/>
        </w:rPr>
        <w:t xml:space="preserve">9. Decisiones Pendientes</w:t>
      </w:r>
      <w:bookmarkEnd w:id="100040"/>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Tema</w:t>
            </w:r>
          </w:p>
        </w:tc>
        <w:tc>
          <w:tcPr>
            <w:tcW w:type="pct" w:w="3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Estado</w:t>
            </w:r>
          </w:p>
        </w:tc>
        <w:tc>
          <w:tcPr>
            <w:tcW w:type="pct" w:w="40%"/>
            <w:shd w:fill="529286" w:val="clear"/>
            <w:tcMar>
              <w:top w:type="dxa" w:w="50"/>
              <w:left w:type="dxa" w:w="100"/>
              <w:bottom w:type="dxa" w:w="50"/>
              <w:right w:type="dxa" w:w="100"/>
            </w:tcMar>
          </w:tcPr>
          <w:p>
            <w:r>
              <w:rPr>
                <w:rFonts w:ascii="Calibri" w:cs="Calibri" w:eastAsia="Calibri" w:hAnsi="Calibri"/>
                <w:b/>
                <w:bCs/>
                <w:color w:val="FFFFFF"/>
                <w:sz w:val="20"/>
                <w:szCs w:val="20"/>
              </w:rPr>
              <w:t xml:space="preserve">Observacion</w:t>
            </w:r>
          </w:p>
        </w:tc>
      </w:tr>
      <w:tr>
        <w:trPr>
          <w:cantSplit/>
        </w:trPr>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Mecanismo de reclasificacion historica</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Pendiente — el usuario tiene una idea por compartir</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LLM masiva vs. solo nueva captura con nuevo modelo</w:t>
            </w:r>
          </w:p>
        </w:tc>
      </w:tr>
      <w:tr>
        <w:trPr>
          <w:cantSplit/>
        </w:trPr>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Dominio Deporte (separado de Educacion)</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Propuesto por investigacion</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90%+ noticias deportivas son futbol profesional, no educativo</w:t>
            </w:r>
          </w:p>
        </w:tc>
      </w:tr>
      <w:tr>
        <w:trPr>
          <w:cantSplit/>
        </w:trPr>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Profundidad de subtemas de Mineria (33 propuestos)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Propuesto por investigacion</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Ajustar segun criterio del equipo editorial</w:t>
            </w:r>
          </w:p>
        </w:tc>
      </w:tr>
      <w:tr>
        <w:trPr>
          <w:cantSplit/>
        </w:trPr>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Economia Social como Dominio 13</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Propuesto con evidencia</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Inflacion 20,40%, +1M migrantes, 41% importacion alimentos</w:t>
            </w:r>
          </w:p>
        </w:tc>
      </w:tr>
      <w:tr>
        <w:trPr>
          <w:cantSplit/>
        </w:trPr>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Subtemas de Educacion (14 propuestos)</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Propuesto por investigacion</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Reemplaza estructura anterior de 5 subtemas</w:t>
            </w:r>
          </w:p>
        </w:tc>
      </w:tr>
      <w:tr>
        <w:trPr>
          <w:cantSplit/>
        </w:trPr>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Seguridad ciudadana como eje propio</w:t>
            </w:r>
          </w:p>
        </w:tc>
        <w:tc>
          <w:tcPr>
            <w:tcW w:type="pct" w:w="3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Confirmado por usuario</w:t>
            </w:r>
          </w:p>
        </w:tc>
        <w:tc>
          <w:tcPr>
            <w:tcW w:type="pct" w:w="40%"/>
            <w:shd w:fill="FFFFFF"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Nunca debe ser prioritario en el sistema</w:t>
            </w:r>
          </w:p>
        </w:tc>
      </w:tr>
      <w:tr>
        <w:trPr>
          <w:cantSplit/>
        </w:trPr>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Espeficicacion de medios por producto</w:t>
            </w:r>
          </w:p>
        </w:tc>
        <w:tc>
          <w:tcPr>
            <w:tcW w:type="pct" w:w="3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Por definir</w:t>
            </w:r>
          </w:p>
        </w:tc>
        <w:tc>
          <w:tcPr>
            <w:tcW w:type="pct" w:w="40%"/>
            <w:shd w:fill="E8ECEB" w:val="clear"/>
            <w:tcMar>
              <w:top w:type="dxa" w:w="40"/>
              <w:left w:type="dxa" w:w="100"/>
              <w:bottom w:type="dxa" w:w="40"/>
              <w:right w:type="dxa" w:w="100"/>
            </w:tcMar>
          </w:tcPr>
          <w:p>
            <w:pPr>
              <w:spacing w:after="40"/>
            </w:pPr>
            <w:r>
              <w:rPr>
                <w:rFonts w:ascii="Calibri" w:cs="Calibri" w:eastAsia="Calibri" w:hAnsi="Calibri"/>
                <w:color w:val="000000"/>
                <w:sz w:val="20"/>
                <w:szCs w:val="20"/>
              </w:rPr>
              <w:t xml:space="preserve">Lista de medios para cada producto bajo pull architecture</w:t>
            </w:r>
          </w:p>
        </w:tc>
      </w:tr>
    </w:tbl>
    <w:p>
      <w:pPr>
        <w:spacing w:after="60"/>
      </w:pPr>
    </w:p>
    <w:p>
      <w:pPr>
        <w:spacing w:after="120" w:line="312"/>
        <w:jc w:val="both"/>
      </w:pPr>
      <w:r>
        <w:rPr>
          <w:rFonts w:ascii="Calibri" w:cs="Calibri" w:eastAsia="Calibri" w:hAnsi="Calibri"/>
          <w:color w:val="000000"/>
          <w:sz w:val="22"/>
          <w:szCs w:val="22"/>
        </w:rPr>
        <w:t xml:space="preserve">Este documento queda abierto a revision conforme se implementen las decisiones pendientes y se validen los subtemas con el equipo editorial y la operacion diaria de DECODEX Bolivia.</w:t>
      </w:r>
    </w:p>
    <w:sectPr>
      <w:headerReference w:type="default" r:id="rId8"/>
      <w:footerReference w:type="default" r:id="rId9"/>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060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06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06070"/>
        <w:sz w:val="16"/>
        <w:szCs w:val="16"/>
      </w:rPr>
      <w:t xml:space="preserve">DECODEX Bolivia — Arquitectura de Ejes Tematicos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cs="Calibri" w:eastAsia="Calibri" w:hAnsi="Calibri"/>
      <w:b/>
      <w:bCs/>
      <w:color w:val="0B1C2C"/>
      <w:sz w:val="32"/>
      <w:szCs w:val="32"/>
    </w:rPr>
  </w:style>
  <w:style w:type="paragraph" w:styleId="Heading2">
    <w:name w:val="Heading 2"/>
    <w:basedOn w:val="Normal"/>
    <w:next w:val="Normal"/>
    <w:qFormat/>
    <w:pPr>
      <w:spacing w:after="120" w:before="280" w:line="312"/>
      <w:outlineLvl w:val="1"/>
    </w:pPr>
    <w:rPr>
      <w:rFonts w:ascii="Calibri" w:cs="Calibri" w:eastAsia="Calibri" w:hAnsi="Calibri"/>
      <w:b/>
      <w:bCs/>
      <w:color w:val="0B1C2C"/>
      <w:sz w:val="28"/>
      <w:szCs w:val="28"/>
    </w:rPr>
  </w:style>
  <w:style w:type="paragraph" w:styleId="Heading3">
    <w:name w:val="Heading 3"/>
    <w:basedOn w:val="Normal"/>
    <w:next w:val="Normal"/>
    <w:qFormat/>
    <w:pPr>
      <w:spacing w:after="100" w:before="200" w:line="312"/>
      <w:outlineLvl w:val="2"/>
    </w:pPr>
    <w:rPr>
      <w:rFonts w:ascii="Calibri" w:cs="Calibri" w:eastAsia="Calibri" w:hAnsi="Calibri"/>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2026-06-06T03:18:18.746Z</dcterms:created>
  <dcterms:modified xsi:type="dcterms:W3CDTF">2026-06-06T03:18:18.746Z</dcterms:modified>
</cp:coreProperties>
</file>

<file path=docProps/custom.xml><?xml version="1.0" encoding="utf-8"?>
<Properties xmlns="http://schemas.openxmlformats.org/officeDocument/2006/custom-properties" xmlns:vt="http://schemas.openxmlformats.org/officeDocument/2006/docPropsVTypes"/>
</file>