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76"/>
        <w:jc w:val="center"/>
      </w:pPr>
      <w:r>
        <w:rPr>
          <w:rFonts w:ascii="Times New Roman" w:cs="Times New Roman" w:eastAsia="Times New Roman" w:hAnsi="Times New Roman"/>
          <w:b/>
          <w:bCs/>
          <w:sz w:val="28"/>
          <w:szCs w:val="28"/>
        </w:rPr>
        <w:t xml:space="preserve">UNIVERSIDAD ESTATAL PENÍNSULA DE SANTA ELENA</w:t>
      </w:r>
    </w:p>
    <w:p>
      <w:pPr>
        <w:spacing w:after="0" w:line="276"/>
        <w:jc w:val="center"/>
      </w:pPr>
      <w:r>
        <w:rPr>
          <w:rFonts w:ascii="Times New Roman" w:cs="Times New Roman" w:eastAsia="Times New Roman" w:hAnsi="Times New Roman"/>
          <w:b/>
          <w:bCs/>
          <w:sz w:val="26"/>
          <w:szCs w:val="26"/>
        </w:rPr>
        <w:t xml:space="preserve">FACULTAD DE SISTEMAS Y TELECOMUNICACIONES</w:t>
      </w:r>
    </w:p>
    <w:p>
      <w:pPr>
        <w:spacing w:after="600" w:line="276"/>
        <w:jc w:val="center"/>
      </w:pPr>
      <w:r>
        <w:rPr>
          <w:rFonts w:ascii="Times New Roman" w:cs="Times New Roman" w:eastAsia="Times New Roman" w:hAnsi="Times New Roman"/>
          <w:b/>
          <w:bCs/>
          <w:sz w:val="26"/>
          <w:szCs w:val="26"/>
        </w:rPr>
        <w:t xml:space="preserve">CARRERA DE SOFTWARE</w:t>
      </w:r>
    </w:p>
    <w:p>
      <w:pPr>
        <w:spacing w:after="0" w:line="276"/>
        <w:jc w:val="center"/>
      </w:pPr>
      <w:r>
        <w:rPr>
          <w:rFonts w:ascii="Times New Roman" w:cs="Times New Roman" w:eastAsia="Times New Roman" w:hAnsi="Times New Roman"/>
          <w:b/>
          <w:bCs/>
          <w:sz w:val="26"/>
          <w:szCs w:val="26"/>
        </w:rPr>
        <w:t xml:space="preserve">MATERIA:</w:t>
      </w:r>
    </w:p>
    <w:p>
      <w:pPr>
        <w:spacing w:after="300" w:line="276"/>
        <w:jc w:val="center"/>
      </w:pPr>
      <w:r>
        <w:rPr>
          <w:rFonts w:ascii="Times New Roman" w:cs="Times New Roman" w:eastAsia="Times New Roman" w:hAnsi="Times New Roman"/>
          <w:sz w:val="26"/>
          <w:szCs w:val="26"/>
        </w:rPr>
        <w:t xml:space="preserve">INTELIGENCIA DE NEGOCIOS</w:t>
      </w:r>
    </w:p>
    <w:p>
      <w:pPr>
        <w:spacing w:after="0" w:line="276"/>
        <w:jc w:val="center"/>
      </w:pPr>
      <w:r>
        <w:rPr>
          <w:rFonts w:ascii="Times New Roman" w:cs="Times New Roman" w:eastAsia="Times New Roman" w:hAnsi="Times New Roman"/>
          <w:b/>
          <w:bCs/>
          <w:sz w:val="26"/>
          <w:szCs w:val="26"/>
        </w:rPr>
        <w:t xml:space="preserve">FORMATIVA:</w:t>
      </w:r>
    </w:p>
    <w:p>
      <w:pPr>
        <w:spacing w:after="300" w:line="276"/>
        <w:jc w:val="center"/>
      </w:pPr>
      <w:r>
        <w:rPr>
          <w:rFonts w:ascii="Times New Roman" w:cs="Times New Roman" w:eastAsia="Times New Roman" w:hAnsi="Times New Roman"/>
          <w:sz w:val="26"/>
          <w:szCs w:val="26"/>
        </w:rPr>
        <w:t xml:space="preserve">MI PRIMER DASHBOARD: ENTREGABLE 2 · CONSTRUCCIÓN DEL DATA MART</w:t>
      </w:r>
    </w:p>
    <w:p>
      <w:pPr>
        <w:spacing w:after="0" w:line="276"/>
        <w:jc w:val="center"/>
      </w:pPr>
      <w:r>
        <w:rPr>
          <w:rFonts w:ascii="Times New Roman" w:cs="Times New Roman" w:eastAsia="Times New Roman" w:hAnsi="Times New Roman"/>
          <w:b/>
          <w:bCs/>
          <w:sz w:val="26"/>
          <w:szCs w:val="26"/>
        </w:rPr>
        <w:t xml:space="preserve">DOCENTE:</w:t>
      </w:r>
    </w:p>
    <w:p>
      <w:pPr>
        <w:spacing w:after="300" w:line="276"/>
        <w:jc w:val="center"/>
      </w:pPr>
      <w:r>
        <w:rPr>
          <w:rFonts w:ascii="Times New Roman" w:cs="Times New Roman" w:eastAsia="Times New Roman" w:hAnsi="Times New Roman"/>
          <w:sz w:val="26"/>
          <w:szCs w:val="26"/>
        </w:rPr>
        <w:t xml:space="preserve">ING. ANTHONY ABRAHAN PACHAY ESPINOZA, MSc.</w:t>
      </w:r>
    </w:p>
    <w:p>
      <w:pPr>
        <w:spacing w:after="0" w:line="276"/>
        <w:jc w:val="center"/>
      </w:pPr>
      <w:r>
        <w:rPr>
          <w:rFonts w:ascii="Times New Roman" w:cs="Times New Roman" w:eastAsia="Times New Roman" w:hAnsi="Times New Roman"/>
          <w:b/>
          <w:bCs/>
          <w:sz w:val="26"/>
          <w:szCs w:val="26"/>
        </w:rPr>
        <w:t xml:space="preserve">ESTUDIANTE:</w:t>
      </w:r>
    </w:p>
    <w:p>
      <w:pPr>
        <w:spacing w:after="700" w:line="276"/>
        <w:jc w:val="center"/>
      </w:pPr>
      <w:r>
        <w:rPr>
          <w:rFonts w:ascii="Times New Roman" w:cs="Times New Roman" w:eastAsia="Times New Roman" w:hAnsi="Times New Roman"/>
          <w:sz w:val="26"/>
          <w:szCs w:val="26"/>
        </w:rPr>
        <w:t xml:space="preserve">JULIO JOSE DEL PEZO RODRIGUEZ</w:t>
      </w:r>
    </w:p>
    <w:p>
      <w:pPr>
        <w:spacing w:after="0" w:line="276"/>
        <w:jc w:val="center"/>
      </w:pPr>
      <w:r>
        <w:rPr>
          <w:rFonts w:ascii="Times New Roman" w:cs="Times New Roman" w:eastAsia="Times New Roman" w:hAnsi="Times New Roman"/>
          <w:sz w:val="26"/>
          <w:szCs w:val="26"/>
        </w:rPr>
        <w:t xml:space="preserve">LA LIBERTAD – ECUADOR</w:t>
      </w:r>
    </w:p>
    <w:p>
      <w:pPr>
        <w:spacing w:after="120" w:line="276"/>
        <w:jc w:val="center"/>
      </w:pPr>
      <w:r>
        <w:rPr>
          <w:rFonts w:ascii="Times New Roman" w:cs="Times New Roman" w:eastAsia="Times New Roman" w:hAnsi="Times New Roman"/>
          <w:sz w:val="26"/>
          <w:szCs w:val="26"/>
        </w:rPr>
        <w:t xml:space="preserve">2026</w:t>
      </w:r>
    </w:p>
    <w:p>
      <w:r>
        <w:br w:type="page"/>
      </w:r>
    </w:p>
    <w:p>
      <w:pPr>
        <w:pStyle w:val="Heading1"/>
        <w:spacing w:after="140" w:before="300"/>
      </w:pPr>
      <w:r>
        <w:rPr>
          <w:rFonts w:ascii="Times New Roman" w:cs="Times New Roman" w:eastAsia="Times New Roman" w:hAnsi="Times New Roman"/>
          <w:b/>
          <w:bCs/>
          <w:color w:val="0F6B6B"/>
          <w:sz w:val="28"/>
          <w:szCs w:val="28"/>
        </w:rPr>
        <w:t xml:space="preserve">1. Preparación y limpieza de los datos</w:t>
      </w:r>
    </w:p>
    <w:p>
      <w:pPr>
        <w:spacing w:after="120" w:line="276"/>
      </w:pPr>
      <w:r>
        <w:rPr>
          <w:rFonts w:ascii="Times New Roman" w:cs="Times New Roman" w:eastAsia="Times New Roman" w:hAnsi="Times New Roman"/>
          <w:sz w:val="22"/>
          <w:szCs w:val="22"/>
        </w:rPr>
        <w:t xml:space="preserve">El dataset es el mismo del Entregable 1 (Brazilian E-Commerce Public Dataset by Olist, 9 archivos CSV). La carga se hizo en dos capas para no perder trazabilidad: primero los CSV se copian tal cual a un esquema de preparación (stg, todas las columnas como texto) y luego un ETL escrito en SQL los transforma y los carga en el esquema del Data Mart (dw). Así, cualquier cifra del modelo puede contrastarse con el dato original.</w:t>
      </w:r>
    </w:p>
    <w:p>
      <w:pPr>
        <w:keepNext/>
        <w:spacing w:after="120" w:line="276"/>
      </w:pPr>
      <w:r>
        <w:rPr>
          <w:rFonts w:ascii="Times New Roman" w:cs="Times New Roman" w:eastAsia="Times New Roman" w:hAnsi="Times New Roman"/>
          <w:sz w:val="22"/>
          <w:szCs w:val="22"/>
        </w:rPr>
        <w:t xml:space="preserve">Transformaciones aplicadas (cada una se registra en la tabla dw.log_calidad):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038"/>
      </w:tblGrid>
      <w:tr>
        <w:trPr>
          <w:tblHeader/>
        </w:trPr>
        <w:tc>
          <w:tcPr>
            <w:tcW w:type="dxa" w:w="21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Problema (Entregable 1)</w:t>
            </w:r>
          </w:p>
        </w:tc>
        <w:tc>
          <w:tcPr>
            <w:tcW w:type="dxa" w:w="35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Tratamiento aplicado</w:t>
            </w:r>
          </w:p>
        </w:tc>
        <w:tc>
          <w:tcPr>
            <w:tcW w:type="dxa" w:w="40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Resultado verificado</w:t>
            </w:r>
          </w:p>
        </w:tc>
      </w:tr>
      <w:tr>
        <w:trPr>
          <w:cantSplit/>
        </w:trPr>
        <w:tc>
          <w:tcPr>
            <w:tcW w:type="dxa" w:w="21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Fechas como texto</w:t>
            </w:r>
          </w:p>
        </w:tc>
        <w:tc>
          <w:tcPr>
            <w:tcW w:type="dxa" w:w="3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Conversión a timestamp en el ETL; se genera DIM_TIEMPO y las fechas de la tabla de hechos se guardan como clave AAAAMMDD.</w:t>
            </w:r>
          </w:p>
        </w:tc>
        <w:tc>
          <w:tcPr>
            <w:tcW w:type="dxa" w:w="4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 errores de conversión; 1.096 días en DIM_TIEMPO (2016-2018).</w:t>
            </w:r>
          </w:p>
        </w:tc>
      </w:tr>
      <w:tr>
        <w:trPr>
          <w:cantSplit/>
        </w:trPr>
        <w:tc>
          <w:tcPr>
            <w:tcW w:type="dxa" w:w="21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Prefijos postales sin ceros</w:t>
            </w:r>
          </w:p>
        </w:tc>
        <w:tc>
          <w:tcPr>
            <w:tcW w:type="dxa" w:w="3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Se cargan como texto y se rellenan a 5 caracteres (lpad).</w:t>
            </w:r>
          </w:p>
        </w:tc>
        <w:tc>
          <w:tcPr>
            <w:tcW w:type="dxa" w:w="4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Conserva valores como 01151 y 09790.</w:t>
            </w:r>
          </w:p>
        </w:tc>
      </w:tr>
      <w:tr>
        <w:trPr>
          <w:cantSplit/>
        </w:trPr>
        <w:tc>
          <w:tcPr>
            <w:tcW w:type="dxa" w:w="21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Ciudades con formato inválido</w:t>
            </w:r>
          </w:p>
        </w:tc>
        <w:tc>
          <w:tcPr>
            <w:tcW w:type="dxa" w:w="3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Función dw.limpiar_ciudad(): minúsculas, sin tildes, se elimina el sufijo "/sp", ", brasil", paréntesis; correos y números pasan a 'desconocida'.</w:t>
            </w:r>
          </w:p>
        </w:tc>
        <w:tc>
          <w:tcPr>
            <w:tcW w:type="dxa" w:w="4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31 vendedores corregidos. Los 227 clientes marcados en el Entregable 1 solo tenían apóstrofe (santa barbara d'oeste) y son válidos.</w:t>
            </w:r>
          </w:p>
        </w:tc>
      </w:tr>
      <w:tr>
        <w:trPr>
          <w:cantSplit/>
        </w:trPr>
        <w:tc>
          <w:tcPr>
            <w:tcW w:type="dxa" w:w="21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Productos sin categoría (610)</w:t>
            </w:r>
          </w:p>
        </w:tc>
        <w:tc>
          <w:tcPr>
            <w:tcW w:type="dxa" w:w="3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categoria_pt = 'sin_categoria', categoria_en = 'unknown'.</w:t>
            </w:r>
          </w:p>
        </w:tc>
        <w:tc>
          <w:tcPr>
            <w:tcW w:type="dxa" w:w="4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610 filas corregidas.</w:t>
            </w:r>
          </w:p>
        </w:tc>
      </w:tr>
      <w:tr>
        <w:trPr>
          <w:cantSplit/>
        </w:trPr>
        <w:tc>
          <w:tcPr>
            <w:tcW w:type="dxa" w:w="21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Traducción incompleta (71 vs 73)</w:t>
            </w:r>
          </w:p>
        </w:tc>
        <w:tc>
          <w:tcPr>
            <w:tcW w:type="dxa" w:w="3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Se completan a mano pc_gamer y portateis_cozinha_e_preparadores_de_alimentos.</w:t>
            </w:r>
          </w:p>
        </w:tc>
        <w:tc>
          <w:tcPr>
            <w:tcW w:type="dxa" w:w="4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 categorías completadas; 0 sin traducción.</w:t>
            </w:r>
          </w:p>
        </w:tc>
      </w:tr>
      <w:tr>
        <w:trPr>
          <w:cantSplit/>
        </w:trPr>
        <w:tc>
          <w:tcPr>
            <w:tcW w:type="dxa" w:w="21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Peso de producto = 0 o nulo</w:t>
            </w:r>
          </w:p>
        </w:tc>
        <w:tc>
          <w:tcPr>
            <w:tcW w:type="dxa" w:w="3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Peso 0 se convierte en NULL (dato inválido); volumen_cm3 = largo × alto × ancho.</w:t>
            </w:r>
          </w:p>
        </w:tc>
        <w:tc>
          <w:tcPr>
            <w:tcW w:type="dxa" w:w="4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 pesos corregidos; 6 productos sin peso.</w:t>
            </w:r>
          </w:p>
        </w:tc>
      </w:tr>
      <w:tr>
        <w:trPr>
          <w:cantSplit/>
        </w:trPr>
        <w:tc>
          <w:tcPr>
            <w:tcW w:type="dxa" w:w="21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Reseñas repetidas</w:t>
            </w:r>
          </w:p>
        </w:tc>
        <w:tc>
          <w:tcPr>
            <w:tcW w:type="dxa" w:w="3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Por pedido se conserva la reseña más reciente (DISTINCT ON por order_id).</w:t>
            </w:r>
          </w:p>
        </w:tc>
        <w:tc>
          <w:tcPr>
            <w:tcW w:type="dxa" w:w="4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547 pedidos con más de una reseña (551 filas sobrantes).</w:t>
            </w:r>
          </w:p>
        </w:tc>
      </w:tr>
      <w:tr>
        <w:trPr>
          <w:cantSplit/>
        </w:trPr>
        <w:tc>
          <w:tcPr>
            <w:tcW w:type="dxa" w:w="21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Pagos con varios métodos</w:t>
            </w:r>
          </w:p>
        </w:tc>
        <w:tc>
          <w:tcPr>
            <w:tcW w:type="dxa" w:w="3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Para la tabla de hechos de ventas se toma el medio de pago de mayor valor del pedido; el detalle completo va en FACT_PAGOS.</w:t>
            </w:r>
          </w:p>
        </w:tc>
        <w:tc>
          <w:tcPr>
            <w:tcW w:type="dxa" w:w="4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 pedido sin pago → tipo 'sin_pago'.</w:t>
            </w:r>
          </w:p>
        </w:tc>
      </w:tr>
      <w:tr>
        <w:trPr>
          <w:cantSplit/>
        </w:trPr>
        <w:tc>
          <w:tcPr>
            <w:tcW w:type="dxa" w:w="21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Pedidos sin ítems</w:t>
            </w:r>
          </w:p>
        </w:tc>
        <w:tc>
          <w:tcPr>
            <w:tcW w:type="dxa" w:w="3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No tienen granularidad en FACT_VENTAS_ITEM: se excluyen y se registran.</w:t>
            </w:r>
          </w:p>
        </w:tc>
        <w:tc>
          <w:tcPr>
            <w:tcW w:type="dxa" w:w="4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775 pedidos rechazados y registrados.</w:t>
            </w:r>
          </w:p>
        </w:tc>
      </w:tr>
      <w:tr>
        <w:trPr>
          <w:cantSplit/>
        </w:trPr>
        <w:tc>
          <w:tcPr>
            <w:tcW w:type="dxa" w:w="21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Inconsistencias de estado/fecha</w:t>
            </w:r>
          </w:p>
        </w:tc>
        <w:tc>
          <w:tcPr>
            <w:tcW w:type="dxa" w:w="3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No se imputan: se marcan en la bitácora y los KPI de entrega usan solo pedidos entregados con fecha.</w:t>
            </w:r>
          </w:p>
        </w:tc>
        <w:tc>
          <w:tcPr>
            <w:tcW w:type="dxa" w:w="4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 'delivered' sin fecha y 6 con fecha sin estar entregados, marcados.</w:t>
            </w:r>
          </w:p>
        </w:tc>
      </w:tr>
      <w:tr>
        <w:trPr>
          <w:cantSplit/>
        </w:trPr>
        <w:tc>
          <w:tcPr>
            <w:tcW w:type="dxa" w:w="21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Atípicos (precio, flete, pagos en 0)</w:t>
            </w:r>
          </w:p>
        </w:tc>
        <w:tc>
          <w:tcPr>
            <w:tcW w:type="dxa" w:w="3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No se eliminan: se mantienen y se marcan (9 pagos en 0).</w:t>
            </w:r>
          </w:p>
        </w:tc>
        <w:tc>
          <w:tcPr>
            <w:tcW w:type="dxa" w:w="4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Las medianas y el boxplot quedan para el dashboard.</w:t>
            </w:r>
          </w:p>
        </w:tc>
      </w:tr>
      <w:tr>
        <w:trPr>
          <w:cantSplit/>
        </w:trPr>
        <w:tc>
          <w:tcPr>
            <w:tcW w:type="dxa" w:w="21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Geolocalización (1.000.163 filas)</w:t>
            </w:r>
          </w:p>
        </w:tc>
        <w:tc>
          <w:tcPr>
            <w:tcW w:type="dxa" w:w="3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No entra en la versión 1: la geografía se modela por estado y ciudad.</w:t>
            </w:r>
          </w:p>
        </w:tc>
        <w:tc>
          <w:tcPr>
            <w:tcW w:type="dxa" w:w="4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Decisión (c) del Entregable 1.</w:t>
            </w:r>
          </w:p>
        </w:tc>
      </w:tr>
    </w:tbl>
    <w:p>
      <w:pPr>
        <w:spacing w:after="60" w:line="276"/>
      </w:pPr>
      <w:r>
        <w:rPr>
          <w:rFonts w:ascii="Times New Roman" w:cs="Times New Roman" w:eastAsia="Times New Roman" w:hAnsi="Times New Roman"/>
          <w:sz w:val="22"/>
          <w:szCs w:val="22"/>
        </w:rPr>
        <w:t xml:space="preserve"/>
      </w:r>
    </w:p>
    <w:p>
      <w:pPr>
        <w:pStyle w:val="Heading1"/>
        <w:spacing w:after="140" w:before="300"/>
      </w:pPr>
      <w:r>
        <w:rPr>
          <w:rFonts w:ascii="Times New Roman" w:cs="Times New Roman" w:eastAsia="Times New Roman" w:hAnsi="Times New Roman"/>
          <w:b/>
          <w:bCs/>
          <w:color w:val="0F6B6B"/>
          <w:sz w:val="28"/>
          <w:szCs w:val="28"/>
        </w:rPr>
        <w:t xml:space="preserve">2. Instalación y configuración de PostgreSQL con Docker</w:t>
      </w:r>
    </w:p>
    <w:p>
      <w:pPr>
        <w:spacing w:after="120" w:line="276"/>
      </w:pPr>
      <w:r>
        <w:rPr>
          <w:rFonts w:ascii="Times New Roman" w:cs="Times New Roman" w:eastAsia="Times New Roman" w:hAnsi="Times New Roman"/>
          <w:sz w:val="22"/>
          <w:szCs w:val="22"/>
        </w:rPr>
        <w:t xml:space="preserve">Siguiendo la recomendación de la cátedra, PostgreSQL 16 se levanta con Docker: un entorno aislado y reproducible que se puede detener, borrar y reconstruir sin tocar el sistema operativo. El archivo docker-compose.yml define el servicio: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Parámetro</w:t>
            </w:r>
          </w:p>
        </w:tc>
        <w:tc>
          <w:tcPr>
            <w:tcW w:type="dxa" w:w="66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Valor</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Host / Puerto</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localhost / 5432</w:t>
            </w:r>
          </w:p>
        </w:tc>
      </w:tr>
      <w:tr>
        <w:trPr>
          <w:cantSplit/>
        </w:trPr>
        <w:tc>
          <w:tcPr>
            <w:tcW w:type="dxa" w:w="3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Base de datos</w:t>
            </w:r>
          </w:p>
        </w:tc>
        <w:tc>
          <w:tcPr>
            <w:tcW w:type="dxa" w:w="66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bi_database</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Usuario / Contraseña</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bi_user / bi_password</w:t>
            </w:r>
          </w:p>
        </w:tc>
      </w:tr>
      <w:tr>
        <w:trPr>
          <w:cantSplit/>
        </w:trPr>
        <w:tc>
          <w:tcPr>
            <w:tcW w:type="dxa" w:w="3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Persistencia</w:t>
            </w:r>
          </w:p>
        </w:tc>
        <w:tc>
          <w:tcPr>
            <w:tcW w:type="dxa" w:w="66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volumen pgdata (los datos sobreviven a docker compose down)</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Carpeta del proyecto</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montada en /data (solo lectura) para que psql vea los scripts y los CSV</w:t>
            </w:r>
          </w:p>
        </w:tc>
      </w:tr>
    </w:tbl>
    <w:p>
      <w:pPr>
        <w:spacing w:after="60" w:line="276"/>
      </w:pPr>
      <w:r>
        <w:rPr>
          <w:rFonts w:ascii="Times New Roman" w:cs="Times New Roman" w:eastAsia="Times New Roman" w:hAnsi="Times New Roman"/>
          <w:sz w:val="22"/>
          <w:szCs w:val="22"/>
        </w:rPr>
        <w:t xml:space="preserve"/>
      </w:r>
    </w:p>
    <w:p>
      <w:pPr>
        <w:keepNext/>
        <w:spacing w:after="120" w:line="276"/>
      </w:pPr>
      <w:r>
        <w:rPr>
          <w:rFonts w:ascii="Times New Roman" w:cs="Times New Roman" w:eastAsia="Times New Roman" w:hAnsi="Times New Roman"/>
          <w:sz w:val="22"/>
          <w:szCs w:val="22"/>
        </w:rPr>
        <w:t xml:space="preserve">Estructura de carpetas: docker-compose.yml, sql/ (scripts 01 al 05) y archive/ (los 9 CSV). Ejecución, desde la carpeta que contiene docker-compose.yml:</w:t>
      </w:r>
    </w:p>
    <w:p>
      <w:pPr>
        <w:shd w:fill="F2F4F4" w:val="clear"/>
        <w:spacing w:after="0" w:line="240"/>
      </w:pPr>
      <w:r>
        <w:rPr>
          <w:rFonts w:ascii="Consolas" w:cs="Consolas" w:eastAsia="Consolas" w:hAnsi="Consolas"/>
          <w:sz w:val="17"/>
          <w:szCs w:val="17"/>
        </w:rPr>
        <w:t xml:space="preserve">docker compose up -d</w:t>
      </w:r>
    </w:p>
    <w:p>
      <w:pPr>
        <w:shd w:fill="F2F4F4" w:val="clear"/>
        <w:spacing w:after="0" w:line="240"/>
      </w:pPr>
      <w:r>
        <w:rPr>
          <w:rFonts w:ascii="Consolas" w:cs="Consolas" w:eastAsia="Consolas" w:hAnsi="Consolas"/>
          <w:sz w:val="17"/>
          <w:szCs w:val="17"/>
        </w:rPr>
        <w:t xml:space="preserve">docker compose exec -w /data/archive db psql -U bi_user -d bi_database -v ON_ERROR_STOP=1 -f /data/sql/01_staging.sql</w:t>
      </w:r>
    </w:p>
    <w:p>
      <w:pPr>
        <w:shd w:fill="F2F4F4" w:val="clear"/>
        <w:spacing w:after="0" w:line="240"/>
      </w:pPr>
      <w:r>
        <w:rPr>
          <w:rFonts w:ascii="Consolas" w:cs="Consolas" w:eastAsia="Consolas" w:hAnsi="Consolas"/>
          <w:sz w:val="17"/>
          <w:szCs w:val="17"/>
        </w:rPr>
        <w:t xml:space="preserve">docker compose exec -w /data/archive db psql -U bi_user -d bi_database -v ON_ERROR_STOP=1 -f /data/sql/02_modelo_dimensional.sql</w:t>
      </w:r>
    </w:p>
    <w:p>
      <w:pPr>
        <w:shd w:fill="F2F4F4" w:val="clear"/>
        <w:spacing w:after="0" w:line="240"/>
      </w:pPr>
      <w:r>
        <w:rPr>
          <w:rFonts w:ascii="Consolas" w:cs="Consolas" w:eastAsia="Consolas" w:hAnsi="Consolas"/>
          <w:sz w:val="17"/>
          <w:szCs w:val="17"/>
        </w:rPr>
        <w:t xml:space="preserve">docker compose exec -w /data/archive db psql -U bi_user -d bi_database -v ON_ERROR_STOP=1 -f /data/sql/03_etl.sql</w:t>
      </w:r>
    </w:p>
    <w:p>
      <w:pPr>
        <w:shd w:fill="F2F4F4" w:val="clear"/>
        <w:spacing w:after="0" w:line="240"/>
      </w:pPr>
      <w:r>
        <w:rPr>
          <w:rFonts w:ascii="Consolas" w:cs="Consolas" w:eastAsia="Consolas" w:hAnsi="Consolas"/>
          <w:sz w:val="17"/>
          <w:szCs w:val="17"/>
        </w:rPr>
        <w:t xml:space="preserve">docker compose exec -w /data/archive db psql -U bi_user -d bi_database -v ON_ERROR_STOP=1 -f /data/sql/05_vistas_funciones.sql</w:t>
      </w:r>
    </w:p>
    <w:p>
      <w:pPr>
        <w:shd w:fill="F2F4F4" w:val="clear"/>
        <w:spacing w:after="0" w:line="240"/>
      </w:pPr>
      <w:r>
        <w:rPr>
          <w:rFonts w:ascii="Consolas" w:cs="Consolas" w:eastAsia="Consolas" w:hAnsi="Consolas"/>
          <w:sz w:val="17"/>
          <w:szCs w:val="17"/>
        </w:rPr>
        <w:t xml:space="preserve">docker compose exec -w /data/archive db psql -U bi_user -d bi_database -f /data/sql/04_validaciones.sql</w:t>
      </w:r>
    </w:p>
    <w:p>
      <w:pPr>
        <w:spacing w:after="120" w:line="276"/>
      </w:pPr>
      <w:r>
        <w:rPr>
          <w:rFonts w:ascii="Times New Roman" w:cs="Times New Roman" w:eastAsia="Times New Roman" w:hAnsi="Times New Roman"/>
          <w:sz w:val="22"/>
          <w:szCs w:val="22"/>
        </w:rPr>
        <w:t xml:space="preserve">La base bi_database la crea Docker al iniciar, por lo que no se usa 00_crear_base.sql. Se usa -w /data/archive para que el \copy del script 01 encuentre los CSV. Los scripts son re-ejecutables y se probaron de cero con este usuario y esta base sin errores. Para reiniciar todo el entorno: docker compose down -v.</w:t>
      </w:r>
    </w:p>
    <w:p>
      <w:pPr>
        <w:pStyle w:val="Heading1"/>
        <w:spacing w:after="140" w:before="300"/>
      </w:pPr>
      <w:r>
        <w:rPr>
          <w:rFonts w:ascii="Times New Roman" w:cs="Times New Roman" w:eastAsia="Times New Roman" w:hAnsi="Times New Roman"/>
          <w:b/>
          <w:bCs/>
          <w:color w:val="0F6B6B"/>
          <w:sz w:val="28"/>
          <w:szCs w:val="28"/>
        </w:rPr>
        <w:t xml:space="preserve">3. Modelo dimensional definitivo</w:t>
      </w:r>
    </w:p>
    <w:p>
      <w:pPr>
        <w:spacing w:after="120" w:line="276"/>
      </w:pPr>
      <w:r>
        <w:rPr>
          <w:rFonts w:ascii="Times New Roman" w:cs="Times New Roman" w:eastAsia="Times New Roman" w:hAnsi="Times New Roman"/>
          <w:sz w:val="22"/>
          <w:szCs w:val="22"/>
        </w:rPr>
        <w:t xml:space="preserve">Proceso de negocio: venta de productos a través del marketplace, con su entrega y valoración. Se mantiene el diseño del Entregable 1 (esquema en estrella con FACT_VENTAS_ITEM) y se precisan cuatro decisiones:</w:t>
      </w:r>
    </w:p>
    <w:p>
      <w:pPr>
        <w:pStyle w:val="ListParagraph"/>
        <w:numPr>
          <w:ilvl w:val="0"/>
          <w:numId w:val="2"/>
        </w:numPr>
        <w:spacing w:after="60" w:line="264"/>
      </w:pPr>
      <w:r>
        <w:rPr>
          <w:rFonts w:ascii="Times New Roman" w:cs="Times New Roman" w:eastAsia="Times New Roman" w:hAnsi="Times New Roman"/>
          <w:b/>
          <w:bCs/>
          <w:sz w:val="22"/>
          <w:szCs w:val="22"/>
        </w:rPr>
        <w:t xml:space="preserve">DIM_TIEMPO con tres roles. </w:t>
      </w:r>
      <w:r>
        <w:rPr>
          <w:rFonts w:ascii="Times New Roman" w:cs="Times New Roman" w:eastAsia="Times New Roman" w:hAnsi="Times New Roman"/>
          <w:sz w:val="22"/>
          <w:szCs w:val="22"/>
        </w:rPr>
        <w:t xml:space="preserve">La tabla de hechos tiene sk_fecha_compra, sk_fecha_entrega y sk_fecha_estimada, todas apuntando a la misma dimensión. La fecha de entrega es nula mientras el pedido no se entrega (2.454 ítems), por lo que esa clave es opcional.</w:t>
      </w:r>
    </w:p>
    <w:p>
      <w:pPr>
        <w:pStyle w:val="ListParagraph"/>
        <w:numPr>
          <w:ilvl w:val="0"/>
          <w:numId w:val="2"/>
        </w:numPr>
        <w:spacing w:after="60" w:line="264"/>
      </w:pPr>
      <w:r>
        <w:rPr>
          <w:rFonts w:ascii="Times New Roman" w:cs="Times New Roman" w:eastAsia="Times New Roman" w:hAnsi="Times New Roman"/>
          <w:b/>
          <w:bCs/>
          <w:sz w:val="22"/>
          <w:szCs w:val="22"/>
        </w:rPr>
        <w:t xml:space="preserve">DIM_CLIENTE a nivel de customer_id. </w:t>
      </w:r>
      <w:r>
        <w:rPr>
          <w:rFonts w:ascii="Times New Roman" w:cs="Times New Roman" w:eastAsia="Times New Roman" w:hAnsi="Times New Roman"/>
          <w:sz w:val="22"/>
          <w:szCs w:val="22"/>
        </w:rPr>
        <w:t xml:space="preserve">En Olist el customer_id cambia en cada compra; customer_unique_id identifica a la persona. Se guardan ambos: la dimensión tiene 99.441 filas y la recompra se mide contando customer_unique_id.</w:t>
      </w:r>
    </w:p>
    <w:p>
      <w:pPr>
        <w:pStyle w:val="ListParagraph"/>
        <w:numPr>
          <w:ilvl w:val="0"/>
          <w:numId w:val="2"/>
        </w:numPr>
        <w:spacing w:after="60" w:line="264"/>
      </w:pPr>
      <w:r>
        <w:rPr>
          <w:rFonts w:ascii="Times New Roman" w:cs="Times New Roman" w:eastAsia="Times New Roman" w:hAnsi="Times New Roman"/>
          <w:b/>
          <w:bCs/>
          <w:sz w:val="22"/>
          <w:szCs w:val="22"/>
        </w:rPr>
        <w:t xml:space="preserve">es_primer_item. </w:t>
      </w:r>
      <w:r>
        <w:rPr>
          <w:rFonts w:ascii="Times New Roman" w:cs="Times New Roman" w:eastAsia="Times New Roman" w:hAnsi="Times New Roman"/>
          <w:sz w:val="22"/>
          <w:szCs w:val="22"/>
        </w:rPr>
        <w:t xml:space="preserve">Como la reseña y el pedido están a nivel de pedido, un pedido de 3 ítems repetiría su reseña 3 veces. La columna vale 1 solo en el primer ítem; los KPI de pedido (ticket, calificación, tardías) se calculan con es_primer_item = 1, sin DISTINCT.</w:t>
      </w:r>
    </w:p>
    <w:p>
      <w:pPr>
        <w:pStyle w:val="ListParagraph"/>
        <w:numPr>
          <w:ilvl w:val="0"/>
          <w:numId w:val="2"/>
        </w:numPr>
        <w:spacing w:after="60" w:line="264"/>
      </w:pPr>
      <w:r>
        <w:rPr>
          <w:rFonts w:ascii="Times New Roman" w:cs="Times New Roman" w:eastAsia="Times New Roman" w:hAnsi="Times New Roman"/>
          <w:b/>
          <w:bCs/>
          <w:sz w:val="22"/>
          <w:szCs w:val="22"/>
        </w:rPr>
        <w:t xml:space="preserve">Segunda tabla de hechos, FACT_PAGOS. </w:t>
      </w:r>
      <w:r>
        <w:rPr>
          <w:rFonts w:ascii="Times New Roman" w:cs="Times New Roman" w:eastAsia="Times New Roman" w:hAnsi="Times New Roman"/>
          <w:sz w:val="22"/>
          <w:szCs w:val="22"/>
        </w:rPr>
        <w:t xml:space="preserve">Responde la pregunta P4 (medios de pago y cuotas) sin duplicar importes. Comparte DIM_TIEMPO, DIM_CLIENTE, DIM_PAGO y DIM_ESTADO_PEDIDO.</w:t>
      </w:r>
    </w:p>
    <w:p>
      <w:pPr>
        <w:spacing w:after="100" w:line="276"/>
      </w:pPr>
      <w:r>
        <w:rPr>
          <w:rFonts w:ascii="Times New Roman" w:cs="Times New Roman" w:eastAsia="Times New Roman" w:hAnsi="Times New Roman"/>
          <w:sz w:val="22"/>
          <w:szCs w:val="22"/>
        </w:rPr>
        <w:t xml:space="preserve">Jerarquías: Tiempo (año &gt; trimestre &gt; mes &gt; día); Geografía (región &gt; estado &gt; ciudad, con las 5 regiones de Brasil derivadas del estado en dw.region_de_uf); Producto (categoría).</w:t>
      </w:r>
    </w:p>
    <w:p>
      <w:pPr>
        <w:spacing w:after="80"/>
        <w:jc w:val="center"/>
      </w:pPr>
      <w:r>
        <w:drawing>
          <wp:inline distT="0" distB="0" distL="0" distR="0">
            <wp:extent cx="5619750" cy="4324350"/>
            <wp:effectExtent t="0" r="0" b="0" l="0"/>
            <wp:docPr id="1" name="/home/claude/olist/img/estrella.png" descr="/home/claude/olist/img/estrella.png" title="/home/claude/olist/img/estre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4324350"/>
                    </a:xfrm>
                    <a:prstGeom prst="rect">
                      <a:avLst/>
                    </a:prstGeom>
                  </pic:spPr>
                </pic:pic>
              </a:graphicData>
            </a:graphic>
          </wp:inline>
        </w:drawing>
      </w:r>
    </w:p>
    <w:p>
      <w:pPr>
        <w:spacing w:after="160" w:line="276"/>
        <w:jc w:val="center"/>
      </w:pPr>
      <w:r>
        <w:rPr>
          <w:rFonts w:ascii="Times New Roman" w:cs="Times New Roman" w:eastAsia="Times New Roman" w:hAnsi="Times New Roman"/>
          <w:i/>
          <w:iCs/>
          <w:sz w:val="19"/>
          <w:szCs w:val="19"/>
        </w:rPr>
        <w:t xml:space="preserve">Figura 1. Esquema en estrella del Data Mart (esquema dw).</w:t>
      </w:r>
    </w:p>
    <w:p>
      <w:pPr>
        <w:pStyle w:val="Heading1"/>
        <w:spacing w:after="140" w:before="300"/>
      </w:pPr>
      <w:r>
        <w:rPr>
          <w:rFonts w:ascii="Times New Roman" w:cs="Times New Roman" w:eastAsia="Times New Roman" w:hAnsi="Times New Roman"/>
          <w:b/>
          <w:bCs/>
          <w:color w:val="0F6B6B"/>
          <w:sz w:val="28"/>
          <w:szCs w:val="28"/>
        </w:rPr>
        <w:t xml:space="preserve">4. Granularidad de la tabla de hechos</w:t>
      </w:r>
    </w:p>
    <w:p>
      <w:pPr>
        <w:pBdr>
          <w:left w:val="single" w:color="0F6B6B" w:sz="24" w:space="8"/>
        </w:pBdr>
        <w:shd w:fill="E8F3F3" w:val="clear"/>
        <w:spacing w:after="120"/>
      </w:pPr>
      <w:r>
        <w:rPr>
          <w:rFonts w:ascii="Times New Roman" w:cs="Times New Roman" w:eastAsia="Times New Roman" w:hAnsi="Times New Roman"/>
          <w:b/>
          <w:bCs/>
          <w:sz w:val="22"/>
          <w:szCs w:val="22"/>
        </w:rPr>
        <w:t xml:space="preserve">FACT_VENTAS_ITEM: </w:t>
      </w:r>
      <w:r>
        <w:rPr>
          <w:rFonts w:ascii="Times New Roman" w:cs="Times New Roman" w:eastAsia="Times New Roman" w:hAnsi="Times New Roman"/>
          <w:sz w:val="22"/>
          <w:szCs w:val="22"/>
        </w:rPr>
        <w:t xml:space="preserve">una fila representa un ítem (unidad vendida) dentro de un pedido, identificado por (order_id, order_item_id).</w:t>
      </w:r>
    </w:p>
    <w:p>
      <w:pPr>
        <w:pBdr>
          <w:left w:val="single" w:color="0F6B6B" w:sz="24" w:space="8"/>
        </w:pBdr>
        <w:shd w:fill="E8F3F3" w:val="clear"/>
        <w:spacing w:after="120"/>
      </w:pPr>
      <w:r>
        <w:rPr>
          <w:rFonts w:ascii="Times New Roman" w:cs="Times New Roman" w:eastAsia="Times New Roman" w:hAnsi="Times New Roman"/>
          <w:b/>
          <w:bCs/>
          <w:sz w:val="22"/>
          <w:szCs w:val="22"/>
        </w:rPr>
        <w:t xml:space="preserve">FACT_PAGOS: </w:t>
      </w:r>
      <w:r>
        <w:rPr>
          <w:rFonts w:ascii="Times New Roman" w:cs="Times New Roman" w:eastAsia="Times New Roman" w:hAnsi="Times New Roman"/>
          <w:sz w:val="22"/>
          <w:szCs w:val="22"/>
        </w:rPr>
        <w:t xml:space="preserve">una fila representa un pago parcial de un pedido, identificado por (order_id, payment_sequential).</w:t>
      </w:r>
    </w:p>
    <w:p>
      <w:pPr>
        <w:pStyle w:val="Heading1"/>
        <w:spacing w:after="140" w:before="300"/>
      </w:pPr>
      <w:r>
        <w:rPr>
          <w:rFonts w:ascii="Times New Roman" w:cs="Times New Roman" w:eastAsia="Times New Roman" w:hAnsi="Times New Roman"/>
          <w:b/>
          <w:bCs/>
          <w:color w:val="0F6B6B"/>
          <w:sz w:val="28"/>
          <w:szCs w:val="28"/>
        </w:rPr>
        <w:t xml:space="preserve">5. Scripts de creación de tablas</w:t>
      </w:r>
    </w:p>
    <w:p>
      <w:pPr>
        <w:spacing w:after="120" w:line="276"/>
      </w:pPr>
      <w:r>
        <w:rPr>
          <w:rFonts w:ascii="Times New Roman" w:cs="Times New Roman" w:eastAsia="Times New Roman" w:hAnsi="Times New Roman"/>
          <w:sz w:val="22"/>
          <w:szCs w:val="22"/>
        </w:rPr>
        <w:t xml:space="preserve">El archivo 02_modelo_dimensional.sql crea 9 tablas en el esquema dw. Todas tienen clave primaria y las de hechos tienen claves foráneas hacia cada dimensión, además de restricciones CHECK (precio ≥ 0, review_score entre 1 y 5, cuotas ≥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2300"/>
        <w:gridCol w:w="4238"/>
      </w:tblGrid>
      <w:tr>
        <w:trPr>
          <w:tblHeader/>
        </w:trPr>
        <w:tc>
          <w:tcPr>
            <w:tcW w:type="dxa" w:w="23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Tabla</w:t>
            </w:r>
          </w:p>
        </w:tc>
        <w:tc>
          <w:tcPr>
            <w:tcW w:type="dxa" w:w="8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Filas</w:t>
            </w:r>
          </w:p>
        </w:tc>
        <w:tc>
          <w:tcPr>
            <w:tcW w:type="dxa" w:w="23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Clave primaria</w:t>
            </w:r>
          </w:p>
        </w:tc>
        <w:tc>
          <w:tcPr>
            <w:tcW w:type="dxa" w:w="42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Claves foráneas / contenido</w:t>
            </w:r>
          </w:p>
        </w:tc>
      </w:tr>
      <w:tr>
        <w:trPr>
          <w:cantSplit/>
        </w:trPr>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dim_tiempo</w:t>
            </w:r>
          </w:p>
        </w:tc>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1.096</w:t>
            </w:r>
          </w:p>
        </w:tc>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sk_fecha (AAAAMMDD)</w:t>
            </w:r>
          </w:p>
        </w:tc>
        <w:tc>
          <w:tcPr>
            <w:tcW w:type="dxa" w:w="4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fecha, año, trimestre, mes, nombre del mes, año-mes, día de semana, fin de semana, feriado</w:t>
            </w:r>
          </w:p>
        </w:tc>
      </w:tr>
      <w:tr>
        <w:trPr>
          <w:cantSplit/>
        </w:trPr>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dim_cliente</w:t>
            </w:r>
          </w:p>
        </w:tc>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99.441</w:t>
            </w:r>
          </w:p>
        </w:tc>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sk_cliente (serial)</w:t>
            </w:r>
          </w:p>
        </w:tc>
        <w:tc>
          <w:tcPr>
            <w:tcW w:type="dxa" w:w="4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customer_id (único), customer_unique_id, ciudad, estado_uf, región</w:t>
            </w:r>
          </w:p>
        </w:tc>
      </w:tr>
      <w:tr>
        <w:trPr>
          <w:cantSplit/>
        </w:trPr>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dim_vendedor</w:t>
            </w:r>
          </w:p>
        </w:tc>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3.095</w:t>
            </w:r>
          </w:p>
        </w:tc>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sk_vendedor (serial)</w:t>
            </w:r>
          </w:p>
        </w:tc>
        <w:tc>
          <w:tcPr>
            <w:tcW w:type="dxa" w:w="4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seller_id (único), ciudad, estado_uf, región</w:t>
            </w:r>
          </w:p>
        </w:tc>
      </w:tr>
      <w:tr>
        <w:trPr>
          <w:cantSplit/>
        </w:trPr>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dim_producto</w:t>
            </w:r>
          </w:p>
        </w:tc>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32.951</w:t>
            </w:r>
          </w:p>
        </w:tc>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sk_producto (serial)</w:t>
            </w:r>
          </w:p>
        </w:tc>
        <w:tc>
          <w:tcPr>
            <w:tcW w:type="dxa" w:w="4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product_id (único), categoría pt/en, peso_g, volumen_cm3</w:t>
            </w:r>
          </w:p>
        </w:tc>
      </w:tr>
      <w:tr>
        <w:trPr>
          <w:cantSplit/>
        </w:trPr>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dim_pago</w:t>
            </w:r>
          </w:p>
        </w:tc>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6</w:t>
            </w:r>
          </w:p>
        </w:tc>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sk_pago (serial)</w:t>
            </w:r>
          </w:p>
        </w:tc>
        <w:tc>
          <w:tcPr>
            <w:tcW w:type="dxa" w:w="4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tipo_pago (único): 5 tipos + sin_pago</w:t>
            </w:r>
          </w:p>
        </w:tc>
      </w:tr>
      <w:tr>
        <w:trPr>
          <w:cantSplit/>
        </w:trPr>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dim_estado_pedido</w:t>
            </w:r>
          </w:p>
        </w:tc>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w:t>
            </w:r>
          </w:p>
        </w:tc>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sk_estado (serial)</w:t>
            </w:r>
          </w:p>
        </w:tc>
        <w:tc>
          <w:tcPr>
            <w:tcW w:type="dxa" w:w="4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order_status (único), es_entregado, es_cancelado</w:t>
            </w:r>
          </w:p>
        </w:tc>
      </w:tr>
      <w:tr>
        <w:trPr>
          <w:cantSplit/>
        </w:trPr>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fact_ventas_item</w:t>
            </w:r>
          </w:p>
        </w:tc>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112.650</w:t>
            </w:r>
          </w:p>
        </w:tc>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(order_id, order_item_id)</w:t>
            </w:r>
          </w:p>
        </w:tc>
        <w:tc>
          <w:tcPr>
            <w:tcW w:type="dxa" w:w="4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 FK: 3 a dim_tiempo, cliente, vendedor, producto, pago, estado. Medidas: precio, valor_flete, valor_total_item, cantidad, dias_entrega, dias_retraso, entrega_tardia, review_score, es_primer_item</w:t>
            </w:r>
          </w:p>
        </w:tc>
      </w:tr>
      <w:tr>
        <w:trPr>
          <w:cantSplit/>
        </w:trPr>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fact_pagos</w:t>
            </w:r>
          </w:p>
        </w:tc>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103.886</w:t>
            </w:r>
          </w:p>
        </w:tc>
        <w:tc>
          <w:tcPr>
            <w:tcW w:type="dxa" w:w="2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(order_id, payment_sequential)</w:t>
            </w:r>
          </w:p>
        </w:tc>
        <w:tc>
          <w:tcPr>
            <w:tcW w:type="dxa" w:w="4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FK a dim_tiempo, cliente, pago, estado. Medidas: valor_pago, cuotas</w:t>
            </w:r>
          </w:p>
        </w:tc>
      </w:tr>
      <w:tr>
        <w:trPr>
          <w:cantSplit/>
        </w:trPr>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log_calidad</w:t>
            </w:r>
          </w:p>
        </w:tc>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1.990</w:t>
            </w:r>
          </w:p>
        </w:tc>
        <w:tc>
          <w:tcPr>
            <w:tcW w:type="dxa" w:w="2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id (serial)</w:t>
            </w:r>
          </w:p>
        </w:tc>
        <w:tc>
          <w:tcPr>
            <w:tcW w:type="dxa" w:w="4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tabla, clave, regla, acción (rechazado / corregido / marcado)</w:t>
            </w:r>
          </w:p>
        </w:tc>
      </w:tr>
    </w:tbl>
    <w:p>
      <w:pPr>
        <w:spacing w:after="60" w:line="276"/>
      </w:pPr>
      <w:r>
        <w:rPr>
          <w:rFonts w:ascii="Times New Roman" w:cs="Times New Roman" w:eastAsia="Times New Roman" w:hAnsi="Times New Roman"/>
          <w:sz w:val="22"/>
          <w:szCs w:val="22"/>
        </w:rPr>
        <w:t xml:space="preserve"/>
      </w:r>
    </w:p>
    <w:p>
      <w:pPr>
        <w:keepNext/>
        <w:spacing w:after="120" w:line="276"/>
      </w:pPr>
      <w:r>
        <w:rPr>
          <w:rFonts w:ascii="Times New Roman" w:cs="Times New Roman" w:eastAsia="Times New Roman" w:hAnsi="Times New Roman"/>
          <w:sz w:val="22"/>
          <w:szCs w:val="22"/>
        </w:rPr>
        <w:t xml:space="preserve">Fragmento representativo (tabla de hechos):</w:t>
      </w:r>
    </w:p>
    <w:p>
      <w:pPr>
        <w:shd w:fill="F2F4F4" w:val="clear"/>
        <w:spacing w:after="0" w:line="240"/>
      </w:pPr>
      <w:r>
        <w:rPr>
          <w:rFonts w:ascii="Consolas" w:cs="Consolas" w:eastAsia="Consolas" w:hAnsi="Consolas"/>
          <w:sz w:val="17"/>
          <w:szCs w:val="17"/>
        </w:rPr>
        <w:t xml:space="preserve">CREATE TABLE dw.fact_ventas_item (</w:t>
      </w:r>
    </w:p>
    <w:p>
      <w:pPr>
        <w:shd w:fill="F2F4F4" w:val="clear"/>
        <w:spacing w:after="0" w:line="240"/>
      </w:pPr>
      <w:r>
        <w:rPr>
          <w:rFonts w:ascii="Consolas" w:cs="Consolas" w:eastAsia="Consolas" w:hAnsi="Consolas"/>
          <w:sz w:val="17"/>
          <w:szCs w:val="17"/>
        </w:rPr>
        <w:t xml:space="preserve">    order_id          text     NOT NULL,</w:t>
      </w:r>
    </w:p>
    <w:p>
      <w:pPr>
        <w:shd w:fill="F2F4F4" w:val="clear"/>
        <w:spacing w:after="0" w:line="240"/>
      </w:pPr>
      <w:r>
        <w:rPr>
          <w:rFonts w:ascii="Consolas" w:cs="Consolas" w:eastAsia="Consolas" w:hAnsi="Consolas"/>
          <w:sz w:val="17"/>
          <w:szCs w:val="17"/>
        </w:rPr>
        <w:t xml:space="preserve">    order_item_id     smallint NOT NULL,</w:t>
      </w:r>
    </w:p>
    <w:p>
      <w:pPr>
        <w:shd w:fill="F2F4F4" w:val="clear"/>
        <w:spacing w:after="0" w:line="240"/>
      </w:pPr>
      <w:r>
        <w:rPr>
          <w:rFonts w:ascii="Consolas" w:cs="Consolas" w:eastAsia="Consolas" w:hAnsi="Consolas"/>
          <w:sz w:val="17"/>
          <w:szCs w:val="17"/>
        </w:rPr>
        <w:t xml:space="preserve">    sk_fecha_compra   integer  NOT NULL REFERENCES dw.dim_tiempo (sk_fecha),</w:t>
      </w:r>
    </w:p>
    <w:p>
      <w:pPr>
        <w:shd w:fill="F2F4F4" w:val="clear"/>
        <w:spacing w:after="0" w:line="240"/>
      </w:pPr>
      <w:r>
        <w:rPr>
          <w:rFonts w:ascii="Consolas" w:cs="Consolas" w:eastAsia="Consolas" w:hAnsi="Consolas"/>
          <w:sz w:val="17"/>
          <w:szCs w:val="17"/>
        </w:rPr>
        <w:t xml:space="preserve">    sk_fecha_entrega  integer           REFERENCES dw.dim_tiempo (sk_fecha),  -- NULL si no entregado</w:t>
      </w:r>
    </w:p>
    <w:p>
      <w:pPr>
        <w:shd w:fill="F2F4F4" w:val="clear"/>
        <w:spacing w:after="0" w:line="240"/>
      </w:pPr>
      <w:r>
        <w:rPr>
          <w:rFonts w:ascii="Consolas" w:cs="Consolas" w:eastAsia="Consolas" w:hAnsi="Consolas"/>
          <w:sz w:val="17"/>
          <w:szCs w:val="17"/>
        </w:rPr>
        <w:t xml:space="preserve">    sk_cliente        integer  NOT NULL REFERENCES dw.dim_cliente (sk_cliente),</w:t>
      </w:r>
    </w:p>
    <w:p>
      <w:pPr>
        <w:shd w:fill="F2F4F4" w:val="clear"/>
        <w:spacing w:after="0" w:line="240"/>
      </w:pPr>
      <w:r>
        <w:rPr>
          <w:rFonts w:ascii="Consolas" w:cs="Consolas" w:eastAsia="Consolas" w:hAnsi="Consolas"/>
          <w:sz w:val="17"/>
          <w:szCs w:val="17"/>
        </w:rPr>
        <w:t xml:space="preserve">    ...</w:t>
      </w:r>
    </w:p>
    <w:p>
      <w:pPr>
        <w:shd w:fill="F2F4F4" w:val="clear"/>
        <w:spacing w:after="0" w:line="240"/>
      </w:pPr>
      <w:r>
        <w:rPr>
          <w:rFonts w:ascii="Consolas" w:cs="Consolas" w:eastAsia="Consolas" w:hAnsi="Consolas"/>
          <w:sz w:val="17"/>
          <w:szCs w:val="17"/>
        </w:rPr>
        <w:t xml:space="preserve">    precio            numeric(10,2) NOT NULL CHECK (precio &gt;= 0),</w:t>
      </w:r>
    </w:p>
    <w:p>
      <w:pPr>
        <w:shd w:fill="F2F4F4" w:val="clear"/>
        <w:spacing w:after="0" w:line="240"/>
      </w:pPr>
      <w:r>
        <w:rPr>
          <w:rFonts w:ascii="Consolas" w:cs="Consolas" w:eastAsia="Consolas" w:hAnsi="Consolas"/>
          <w:sz w:val="17"/>
          <w:szCs w:val="17"/>
        </w:rPr>
        <w:t xml:space="preserve">    valor_flete       numeric(10,2) NOT NULL CHECK (valor_flete &gt;= 0),</w:t>
      </w:r>
    </w:p>
    <w:p>
      <w:pPr>
        <w:shd w:fill="F2F4F4" w:val="clear"/>
        <w:spacing w:after="0" w:line="240"/>
      </w:pPr>
      <w:r>
        <w:rPr>
          <w:rFonts w:ascii="Consolas" w:cs="Consolas" w:eastAsia="Consolas" w:hAnsi="Consolas"/>
          <w:sz w:val="17"/>
          <w:szCs w:val="17"/>
        </w:rPr>
        <w:t xml:space="preserve">    review_score      smallint CHECK (review_score BETWEEN 1 AND 5),</w:t>
      </w:r>
    </w:p>
    <w:p>
      <w:pPr>
        <w:shd w:fill="F2F4F4" w:val="clear"/>
        <w:spacing w:after="0" w:line="240"/>
      </w:pPr>
      <w:r>
        <w:rPr>
          <w:rFonts w:ascii="Consolas" w:cs="Consolas" w:eastAsia="Consolas" w:hAnsi="Consolas"/>
          <w:sz w:val="17"/>
          <w:szCs w:val="17"/>
        </w:rPr>
        <w:t xml:space="preserve">    es_primer_item    smallint NOT NULL,</w:t>
      </w:r>
    </w:p>
    <w:p>
      <w:pPr>
        <w:shd w:fill="F2F4F4" w:val="clear"/>
        <w:spacing w:after="0" w:line="240"/>
      </w:pPr>
      <w:r>
        <w:rPr>
          <w:rFonts w:ascii="Consolas" w:cs="Consolas" w:eastAsia="Consolas" w:hAnsi="Consolas"/>
          <w:sz w:val="17"/>
          <w:szCs w:val="17"/>
        </w:rPr>
        <w:t xml:space="preserve">    PRIMARY KEY (order_id, order_item_id));</w:t>
      </w:r>
    </w:p>
    <w:p>
      <w:pPr>
        <w:spacing w:after="60" w:line="276"/>
      </w:pPr>
      <w:r>
        <w:rPr>
          <w:rFonts w:ascii="Times New Roman" w:cs="Times New Roman" w:eastAsia="Times New Roman" w:hAnsi="Times New Roman"/>
          <w:sz w:val="22"/>
          <w:szCs w:val="22"/>
        </w:rPr>
        <w:t xml:space="preserve"/>
      </w:r>
    </w:p>
    <w:p>
      <w:pPr>
        <w:pStyle w:val="Heading1"/>
        <w:spacing w:after="140" w:before="300"/>
      </w:pPr>
      <w:r>
        <w:rPr>
          <w:rFonts w:ascii="Times New Roman" w:cs="Times New Roman" w:eastAsia="Times New Roman" w:hAnsi="Times New Roman"/>
          <w:b/>
          <w:bCs/>
          <w:color w:val="0F6B6B"/>
          <w:sz w:val="28"/>
          <w:szCs w:val="28"/>
        </w:rPr>
        <w:t xml:space="preserve">6. Evidencia de carga de datos</w:t>
      </w:r>
    </w:p>
    <w:p>
      <w:pPr>
        <w:keepNext/>
        <w:spacing w:after="120" w:line="276"/>
      </w:pPr>
      <w:r>
        <w:rPr>
          <w:rFonts w:ascii="Times New Roman" w:cs="Times New Roman" w:eastAsia="Times New Roman" w:hAnsi="Times New Roman"/>
          <w:sz w:val="22"/>
          <w:szCs w:val="22"/>
        </w:rPr>
        <w:t xml:space="preserve">Comparación de filas entre el origen (esquema stg, copia exacta de los CSV) y el destino (dw), ejecutada con 04_validaciones.sql: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2238"/>
      </w:tblGrid>
      <w:tr>
        <w:trPr>
          <w:tblHeader/>
        </w:trPr>
        <w:tc>
          <w:tcPr>
            <w:tcW w:type="dxa" w:w="38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Tabla</w:t>
            </w:r>
          </w:p>
        </w:tc>
        <w:tc>
          <w:tcPr>
            <w:tcW w:type="dxa" w:w="18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Origen</w:t>
            </w:r>
          </w:p>
        </w:tc>
        <w:tc>
          <w:tcPr>
            <w:tcW w:type="dxa" w:w="18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Destino</w:t>
            </w:r>
          </w:p>
        </w:tc>
        <w:tc>
          <w:tcPr>
            <w:tcW w:type="dxa" w:w="22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Diferencia</w:t>
            </w:r>
          </w:p>
        </w:tc>
      </w:tr>
      <w:tr>
        <w:trPr>
          <w:cantSplit/>
        </w:trPr>
        <w:tc>
          <w:tcPr>
            <w:tcW w:type="dxa" w:w="3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fact_ventas_item</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112.650</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112.650</w:t>
            </w:r>
          </w:p>
        </w:tc>
        <w:tc>
          <w:tcPr>
            <w:tcW w:type="dxa" w:w="2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3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fact_pagos</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103.886</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103.886</w:t>
            </w:r>
          </w:p>
        </w:tc>
        <w:tc>
          <w:tcPr>
            <w:tcW w:type="dxa" w:w="2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3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dim_cliente</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99.441</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99.441</w:t>
            </w:r>
          </w:p>
        </w:tc>
        <w:tc>
          <w:tcPr>
            <w:tcW w:type="dxa" w:w="2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3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dim_vendedor</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3.095</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3.095</w:t>
            </w:r>
          </w:p>
        </w:tc>
        <w:tc>
          <w:tcPr>
            <w:tcW w:type="dxa" w:w="2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3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dim_producto</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32.951</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32.951</w:t>
            </w:r>
          </w:p>
        </w:tc>
        <w:tc>
          <w:tcPr>
            <w:tcW w:type="dxa" w:w="2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3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dim_estado_pedido</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w:t>
            </w:r>
          </w:p>
        </w:tc>
        <w:tc>
          <w:tcPr>
            <w:tcW w:type="dxa" w:w="2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3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dim_pago (5 tipos + sin_pago)</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6</w:t>
            </w:r>
          </w:p>
        </w:tc>
        <w:tc>
          <w:tcPr>
            <w:tcW w:type="dxa" w:w="1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6</w:t>
            </w:r>
          </w:p>
        </w:tc>
        <w:tc>
          <w:tcPr>
            <w:tcW w:type="dxa" w:w="22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3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dim_tiempo (2016-2018)</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1.096</w:t>
            </w:r>
          </w:p>
        </w:tc>
        <w:tc>
          <w:tcPr>
            <w:tcW w:type="dxa" w:w="1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1.096</w:t>
            </w:r>
          </w:p>
        </w:tc>
        <w:tc>
          <w:tcPr>
            <w:tcW w:type="dxa" w:w="22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bl>
    <w:p>
      <w:pPr>
        <w:spacing w:after="120" w:line="276"/>
      </w:pPr>
      <w:r>
        <w:rPr>
          <w:rFonts w:ascii="Times New Roman" w:cs="Times New Roman" w:eastAsia="Times New Roman" w:hAnsi="Times New Roman"/>
          <w:sz w:val="22"/>
          <w:szCs w:val="22"/>
        </w:rPr>
        <w:t xml:space="preserve">Los conteos de staging coinciden con el Anexo B del Entregable 1 (99.441 pedidos, 112.650 ítems, 103.886 pagos, 99.224 reseñas, 32.951 productos, 3.095 vendedores). La carga se hizo con \copy de psql (script 01) y la transformación con INSERT … SELECT (script 03).</w:t>
      </w:r>
    </w:p>
    <w:p>
      <w:pPr>
        <w:pStyle w:val="Heading1"/>
        <w:spacing w:after="140" w:before="300"/>
      </w:pPr>
      <w:r>
        <w:rPr>
          <w:rFonts w:ascii="Times New Roman" w:cs="Times New Roman" w:eastAsia="Times New Roman" w:hAnsi="Times New Roman"/>
          <w:b/>
          <w:bCs/>
          <w:color w:val="0F6B6B"/>
          <w:sz w:val="28"/>
          <w:szCs w:val="28"/>
        </w:rPr>
        <w:t xml:space="preserve">7. Consultas de validación y resultados</w:t>
      </w:r>
    </w:p>
    <w:p>
      <w:pPr>
        <w:pStyle w:val="Heading2"/>
        <w:spacing w:after="100" w:before="200"/>
      </w:pPr>
      <w:r>
        <w:rPr>
          <w:rFonts w:ascii="Times New Roman" w:cs="Times New Roman" w:eastAsia="Times New Roman" w:hAnsi="Times New Roman"/>
          <w:b/>
          <w:bCs/>
          <w:sz w:val="24"/>
          <w:szCs w:val="24"/>
        </w:rPr>
        <w:t xml:space="preserve">7.1 Integridad de las relaciones</w:t>
      </w:r>
    </w:p>
    <w:p>
      <w:pPr>
        <w:keepNext/>
        <w:spacing w:after="120" w:line="276"/>
      </w:pPr>
      <w:r>
        <w:rPr>
          <w:rFonts w:ascii="Times New Roman" w:cs="Times New Roman" w:eastAsia="Times New Roman" w:hAnsi="Times New Roman"/>
          <w:sz w:val="22"/>
          <w:szCs w:val="22"/>
        </w:rPr>
        <w:t xml:space="preserve">Se buscaron hechos sin su dimensión (LEFT JOIN … IS NULL). Además de las claves foráneas, que PostgreSQL ya obliga a cumplir, se verificó que todo pedido con ítems en staging llegó a la tabla de hechos.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0"/>
        <w:gridCol w:w="3038"/>
      </w:tblGrid>
      <w:tr>
        <w:trPr>
          <w:tblHeader/>
        </w:trPr>
        <w:tc>
          <w:tcPr>
            <w:tcW w:type="dxa" w:w="66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Prueba</w:t>
            </w:r>
          </w:p>
        </w:tc>
        <w:tc>
          <w:tcPr>
            <w:tcW w:type="dxa" w:w="30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Huérfanos (esperado 0)</w:t>
            </w:r>
          </w:p>
        </w:tc>
      </w:tr>
      <w:tr>
        <w:trPr>
          <w:cantSplit/>
        </w:trPr>
        <w:tc>
          <w:tcPr>
            <w:tcW w:type="dxa" w:w="6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Ventas sin cliente / vendedor / producto</w:t>
            </w:r>
          </w:p>
        </w:tc>
        <w:tc>
          <w:tcPr>
            <w:tcW w:type="dxa" w:w="3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 / 0 / 0</w:t>
            </w:r>
          </w:p>
        </w:tc>
      </w:tr>
      <w:tr>
        <w:trPr>
          <w:cantSplit/>
        </w:trPr>
        <w:tc>
          <w:tcPr>
            <w:tcW w:type="dxa" w:w="6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Ventas sin fecha de compra</w:t>
            </w:r>
          </w:p>
        </w:tc>
        <w:tc>
          <w:tcPr>
            <w:tcW w:type="dxa" w:w="3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6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Ventas con fecha de entrega inexistente en dim_tiempo</w:t>
            </w:r>
          </w:p>
        </w:tc>
        <w:tc>
          <w:tcPr>
            <w:tcW w:type="dxa" w:w="3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6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Pagos sin cliente</w:t>
            </w:r>
          </w:p>
        </w:tc>
        <w:tc>
          <w:tcPr>
            <w:tcW w:type="dxa" w:w="3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6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Pedidos con ítems en staging y sin fila en hechos</w:t>
            </w:r>
          </w:p>
        </w:tc>
        <w:tc>
          <w:tcPr>
            <w:tcW w:type="dxa" w:w="3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r>
        <w:trPr>
          <w:cantSplit/>
        </w:trPr>
        <w:tc>
          <w:tcPr>
            <w:tcW w:type="dxa" w:w="6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Duplicados en (order_id, order_item_id)</w:t>
            </w:r>
          </w:p>
        </w:tc>
        <w:tc>
          <w:tcPr>
            <w:tcW w:type="dxa" w:w="3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r>
    </w:tbl>
    <w:p>
      <w:pPr>
        <w:pStyle w:val="Heading2"/>
        <w:spacing w:after="100" w:before="200"/>
      </w:pPr>
      <w:r>
        <w:rPr>
          <w:rFonts w:ascii="Times New Roman" w:cs="Times New Roman" w:eastAsia="Times New Roman" w:hAnsi="Times New Roman"/>
          <w:b/>
          <w:bCs/>
          <w:sz w:val="24"/>
          <w:szCs w:val="24"/>
        </w:rPr>
        <w:t xml:space="preserve">7.2 Valores nulos relevantes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3138"/>
      </w:tblGrid>
      <w:tr>
        <w:trPr>
          <w:tblHeader/>
        </w:trPr>
        <w:tc>
          <w:tcPr>
            <w:tcW w:type="dxa" w:w="50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Medida</w:t>
            </w:r>
          </w:p>
        </w:tc>
        <w:tc>
          <w:tcPr>
            <w:tcW w:type="dxa" w:w="15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Nulos</w:t>
            </w:r>
          </w:p>
        </w:tc>
        <w:tc>
          <w:tcPr>
            <w:tcW w:type="dxa" w:w="31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Explicación</w:t>
            </w:r>
          </w:p>
        </w:tc>
      </w:tr>
      <w:tr>
        <w:trPr>
          <w:cantSplit/>
        </w:trPr>
        <w:tc>
          <w:tcPr>
            <w:tcW w:type="dxa" w:w="5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sk_fecha_entrega / dias_entrega</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2.454</w:t>
            </w:r>
          </w:p>
        </w:tc>
        <w:tc>
          <w:tcPr>
            <w:tcW w:type="dxa" w:w="31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542 cancelados o no disponibles, 1.904 aún en proceso y 8 'delivered' sin fecha (marcados).</w:t>
            </w:r>
          </w:p>
        </w:tc>
      </w:tr>
      <w:tr>
        <w:trPr>
          <w:cantSplit/>
        </w:trPr>
        <w:tc>
          <w:tcPr>
            <w:tcW w:type="dxa" w:w="5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review_score</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942</w:t>
            </w:r>
          </w:p>
        </w:tc>
        <w:tc>
          <w:tcPr>
            <w:tcW w:type="dxa" w:w="31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Pedidos sin reseña; no se imputan.</w:t>
            </w:r>
          </w:p>
        </w:tc>
      </w:tr>
      <w:tr>
        <w:trPr>
          <w:cantSplit/>
        </w:trPr>
        <w:tc>
          <w:tcPr>
            <w:tcW w:type="dxa" w:w="5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precio / valor_flete</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w:t>
            </w:r>
          </w:p>
        </w:tc>
        <w:tc>
          <w:tcPr>
            <w:tcW w:type="dxa" w:w="31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w:t>
            </w:r>
          </w:p>
        </w:tc>
      </w:tr>
      <w:tr>
        <w:trPr>
          <w:cantSplit/>
        </w:trPr>
        <w:tc>
          <w:tcPr>
            <w:tcW w:type="dxa" w:w="5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Productos sin categoría / sin peso</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610 / 6</w:t>
            </w:r>
          </w:p>
        </w:tc>
        <w:tc>
          <w:tcPr>
            <w:tcW w:type="dxa" w:w="31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Corregidos a 'sin_categoria' y peso NULL.</w:t>
            </w:r>
          </w:p>
        </w:tc>
      </w:tr>
    </w:tbl>
    <w:p>
      <w:pPr>
        <w:pStyle w:val="Heading2"/>
        <w:spacing w:after="100" w:before="200"/>
      </w:pPr>
      <w:r>
        <w:rPr>
          <w:rFonts w:ascii="Times New Roman" w:cs="Times New Roman" w:eastAsia="Times New Roman" w:hAnsi="Times New Roman"/>
          <w:b/>
          <w:bCs/>
          <w:sz w:val="24"/>
          <w:szCs w:val="24"/>
        </w:rPr>
        <w:t xml:space="preserve">7.3 Totales principales: Data Mart vs. staging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38"/>
      </w:tblGrid>
      <w:tr>
        <w:trPr>
          <w:tblHeader/>
        </w:trPr>
        <w:tc>
          <w:tcPr>
            <w:tcW w:type="dxa" w:w="40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Medida</w:t>
            </w:r>
          </w:p>
        </w:tc>
        <w:tc>
          <w:tcPr>
            <w:tcW w:type="dxa" w:w="28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Origen (stg)</w:t>
            </w:r>
          </w:p>
        </w:tc>
        <w:tc>
          <w:tcPr>
            <w:tcW w:type="dxa" w:w="28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Data Mart (dw)</w:t>
            </w:r>
          </w:p>
        </w:tc>
      </w:tr>
      <w:tr>
        <w:trPr>
          <w:cantSplit/>
        </w:trPr>
        <w:tc>
          <w:tcPr>
            <w:tcW w:type="dxa" w:w="4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GMV: SUM(price), sin cancelados</w:t>
            </w:r>
          </w:p>
        </w:tc>
        <w:tc>
          <w:tcPr>
            <w:tcW w:type="dxa" w:w="2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R$ 13.496.408,43</w:t>
            </w:r>
          </w:p>
        </w:tc>
        <w:tc>
          <w:tcPr>
            <w:tcW w:type="dxa" w:w="28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R$ 13.496.408,43</w:t>
            </w:r>
          </w:p>
        </w:tc>
      </w:tr>
      <w:tr>
        <w:trPr>
          <w:cantSplit/>
        </w:trPr>
        <w:tc>
          <w:tcPr>
            <w:tcW w:type="dxa" w:w="4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Flete total</w:t>
            </w:r>
          </w:p>
        </w:tc>
        <w:tc>
          <w:tcPr>
            <w:tcW w:type="dxa" w:w="2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R$ 2.251.909,54</w:t>
            </w:r>
          </w:p>
        </w:tc>
        <w:tc>
          <w:tcPr>
            <w:tcW w:type="dxa" w:w="28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R$ 2.251.909,54</w:t>
            </w:r>
          </w:p>
        </w:tc>
      </w:tr>
      <w:tr>
        <w:trPr>
          <w:cantSplit/>
        </w:trPr>
        <w:tc>
          <w:tcPr>
            <w:tcW w:type="dxa" w:w="4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Valor de pagos</w:t>
            </w:r>
          </w:p>
        </w:tc>
        <w:tc>
          <w:tcPr>
            <w:tcW w:type="dxa" w:w="2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R$ 16.008.872,12</w:t>
            </w:r>
          </w:p>
        </w:tc>
        <w:tc>
          <w:tcPr>
            <w:tcW w:type="dxa" w:w="28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R$ 16.008.872,12</w:t>
            </w:r>
          </w:p>
        </w:tc>
      </w:tr>
      <w:tr>
        <w:trPr>
          <w:cantSplit/>
        </w:trPr>
        <w:tc>
          <w:tcPr>
            <w:tcW w:type="dxa" w:w="4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Pedidos con ítems</w:t>
            </w:r>
          </w:p>
        </w:tc>
        <w:tc>
          <w:tcPr>
            <w:tcW w:type="dxa" w:w="2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98.666</w:t>
            </w:r>
          </w:p>
        </w:tc>
        <w:tc>
          <w:tcPr>
            <w:tcW w:type="dxa" w:w="28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98.666</w:t>
            </w:r>
          </w:p>
        </w:tc>
      </w:tr>
    </w:tbl>
    <w:p>
      <w:pPr>
        <w:spacing w:after="60" w:line="276"/>
      </w:pPr>
      <w:r>
        <w:rPr>
          <w:rFonts w:ascii="Times New Roman" w:cs="Times New Roman" w:eastAsia="Times New Roman" w:hAnsi="Times New Roman"/>
          <w:sz w:val="22"/>
          <w:szCs w:val="22"/>
        </w:rPr>
        <w:t xml:space="preserve"/>
      </w:r>
    </w:p>
    <w:p>
      <w:pPr>
        <w:spacing w:after="120" w:line="276"/>
      </w:pPr>
      <w:r>
        <w:rPr>
          <w:rFonts w:ascii="Times New Roman" w:cs="Times New Roman" w:eastAsia="Times New Roman" w:hAnsi="Times New Roman"/>
          <w:sz w:val="22"/>
          <w:szCs w:val="22"/>
        </w:rPr>
        <w:t xml:space="preserve">Las cuatro medidas coinciden al centavo, lo que confirma que el ETL no pierde ni duplica importes.</w:t>
      </w:r>
    </w:p>
    <w:p>
      <w:pPr>
        <w:pStyle w:val="Heading2"/>
        <w:spacing w:after="100" w:before="200"/>
      </w:pPr>
      <w:r>
        <w:rPr>
          <w:rFonts w:ascii="Times New Roman" w:cs="Times New Roman" w:eastAsia="Times New Roman" w:hAnsi="Times New Roman"/>
          <w:b/>
          <w:bCs/>
          <w:sz w:val="24"/>
          <w:szCs w:val="24"/>
        </w:rPr>
        <w:t xml:space="preserve">7.4 KPI calculados desde el Data Mart (período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438"/>
      </w:tblGrid>
      <w:tr>
        <w:trPr>
          <w:tblHeader/>
        </w:trPr>
        <w:tc>
          <w:tcPr>
            <w:tcW w:type="dxa" w:w="43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KPI</w:t>
            </w:r>
          </w:p>
        </w:tc>
        <w:tc>
          <w:tcPr>
            <w:tcW w:type="dxa" w:w="19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Valor</w:t>
            </w:r>
          </w:p>
        </w:tc>
        <w:tc>
          <w:tcPr>
            <w:tcW w:type="dxa" w:w="34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Cómo se compara con el Entregable 1</w:t>
            </w:r>
          </w:p>
        </w:tc>
      </w:tr>
      <w:tr>
        <w:trPr>
          <w:cantSplit/>
        </w:trPr>
        <w:tc>
          <w:tcPr>
            <w:tcW w:type="dxa" w:w="4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Ventas totales (GMV)</w:t>
            </w:r>
          </w:p>
        </w:tc>
        <w:tc>
          <w:tcPr>
            <w:tcW w:type="dxa" w:w="19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R$ 13.496.408,43</w:t>
            </w:r>
          </w:p>
        </w:tc>
        <w:tc>
          <w:tcPr>
            <w:tcW w:type="dxa" w:w="34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Nuevo; el Entregable 1 solo definía la fórmula.</w:t>
            </w:r>
          </w:p>
        </w:tc>
      </w:tr>
      <w:tr>
        <w:trPr>
          <w:cantSplit/>
        </w:trPr>
        <w:tc>
          <w:tcPr>
            <w:tcW w:type="dxa" w:w="4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Pedidos no cancelados</w:t>
            </w:r>
          </w:p>
        </w:tc>
        <w:tc>
          <w:tcPr>
            <w:tcW w:type="dxa" w:w="19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98.205</w:t>
            </w:r>
          </w:p>
        </w:tc>
        <w:tc>
          <w:tcPr>
            <w:tcW w:type="dxa" w:w="34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98.666 con ítems; 461 son cancelados.</w:t>
            </w:r>
          </w:p>
        </w:tc>
      </w:tr>
      <w:tr>
        <w:trPr>
          <w:cantSplit/>
        </w:trPr>
        <w:tc>
          <w:tcPr>
            <w:tcW w:type="dxa" w:w="4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Ticket promedio</w:t>
            </w:r>
          </w:p>
        </w:tc>
        <w:tc>
          <w:tcPr>
            <w:tcW w:type="dxa" w:w="19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R$ 137,43</w:t>
            </w:r>
          </w:p>
        </w:tc>
        <w:tc>
          <w:tcPr>
            <w:tcW w:type="dxa" w:w="34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Nuevo.</w:t>
            </w:r>
          </w:p>
        </w:tc>
      </w:tr>
      <w:tr>
        <w:trPr>
          <w:cantSplit/>
        </w:trPr>
        <w:tc>
          <w:tcPr>
            <w:tcW w:type="dxa" w:w="4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Tiempo promedio de entrega</w:t>
            </w:r>
          </w:p>
        </w:tc>
        <w:tc>
          <w:tcPr>
            <w:tcW w:type="dxa" w:w="19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12,56 días</w:t>
            </w:r>
          </w:p>
        </w:tc>
        <w:tc>
          <w:tcPr>
            <w:tcW w:type="dxa" w:w="34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12,1 en el Entregable 1: allí se truncó a días enteros (12,09). Aquí se usan fracciones de día.</w:t>
            </w:r>
          </w:p>
        </w:tc>
      </w:tr>
      <w:tr>
        <w:trPr>
          <w:cantSplit/>
        </w:trPr>
        <w:tc>
          <w:tcPr>
            <w:tcW w:type="dxa" w:w="4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 entregas tardías</w:t>
            </w:r>
          </w:p>
        </w:tc>
        <w:tc>
          <w:tcPr>
            <w:tcW w:type="dxa" w:w="19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8,11 %</w:t>
            </w:r>
          </w:p>
        </w:tc>
        <w:tc>
          <w:tcPr>
            <w:tcW w:type="dxa" w:w="34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8,1 %. Coincide (7.827 de 96.476 pedidos con fecha).</w:t>
            </w:r>
          </w:p>
        </w:tc>
      </w:tr>
      <w:tr>
        <w:trPr>
          <w:cantSplit/>
        </w:trPr>
        <w:tc>
          <w:tcPr>
            <w:tcW w:type="dxa" w:w="4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Calificación promedio</w:t>
            </w:r>
          </w:p>
        </w:tc>
        <w:tc>
          <w:tcPr>
            <w:tcW w:type="dxa" w:w="19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4,12</w:t>
            </w:r>
          </w:p>
        </w:tc>
        <w:tc>
          <w:tcPr>
            <w:tcW w:type="dxa" w:w="34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4,09: antes sobre 99.224 reseñas; ahora sobre pedidos no cancelados con ítems y su reseña más reciente.</w:t>
            </w:r>
          </w:p>
        </w:tc>
      </w:tr>
      <w:tr>
        <w:trPr>
          <w:cantSplit/>
        </w:trPr>
        <w:tc>
          <w:tcPr>
            <w:tcW w:type="dxa" w:w="4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 reseñas negativas (1-2)</w:t>
            </w:r>
          </w:p>
        </w:tc>
        <w:tc>
          <w:tcPr>
            <w:tcW w:type="dxa" w:w="19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13,87 %</w:t>
            </w:r>
          </w:p>
        </w:tc>
        <w:tc>
          <w:tcPr>
            <w:tcW w:type="dxa" w:w="34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14,7 %: misma causa que la fila anterior.</w:t>
            </w:r>
          </w:p>
        </w:tc>
      </w:tr>
      <w:tr>
        <w:trPr>
          <w:cantSplit/>
        </w:trPr>
        <w:tc>
          <w:tcPr>
            <w:tcW w:type="dxa" w:w="4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Participación del flete</w:t>
            </w:r>
          </w:p>
        </w:tc>
        <w:tc>
          <w:tcPr>
            <w:tcW w:type="dxa" w:w="19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16,61 %</w:t>
            </w:r>
          </w:p>
        </w:tc>
        <w:tc>
          <w:tcPr>
            <w:tcW w:type="dxa" w:w="34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Nuevo.</w:t>
            </w:r>
          </w:p>
        </w:tc>
      </w:tr>
      <w:tr>
        <w:trPr>
          <w:cantSplit/>
        </w:trPr>
        <w:tc>
          <w:tcPr>
            <w:tcW w:type="dxa" w:w="43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 ventas del top 10 de vendedores</w:t>
            </w:r>
          </w:p>
        </w:tc>
        <w:tc>
          <w:tcPr>
            <w:tcW w:type="dxa" w:w="19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13,20 %</w:t>
            </w:r>
          </w:p>
        </w:tc>
        <w:tc>
          <w:tcPr>
            <w:tcW w:type="dxa" w:w="34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Ventas poco concentradas en pocos vendedores.</w:t>
            </w:r>
          </w:p>
        </w:tc>
      </w:tr>
      <w:tr>
        <w:trPr>
          <w:cantSplit/>
        </w:trPr>
        <w:tc>
          <w:tcPr>
            <w:tcW w:type="dxa" w:w="43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Tasa de recompra</w:t>
            </w:r>
          </w:p>
        </w:tc>
        <w:tc>
          <w:tcPr>
            <w:tcW w:type="dxa" w:w="19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3,04 %</w:t>
            </w:r>
          </w:p>
        </w:tc>
        <w:tc>
          <w:tcPr>
            <w:tcW w:type="dxa" w:w="34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3,12 % (2.997 de 96.096): antes sobre todos los pedidos, ahora sin cancelados.</w:t>
            </w:r>
          </w:p>
        </w:tc>
      </w:tr>
    </w:tbl>
    <w:p>
      <w:pPr>
        <w:spacing w:after="60" w:line="276"/>
      </w:pPr>
      <w:r>
        <w:rPr>
          <w:rFonts w:ascii="Times New Roman" w:cs="Times New Roman" w:eastAsia="Times New Roman" w:hAnsi="Times New Roman"/>
          <w:sz w:val="22"/>
          <w:szCs w:val="22"/>
        </w:rPr>
        <w:t xml:space="preserve"/>
      </w:r>
    </w:p>
    <w:p>
      <w:pPr>
        <w:spacing w:after="120" w:line="276"/>
      </w:pPr>
      <w:r>
        <w:rPr>
          <w:rFonts w:ascii="Times New Roman" w:cs="Times New Roman" w:eastAsia="Times New Roman" w:hAnsi="Times New Roman"/>
          <w:sz w:val="22"/>
          <w:szCs w:val="22"/>
        </w:rPr>
        <w:t xml:space="preserve">Un hallazgo para el dashboard: los pedidos con retraso reciben una calificación media de 2,57 frente a 4,29 de los puntuales, y el 54 % de sus reseñas son negativas (9 % en los puntuales).</w:t>
      </w:r>
    </w:p>
    <w:p>
      <w:pPr>
        <w:pStyle w:val="Heading1"/>
        <w:spacing w:after="140" w:before="300"/>
      </w:pPr>
      <w:r>
        <w:rPr>
          <w:rFonts w:ascii="Times New Roman" w:cs="Times New Roman" w:eastAsia="Times New Roman" w:hAnsi="Times New Roman"/>
          <w:b/>
          <w:bCs/>
          <w:color w:val="0F6B6B"/>
          <w:sz w:val="28"/>
          <w:szCs w:val="28"/>
        </w:rPr>
        <w:t xml:space="preserve">8. Vistas y funciones SQL</w:t>
      </w:r>
    </w:p>
    <w:p>
      <w:pPr>
        <w:keepNext/>
        <w:spacing w:after="120" w:line="276"/>
      </w:pPr>
      <w:r>
        <w:rPr>
          <w:rFonts w:ascii="Times New Roman" w:cs="Times New Roman" w:eastAsia="Times New Roman" w:hAnsi="Times New Roman"/>
          <w:sz w:val="22"/>
          <w:szCs w:val="22"/>
        </w:rPr>
        <w:t xml:space="preserve">El archivo 05_vistas_funciones.sql crea la capa de consumo que leerá la aplicación. La aplicación no debe consultar las tablas directamente: usa estos objetos.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Objeto</w:t>
            </w:r>
          </w:p>
        </w:tc>
        <w:tc>
          <w:tcPr>
            <w:tcW w:type="dxa" w:w="66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Qué devuelve</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vw_ventas_detalle</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Hecho unido a las 6 dimensiones (una fila por ítem). Base de todas las funciones.</w:t>
            </w:r>
          </w:p>
        </w:tc>
      </w:tr>
      <w:tr>
        <w:trPr>
          <w:cantSplit/>
        </w:trPr>
        <w:tc>
          <w:tcPr>
            <w:tcW w:type="dxa" w:w="3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vw_kpi_mensual</w:t>
            </w:r>
          </w:p>
        </w:tc>
        <w:tc>
          <w:tcPr>
            <w:tcW w:type="dxa" w:w="66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Ventas, pedidos, ticket y % de flete por mes.</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vw_logistica_estado</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Días de entrega y % de tardías por estado del cliente.</w:t>
            </w:r>
          </w:p>
        </w:tc>
      </w:tr>
      <w:tr>
        <w:trPr>
          <w:cantSplit/>
        </w:trPr>
        <w:tc>
          <w:tcPr>
            <w:tcW w:type="dxa" w:w="3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vw_satisfaccion_entrega</w:t>
            </w:r>
          </w:p>
        </w:tc>
        <w:tc>
          <w:tcPr>
            <w:tcW w:type="dxa" w:w="66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Calificación y % de reseñas negativas con y sin retraso.</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vw_pagos_resumen</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Pagos, valor, ticket y cuotas por medio de pago.</w:t>
            </w:r>
          </w:p>
        </w:tc>
      </w:tr>
      <w:tr>
        <w:trPr>
          <w:cantSplit/>
        </w:trPr>
        <w:tc>
          <w:tcPr>
            <w:tcW w:type="dxa" w:w="3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fn_total_ventas(), fn_total_pedidos(), fn_ticket_promedio()</w:t>
            </w:r>
          </w:p>
        </w:tc>
        <w:tc>
          <w:tcPr>
            <w:tcW w:type="dxa" w:w="66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KPI comerciales.</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fn_tiempo_entrega(), fn_pct_entregas_tardias(), fn_participacion_flete()</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KPI de logística.</w:t>
            </w:r>
          </w:p>
        </w:tc>
      </w:tr>
      <w:tr>
        <w:trPr>
          <w:cantSplit/>
        </w:trPr>
        <w:tc>
          <w:tcPr>
            <w:tcW w:type="dxa" w:w="3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fn_calificacion_promedio(), fn_pct_resenas_negativas()</w:t>
            </w:r>
          </w:p>
        </w:tc>
        <w:tc>
          <w:tcPr>
            <w:tcW w:type="dxa" w:w="66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KPI de satisfacción.</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fn_pct_top10_vendedores(), fn_tasa_recompra()</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KPI de concentración y fidelidad.</w:t>
            </w:r>
          </w:p>
        </w:tc>
      </w:tr>
      <w:tr>
        <w:trPr>
          <w:cantSplit/>
        </w:trPr>
        <w:tc>
          <w:tcPr>
            <w:tcW w:type="dxa" w:w="30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fn_ventas_mensuales(), fn_top_categorias(), fn_logistica_por_estado(), fn_satisfaccion_entrega(), fn_pagos_resumen()</w:t>
            </w:r>
          </w:p>
        </w:tc>
        <w:tc>
          <w:tcPr>
            <w:tcW w:type="dxa" w:w="66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Series y rankings para los gráficos.</w:t>
            </w:r>
          </w:p>
        </w:tc>
      </w:tr>
      <w:tr>
        <w:trPr>
          <w:cantSplit/>
        </w:trPr>
        <w:tc>
          <w:tcPr>
            <w:tcW w:type="dxa" w:w="30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fn_ranking_vendedores(), fn_detalle_pedidos()</w:t>
            </w:r>
          </w:p>
        </w:tc>
        <w:tc>
          <w:tcPr>
            <w:tcW w:type="dxa" w:w="66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Tablas de detalle del dashboard.</w:t>
            </w:r>
          </w:p>
        </w:tc>
      </w:tr>
    </w:tbl>
    <w:p>
      <w:pPr>
        <w:spacing w:after="60" w:line="276"/>
      </w:pPr>
      <w:r>
        <w:rPr>
          <w:rFonts w:ascii="Times New Roman" w:cs="Times New Roman" w:eastAsia="Times New Roman" w:hAnsi="Times New Roman"/>
          <w:sz w:val="22"/>
          <w:szCs w:val="22"/>
        </w:rPr>
        <w:t xml:space="preserve"/>
      </w:r>
    </w:p>
    <w:p>
      <w:pPr>
        <w:keepNext/>
        <w:spacing w:after="120" w:line="276"/>
      </w:pPr>
      <w:r>
        <w:rPr>
          <w:rFonts w:ascii="Times New Roman" w:cs="Times New Roman" w:eastAsia="Times New Roman" w:hAnsi="Times New Roman"/>
          <w:sz w:val="22"/>
          <w:szCs w:val="22"/>
        </w:rPr>
        <w:t xml:space="preserve">Todas las funciones de KPI reciben los mismos cuatro parámetros opcionales (NULL = sin filtro): p_desde, p_hasta, p_categoria y p_uf. Ejemplo con los tres filtros combinados:</w:t>
      </w:r>
    </w:p>
    <w:p>
      <w:pPr>
        <w:shd w:fill="F2F4F4" w:val="clear"/>
        <w:spacing w:after="0" w:line="240"/>
      </w:pPr>
      <w:r>
        <w:rPr>
          <w:rFonts w:ascii="Consolas" w:cs="Consolas" w:eastAsia="Consolas" w:hAnsi="Consolas"/>
          <w:sz w:val="17"/>
          <w:szCs w:val="17"/>
        </w:rPr>
        <w:t xml:space="preserve">SELECT dw.fn_total_ventas('2018-01-01','2018-08-31','health_beauty','SP');   -- R$ 302.498,32</w:t>
      </w:r>
    </w:p>
    <w:p>
      <w:pPr>
        <w:shd w:fill="F2F4F4" w:val="clear"/>
        <w:spacing w:after="0" w:line="240"/>
      </w:pPr>
      <w:r>
        <w:rPr>
          <w:rFonts w:ascii="Consolas" w:cs="Consolas" w:eastAsia="Consolas" w:hAnsi="Consolas"/>
          <w:sz w:val="17"/>
          <w:szCs w:val="17"/>
        </w:rPr>
        <w:t xml:space="preserve">SELECT dw.fn_ticket_promedio('2018-01-01','2018-08-31','health_beauty','SP');  -- R$ 123,47</w:t>
      </w:r>
    </w:p>
    <w:p>
      <w:pPr>
        <w:shd w:fill="F2F4F4" w:val="clear"/>
        <w:spacing w:after="0" w:line="240"/>
      </w:pPr>
      <w:r>
        <w:rPr>
          <w:rFonts w:ascii="Consolas" w:cs="Consolas" w:eastAsia="Consolas" w:hAnsi="Consolas"/>
          <w:sz w:val="17"/>
          <w:szCs w:val="17"/>
        </w:rPr>
        <w:t xml:space="preserve">SELECT * FROM dw.fn_top_categorias(NULL, NULL, NULL, 5);</w:t>
      </w:r>
    </w:p>
    <w:p>
      <w:pPr>
        <w:spacing w:after="60" w:line="276"/>
      </w:pPr>
      <w:r>
        <w:rPr>
          <w:rFonts w:ascii="Times New Roman" w:cs="Times New Roman" w:eastAsia="Times New Roman" w:hAnsi="Times New Roman"/>
          <w:sz w:val="22"/>
          <w:szCs w:val="22"/>
        </w:rPr>
        <w:t xml:space="preserve"/>
      </w:r>
    </w:p>
    <w:p>
      <w:pPr>
        <w:spacing w:after="120" w:line="276"/>
      </w:pPr>
      <w:r>
        <w:rPr>
          <w:rFonts w:ascii="Times New Roman" w:cs="Times New Roman" w:eastAsia="Times New Roman" w:hAnsi="Times New Roman"/>
          <w:sz w:val="22"/>
          <w:szCs w:val="22"/>
        </w:rPr>
        <w:t xml:space="preserve">Reglas de cálculo: GMV, ticket y flete excluyen pedidos cancelados; los KPI de entrega solo usan pedidos entregados con fecha; los porcentajes están en escala 0-100.</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spacing w:after="140" w:before="300"/>
      </w:pPr>
      <w:r>
        <w:rPr>
          <w:rFonts w:ascii="Times New Roman" w:cs="Times New Roman" w:eastAsia="Times New Roman" w:hAnsi="Times New Roman"/>
          <w:b/>
          <w:bCs/>
          <w:color w:val="0F6B6B"/>
          <w:sz w:val="28"/>
          <w:szCs w:val="28"/>
        </w:rPr>
        <w:t xml:space="preserve">9. Diseño del dashboard (mockup)</w:t>
      </w:r>
    </w:p>
    <w:p>
      <w:pPr>
        <w:spacing w:after="120" w:line="276"/>
      </w:pPr>
      <w:r>
        <w:rPr>
          <w:rFonts w:ascii="Times New Roman" w:cs="Times New Roman" w:eastAsia="Times New Roman" w:hAnsi="Times New Roman"/>
          <w:sz w:val="22"/>
          <w:szCs w:val="22"/>
        </w:rPr>
        <w:t xml:space="preserve">El tablero se organiza en tres pestañas, una por área usuaria definida en el Entregable 1, con una barra de filtros común en la parte superior. Los valores del mockup son reales: se obtuvieron llamando a las funciones del Data Mart con el rango 2017-01-01 a 2018-08-31 (el período con mayor volumen).</w:t>
      </w:r>
    </w:p>
    <w:p>
      <w:pPr>
        <w:pStyle w:val="ListParagraph"/>
        <w:numPr>
          <w:ilvl w:val="0"/>
          <w:numId w:val="2"/>
        </w:numPr>
        <w:spacing w:after="60" w:line="264"/>
      </w:pPr>
      <w:r>
        <w:rPr>
          <w:rFonts w:ascii="Times New Roman" w:cs="Times New Roman" w:eastAsia="Times New Roman" w:hAnsi="Times New Roman"/>
          <w:b/>
          <w:bCs/>
          <w:sz w:val="22"/>
          <w:szCs w:val="22"/>
        </w:rPr>
        <w:t xml:space="preserve">Pestaña 1 · Resumen comercial </w:t>
      </w:r>
      <w:r>
        <w:rPr>
          <w:rFonts w:ascii="Times New Roman" w:cs="Times New Roman" w:eastAsia="Times New Roman" w:hAnsi="Times New Roman"/>
          <w:sz w:val="22"/>
          <w:szCs w:val="22"/>
        </w:rPr>
        <w:t xml:space="preserve">(gerencia comercial): 5 KPI, evolución mensual, top de categorías y tabla de detalle.</w:t>
      </w:r>
    </w:p>
    <w:p>
      <w:pPr>
        <w:pStyle w:val="ListParagraph"/>
        <w:numPr>
          <w:ilvl w:val="0"/>
          <w:numId w:val="2"/>
        </w:numPr>
        <w:spacing w:after="60" w:line="264"/>
      </w:pPr>
      <w:r>
        <w:rPr>
          <w:rFonts w:ascii="Times New Roman" w:cs="Times New Roman" w:eastAsia="Times New Roman" w:hAnsi="Times New Roman"/>
          <w:b/>
          <w:bCs/>
          <w:sz w:val="22"/>
          <w:szCs w:val="22"/>
        </w:rPr>
        <w:t xml:space="preserve">Pestaña 2 · Logística y satisfacción </w:t>
      </w:r>
      <w:r>
        <w:rPr>
          <w:rFonts w:ascii="Times New Roman" w:cs="Times New Roman" w:eastAsia="Times New Roman" w:hAnsi="Times New Roman"/>
          <w:sz w:val="22"/>
          <w:szCs w:val="22"/>
        </w:rPr>
        <w:t xml:space="preserve">(logística y servicio al cliente): retrasos por estado y relación entre puntualidad y calificación.</w:t>
      </w:r>
    </w:p>
    <w:p>
      <w:pPr>
        <w:pStyle w:val="ListParagraph"/>
        <w:numPr>
          <w:ilvl w:val="0"/>
          <w:numId w:val="2"/>
        </w:numPr>
        <w:spacing w:after="60" w:line="264"/>
      </w:pPr>
      <w:r>
        <w:rPr>
          <w:rFonts w:ascii="Times New Roman" w:cs="Times New Roman" w:eastAsia="Times New Roman" w:hAnsi="Times New Roman"/>
          <w:b/>
          <w:bCs/>
          <w:sz w:val="22"/>
          <w:szCs w:val="22"/>
        </w:rPr>
        <w:t xml:space="preserve">Pestaña 3 · Vendedores y pagos </w:t>
      </w:r>
      <w:r>
        <w:rPr>
          <w:rFonts w:ascii="Times New Roman" w:cs="Times New Roman" w:eastAsia="Times New Roman" w:hAnsi="Times New Roman"/>
          <w:sz w:val="22"/>
          <w:szCs w:val="22"/>
        </w:rPr>
        <w:t xml:space="preserve">(gestión de vendedores y finanzas): concentración, recompra, medios de pago y ranking.</w:t>
      </w:r>
    </w:p>
    <w:p>
      <w:r>
        <w:br w:type="page"/>
      </w:r>
    </w:p>
    <w:p>
      <w:pPr>
        <w:spacing w:after="80"/>
        <w:jc w:val="center"/>
      </w:pPr>
      <w:r>
        <w:drawing>
          <wp:inline distT="0" distB="0" distL="0" distR="0">
            <wp:extent cx="6096000" cy="3743325"/>
            <wp:effectExtent t="0" r="0" b="0" l="0"/>
            <wp:docPr id="1" name="/home/claude/olist/img/mockup1.png" descr="/home/claude/olist/img/mockup1.png" title="/home/claude/olist/img/mocku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743325"/>
                    </a:xfrm>
                    <a:prstGeom prst="rect">
                      <a:avLst/>
                    </a:prstGeom>
                  </pic:spPr>
                </pic:pic>
              </a:graphicData>
            </a:graphic>
          </wp:inline>
        </w:drawing>
      </w:r>
    </w:p>
    <w:p>
      <w:pPr>
        <w:spacing w:after="160" w:line="276"/>
        <w:jc w:val="center"/>
      </w:pPr>
      <w:r>
        <w:rPr>
          <w:rFonts w:ascii="Times New Roman" w:cs="Times New Roman" w:eastAsia="Times New Roman" w:hAnsi="Times New Roman"/>
          <w:i/>
          <w:iCs/>
          <w:sz w:val="19"/>
          <w:szCs w:val="19"/>
        </w:rPr>
        <w:t xml:space="preserve">Figura 2. Mockup, pestaña 1: Resumen comercial (3+ KPI, filtros, 2 gráficos y tabla de detalle).</w:t>
      </w:r>
    </w:p>
    <w:p>
      <w:r>
        <w:br w:type="page"/>
      </w:r>
    </w:p>
    <w:p>
      <w:pPr>
        <w:spacing w:after="80"/>
        <w:jc w:val="center"/>
      </w:pPr>
      <w:r>
        <w:drawing>
          <wp:inline distT="0" distB="0" distL="0" distR="0">
            <wp:extent cx="6096000" cy="3743325"/>
            <wp:effectExtent t="0" r="0" b="0" l="0"/>
            <wp:docPr id="1" name="/home/claude/olist/img/mockup2.png" descr="/home/claude/olist/img/mockup2.png" title="/home/claude/olist/img/mocku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43325"/>
                    </a:xfrm>
                    <a:prstGeom prst="rect">
                      <a:avLst/>
                    </a:prstGeom>
                  </pic:spPr>
                </pic:pic>
              </a:graphicData>
            </a:graphic>
          </wp:inline>
        </w:drawing>
      </w:r>
    </w:p>
    <w:p>
      <w:pPr>
        <w:spacing w:after="160" w:line="276"/>
        <w:jc w:val="center"/>
      </w:pPr>
      <w:r>
        <w:rPr>
          <w:rFonts w:ascii="Times New Roman" w:cs="Times New Roman" w:eastAsia="Times New Roman" w:hAnsi="Times New Roman"/>
          <w:i/>
          <w:iCs/>
          <w:sz w:val="19"/>
          <w:szCs w:val="19"/>
        </w:rPr>
        <w:t xml:space="preserve">Figura 3. Mockup, pestaña 2: Logística y satisfacción.</w:t>
      </w:r>
    </w:p>
    <w:p>
      <w:r>
        <w:br w:type="page"/>
      </w:r>
    </w:p>
    <w:p>
      <w:pPr>
        <w:spacing w:after="80"/>
        <w:jc w:val="center"/>
      </w:pPr>
      <w:r>
        <w:drawing>
          <wp:inline distT="0" distB="0" distL="0" distR="0">
            <wp:extent cx="6096000" cy="3743325"/>
            <wp:effectExtent t="0" r="0" b="0" l="0"/>
            <wp:docPr id="1" name="/home/claude/olist/img/mockup3.png" descr="/home/claude/olist/img/mockup3.png" title="/home/claude/olist/img/mocku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743325"/>
                    </a:xfrm>
                    <a:prstGeom prst="rect">
                      <a:avLst/>
                    </a:prstGeom>
                  </pic:spPr>
                </pic:pic>
              </a:graphicData>
            </a:graphic>
          </wp:inline>
        </w:drawing>
      </w:r>
    </w:p>
    <w:p>
      <w:pPr>
        <w:spacing w:after="160" w:line="276"/>
        <w:jc w:val="center"/>
      </w:pPr>
      <w:r>
        <w:rPr>
          <w:rFonts w:ascii="Times New Roman" w:cs="Times New Roman" w:eastAsia="Times New Roman" w:hAnsi="Times New Roman"/>
          <w:i/>
          <w:iCs/>
          <w:sz w:val="19"/>
          <w:szCs w:val="19"/>
        </w:rPr>
        <w:t xml:space="preserve">Figura 4. Mockup, pestaña 3: Vendedores y pagos.</w:t>
      </w:r>
    </w:p>
    <w:p>
      <w:r>
        <w:br w:type="page"/>
      </w:r>
    </w:p>
    <w:p>
      <w:pPr>
        <w:pStyle w:val="Heading1"/>
        <w:spacing w:after="140" w:before="300"/>
      </w:pPr>
      <w:r>
        <w:rPr>
          <w:rFonts w:ascii="Times New Roman" w:cs="Times New Roman" w:eastAsia="Times New Roman" w:hAnsi="Times New Roman"/>
          <w:b/>
          <w:bCs/>
          <w:color w:val="0F6B6B"/>
          <w:sz w:val="28"/>
          <w:szCs w:val="28"/>
        </w:rPr>
        <w:t xml:space="preserve">10. Matriz de trazabilidad: Mockup → KPI → Filtros → SQL</w:t>
      </w:r>
    </w:p>
    <w:p>
      <w:pPr>
        <w:keepNext/>
        <w:spacing w:after="120" w:line="276"/>
      </w:pPr>
      <w:r>
        <w:rPr>
          <w:rFonts w:ascii="Times New Roman" w:cs="Times New Roman" w:eastAsia="Times New Roman" w:hAnsi="Times New Roman"/>
          <w:sz w:val="22"/>
          <w:szCs w:val="22"/>
        </w:rPr>
        <w:t xml:space="preserve">Cada componente de los mockups lleva su código (C1 a C21) impreso junto al objeto SQL que lo alimenta. Los filtros se definen una sola vez:</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700"/>
        <w:gridCol w:w="3200"/>
        <w:gridCol w:w="3570"/>
      </w:tblGrid>
      <w:tr>
        <w:trPr>
          <w:tblHeader/>
        </w:trPr>
        <w:tc>
          <w:tcPr>
            <w:tcW w:type="dxa" w:w="9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Filtro</w:t>
            </w:r>
          </w:p>
        </w:tc>
        <w:tc>
          <w:tcPr>
            <w:tcW w:type="dxa" w:w="32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Control</w:t>
            </w:r>
          </w:p>
        </w:tc>
        <w:tc>
          <w:tcPr>
            <w:tcW w:type="dxa" w:w="37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Columna del Data Mart</w:t>
            </w:r>
          </w:p>
        </w:tc>
        <w:tc>
          <w:tcPr>
            <w:tcW w:type="dxa" w:w="32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Parámetro SQL</w:t>
            </w:r>
          </w:p>
        </w:tc>
        <w:tc>
          <w:tcPr>
            <w:tcW w:type="dxa" w:w="357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Lista de valores</w:t>
            </w:r>
          </w:p>
        </w:tc>
      </w:tr>
      <w:tr>
        <w:trPr>
          <w:cantSplit/>
        </w:trPr>
        <w:tc>
          <w:tcPr>
            <w:tcW w:type="dxa" w:w="9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F1</w:t>
            </w:r>
          </w:p>
        </w:tc>
        <w:tc>
          <w:tcPr>
            <w:tcW w:type="dxa" w:w="32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Rango de fechas</w:t>
            </w:r>
          </w:p>
        </w:tc>
        <w:tc>
          <w:tcPr>
            <w:tcW w:type="dxa" w:w="3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dim_tiempo.fecha (fecha de compra)</w:t>
            </w:r>
          </w:p>
        </w:tc>
        <w:tc>
          <w:tcPr>
            <w:tcW w:type="dxa" w:w="32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p_desde, p_hasta</w:t>
            </w:r>
          </w:p>
        </w:tc>
        <w:tc>
          <w:tcPr>
            <w:tcW w:type="dxa" w:w="35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SELECT min(fecha), max(fecha) FROM dw.dim_tiempo</w:t>
            </w:r>
          </w:p>
        </w:tc>
      </w:tr>
      <w:tr>
        <w:trPr>
          <w:cantSplit/>
        </w:trPr>
        <w:tc>
          <w:tcPr>
            <w:tcW w:type="dxa" w:w="9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F2</w:t>
            </w:r>
          </w:p>
        </w:tc>
        <w:tc>
          <w:tcPr>
            <w:tcW w:type="dxa" w:w="32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Categoría de producto</w:t>
            </w:r>
          </w:p>
        </w:tc>
        <w:tc>
          <w:tcPr>
            <w:tcW w:type="dxa" w:w="3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dim_producto.categoria_en</w:t>
            </w:r>
          </w:p>
        </w:tc>
        <w:tc>
          <w:tcPr>
            <w:tcW w:type="dxa" w:w="32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p_categoria</w:t>
            </w:r>
          </w:p>
        </w:tc>
        <w:tc>
          <w:tcPr>
            <w:tcW w:type="dxa" w:w="35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SELECT DISTINCT categoria_en FROM dw.dim_producto ORDER BY 1</w:t>
            </w:r>
          </w:p>
        </w:tc>
      </w:tr>
      <w:tr>
        <w:trPr>
          <w:cantSplit/>
        </w:trPr>
        <w:tc>
          <w:tcPr>
            <w:tcW w:type="dxa" w:w="9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F3</w:t>
            </w:r>
          </w:p>
        </w:tc>
        <w:tc>
          <w:tcPr>
            <w:tcW w:type="dxa" w:w="32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Estado del cliente (UF)</w:t>
            </w:r>
          </w:p>
        </w:tc>
        <w:tc>
          <w:tcPr>
            <w:tcW w:type="dxa" w:w="3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dim_cliente.estado_uf</w:t>
            </w:r>
          </w:p>
        </w:tc>
        <w:tc>
          <w:tcPr>
            <w:tcW w:type="dxa" w:w="32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p_uf</w:t>
            </w:r>
          </w:p>
        </w:tc>
        <w:tc>
          <w:tcPr>
            <w:tcW w:type="dxa" w:w="35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SELECT DISTINCT estado_uf FROM dw.dim_cliente ORDER BY 1</w:t>
            </w:r>
          </w:p>
        </w:tc>
      </w:tr>
    </w:tbl>
    <w:p>
      <w:pPr>
        <w:spacing w:after="60" w:line="276"/>
      </w:pPr>
      <w:r>
        <w:rPr>
          <w:rFonts w:ascii="Times New Roman" w:cs="Times New Roman" w:eastAsia="Times New Roman" w:hAnsi="Times New Roman"/>
          <w:sz w:val="22"/>
          <w:szCs w:val="22"/>
        </w:rP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500"/>
        <w:gridCol w:w="1500"/>
        <w:gridCol w:w="3470"/>
        <w:gridCol w:w="3600"/>
      </w:tblGrid>
      <w:tr>
        <w:trPr>
          <w:tblHeader/>
        </w:trPr>
        <w:tc>
          <w:tcPr>
            <w:tcW w:type="dxa" w:w="8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6"/>
                <w:szCs w:val="16"/>
              </w:rPr>
              <w:t xml:space="preserve">Cód.</w:t>
            </w:r>
          </w:p>
        </w:tc>
        <w:tc>
          <w:tcPr>
            <w:tcW w:type="dxa" w:w="27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6"/>
                <w:szCs w:val="16"/>
              </w:rPr>
              <w:t xml:space="preserve">Componente</w:t>
            </w:r>
          </w:p>
        </w:tc>
        <w:tc>
          <w:tcPr>
            <w:tcW w:type="dxa" w:w="25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6"/>
                <w:szCs w:val="16"/>
              </w:rPr>
              <w:t xml:space="preserve">Pregunta / KPI</w:t>
            </w:r>
          </w:p>
        </w:tc>
        <w:tc>
          <w:tcPr>
            <w:tcW w:type="dxa" w:w="15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6"/>
                <w:szCs w:val="16"/>
              </w:rPr>
              <w:t xml:space="preserve">Filtros</w:t>
            </w:r>
          </w:p>
        </w:tc>
        <w:tc>
          <w:tcPr>
            <w:tcW w:type="dxa" w:w="347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6"/>
                <w:szCs w:val="16"/>
              </w:rPr>
              <w:t xml:space="preserve">Origen de datos</w:t>
            </w:r>
          </w:p>
        </w:tc>
        <w:tc>
          <w:tcPr>
            <w:tcW w:type="dxa" w:w="36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6"/>
                <w:szCs w:val="16"/>
              </w:rPr>
              <w:t xml:space="preserve">Objeto SQL</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Ventas totales (GMV)</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P1 · GMV</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 dim_tiempo, dim_producto, dim_cliente, dim_estado_pedido</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dw.fn_total_ventas()</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C2</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Ticket promedio</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P1, P4 · Ventas / pedidos</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(precio, es_primer_item) + mismas dimensiones</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dw.fn_ticket_promedio()</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C3</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 entregas tardías</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P2, P3 · Entrega real &gt; estimada</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(entrega_tardia) + dim_estado_pedido</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dw.fn_pct_entregas_tardias()</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C4</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Calificación promedio</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P3 · AVG(review_score)</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(review_score, es_primer_item)</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dw.fn_calificacion_promedio()</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C5</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Tiempo medio de entrega</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P2 · Días compra → entrega</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(dias_entrega) + dim_estado_pedido</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dw.fn_tiempo_entrega()</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C6</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Gráfico de línea · Ventas mensuales</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P1 · Evolución de ventas</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 dim_tiempo (anio_mes)</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dw.fn_ventas_mensuales()</w:t>
            </w:r>
          </w:p>
          <w:p>
            <w:pPr>
              <w:spacing w:after="0"/>
            </w:pPr>
            <w:r>
              <w:rPr>
                <w:rFonts w:ascii="Consolas" w:cs="Consolas" w:eastAsia="Consolas" w:hAnsi="Consolas"/>
                <w:b w:val="false"/>
                <w:bCs w:val="false"/>
                <w:sz w:val="16"/>
                <w:szCs w:val="16"/>
              </w:rPr>
              <w:t xml:space="preserve">vista sin filtros: dw.vw_kpi_mensual</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C7</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Gráfico de barras · Top 8 categorías</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P1 · Ventas por categoría</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F3</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 dim_producto (categoria_en)</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dw.fn_top_categorias()</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C8</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Tabla · Detalle de pedidos</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P1, P2, P3 · Trazabilidad por pedido</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vw_ventas_detalle (hecho + 6 dimensiones)</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dw.fn_detalle_pedidos()</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C9</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Gráfico de barras · % tardías por estado</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P2 · Retrasos por estado</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 dim_cliente (estado_uf)</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dw.fn_logistica_por_estado()</w:t>
            </w:r>
          </w:p>
          <w:p>
            <w:pPr>
              <w:spacing w:after="0"/>
            </w:pPr>
            <w:r>
              <w:rPr>
                <w:rFonts w:ascii="Consolas" w:cs="Consolas" w:eastAsia="Consolas" w:hAnsi="Consolas"/>
                <w:b w:val="false"/>
                <w:bCs w:val="false"/>
                <w:sz w:val="16"/>
                <w:szCs w:val="16"/>
              </w:rPr>
              <w:t xml:space="preserve">vista sin filtros: dw.vw_logistica_estado</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C10</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Gráfico de barras · Calificación vs. puntualidad</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P3 · Satisfacción y retraso</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(entrega_tardia, review_score)</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dw.fn_satisfaccion_entrega()</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C11</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Gráfico de barras · Reseñas negativas vs. puntualidad</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P3 · % reseñas 1-2</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(entrega_tardia, review_score)</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dw.fn_satisfaccion_entrega()</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C12</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Calificación si hay retraso</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P3</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dw.fn_satisfaccion_entrega()</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C13</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Calificación si llega a tiempo</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P3</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dw.fn_satisfaccion_entrega()</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C14</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 reseñas negativas</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P3 · Score 1-2 / total</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(review_score)</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dw.fn_pct_resenas_negativas()</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C15</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Participación del flete</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P1, P2 · Flete / ventas</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(valor_flete, precio)</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dw.fn_participacion_flete()</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C16</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 ventas del top 10 de vendedores</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P5 · Concentración</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 dim_vendedor</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dw.fn_pct_top10_vendedores()</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C17</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Tasa de recompra</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P5 · Clientes con más de 1 pedido</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 dim_cliente (customer_unique_id)</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dw.fn_tasa_recompra()</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C18</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Tarjeta · Pedidos totales</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P1 · Pedidos no cancelados</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F2, F3</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(es_primer_item)</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dw.fn_total_pedidos()</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C19</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Gráfico de barras · Valor pagado por medio de pago</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P4 · Medios de pago</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fact_pagos + dim_pago + dim_tiempo</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dw.fn_pagos_resumen()</w:t>
            </w:r>
          </w:p>
          <w:p>
            <w:pPr>
              <w:spacing w:after="0"/>
            </w:pPr>
            <w:r>
              <w:rPr>
                <w:rFonts w:ascii="Consolas" w:cs="Consolas" w:eastAsia="Consolas" w:hAnsi="Consolas"/>
                <w:b w:val="false"/>
                <w:bCs w:val="false"/>
                <w:sz w:val="16"/>
                <w:szCs w:val="16"/>
              </w:rPr>
              <w:t xml:space="preserve">vista sin filtros: dw.vw_pagos_resumen</w:t>
            </w:r>
          </w:p>
        </w:tc>
      </w:tr>
      <w:tr>
        <w:trPr>
          <w:cantSplit/>
        </w:trPr>
        <w:tc>
          <w:tcPr>
            <w:tcW w:type="dxa" w:w="8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C20</w:t>
            </w:r>
          </w:p>
        </w:tc>
        <w:tc>
          <w:tcPr>
            <w:tcW w:type="dxa" w:w="27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Gráfico de barras · Pago promedio por medio de pago</w:t>
            </w:r>
          </w:p>
        </w:tc>
        <w:tc>
          <w:tcPr>
            <w:tcW w:type="dxa" w:w="2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P4 · Ticket por tipo de pago (cuotas en tooltip)</w:t>
            </w:r>
          </w:p>
        </w:tc>
        <w:tc>
          <w:tcPr>
            <w:tcW w:type="dxa" w:w="15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w:t>
            </w:r>
          </w:p>
        </w:tc>
        <w:tc>
          <w:tcPr>
            <w:tcW w:type="dxa" w:w="347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fact_pagos + dim_pago (cuotas)</w:t>
            </w:r>
          </w:p>
        </w:tc>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dw.fn_pagos_resumen()</w:t>
            </w:r>
          </w:p>
        </w:tc>
      </w:tr>
      <w:tr>
        <w:trPr>
          <w:cantSplit/>
        </w:trPr>
        <w:tc>
          <w:tcPr>
            <w:tcW w:type="dxa" w:w="8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C21</w:t>
            </w:r>
          </w:p>
        </w:tc>
        <w:tc>
          <w:tcPr>
            <w:tcW w:type="dxa" w:w="27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Tabla · Ranking de vendedores</w:t>
            </w:r>
          </w:p>
        </w:tc>
        <w:tc>
          <w:tcPr>
            <w:tcW w:type="dxa" w:w="2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P5 · Ventas, retrasos y calificación por vendedor</w:t>
            </w:r>
          </w:p>
        </w:tc>
        <w:tc>
          <w:tcPr>
            <w:tcW w:type="dxa" w:w="15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F1, Top N</w:t>
            </w:r>
          </w:p>
        </w:tc>
        <w:tc>
          <w:tcPr>
            <w:tcW w:type="dxa" w:w="347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6"/>
                <w:szCs w:val="16"/>
              </w:rPr>
              <w:t xml:space="preserve">fact_ventas_item + dim_vendedor</w:t>
            </w:r>
          </w:p>
        </w:tc>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dw.fn_ranking_vendedores()</w:t>
            </w:r>
          </w:p>
        </w:tc>
      </w:tr>
    </w:tbl>
    <w:p>
      <w:pPr>
        <w:sectPr>
          <w:headerReference w:type="default" r:id="rId9"/>
          <w:footerReference w:type="default" r:id="rId10"/>
          <w:pgSz w:w="16838" w:h="11906" w:orient="landscape"/>
          <w:pgMar w:top="900" w:right="1134" w:bottom="900" w:left="1134" w:header="708" w:footer="708" w:gutter="0"/>
          <w:pgNumType/>
          <w:docGrid w:linePitch="360"/>
        </w:sectPr>
      </w:pPr>
    </w:p>
    <w:p>
      <w:pPr>
        <w:pStyle w:val="Heading1"/>
        <w:spacing w:after="140" w:before="300"/>
      </w:pPr>
      <w:r>
        <w:rPr>
          <w:rFonts w:ascii="Times New Roman" w:cs="Times New Roman" w:eastAsia="Times New Roman" w:hAnsi="Times New Roman"/>
          <w:b/>
          <w:bCs/>
          <w:color w:val="0F6B6B"/>
          <w:sz w:val="28"/>
          <w:szCs w:val="28"/>
        </w:rPr>
        <w:t xml:space="preserve">11. Cambios respecto al Entregable 1</w:t>
      </w:r>
    </w:p>
    <w:p>
      <w:pPr>
        <w:pStyle w:val="ListParagraph"/>
        <w:numPr>
          <w:ilvl w:val="0"/>
          <w:numId w:val="2"/>
        </w:numPr>
        <w:spacing w:after="60" w:line="264"/>
      </w:pPr>
      <w:r>
        <w:rPr>
          <w:rFonts w:ascii="Times New Roman" w:cs="Times New Roman" w:eastAsia="Times New Roman" w:hAnsi="Times New Roman"/>
          <w:sz w:val="22"/>
          <w:szCs w:val="22"/>
        </w:rPr>
        <w:t xml:space="preserve">DIM_CLIENTE se define por customer_id (no por customer_unique_id) para que cada pedido apunte a la fila correcta; la recompra sigue usando customer_unique_id.</w:t>
      </w:r>
    </w:p>
    <w:p>
      <w:pPr>
        <w:pStyle w:val="ListParagraph"/>
        <w:numPr>
          <w:ilvl w:val="0"/>
          <w:numId w:val="2"/>
        </w:numPr>
        <w:spacing w:after="60" w:line="264"/>
      </w:pPr>
      <w:r>
        <w:rPr>
          <w:rFonts w:ascii="Times New Roman" w:cs="Times New Roman" w:eastAsia="Times New Roman" w:hAnsi="Times New Roman"/>
          <w:sz w:val="22"/>
          <w:szCs w:val="22"/>
        </w:rPr>
        <w:t xml:space="preserve">Se agregan FACT_PAGOS, la columna es_primer_item y la bitácora dw.log_calidad.</w:t>
      </w:r>
    </w:p>
    <w:p>
      <w:pPr>
        <w:pStyle w:val="ListParagraph"/>
        <w:numPr>
          <w:ilvl w:val="0"/>
          <w:numId w:val="2"/>
        </w:numPr>
        <w:spacing w:after="60" w:line="264"/>
      </w:pPr>
      <w:r>
        <w:rPr>
          <w:rFonts w:ascii="Times New Roman" w:cs="Times New Roman" w:eastAsia="Times New Roman" w:hAnsi="Times New Roman"/>
          <w:sz w:val="22"/>
          <w:szCs w:val="22"/>
        </w:rPr>
        <w:t xml:space="preserve">El tiempo de entrega pasa de 12,1 a 12,56 días: el valor anterior provenía de truncar cada entrega a días enteros.</w:t>
      </w:r>
    </w:p>
    <w:p>
      <w:pPr>
        <w:pStyle w:val="ListParagraph"/>
        <w:numPr>
          <w:ilvl w:val="0"/>
          <w:numId w:val="2"/>
        </w:numPr>
        <w:spacing w:after="60" w:line="264"/>
      </w:pPr>
      <w:r>
        <w:rPr>
          <w:rFonts w:ascii="Times New Roman" w:cs="Times New Roman" w:eastAsia="Times New Roman" w:hAnsi="Times New Roman"/>
          <w:sz w:val="22"/>
          <w:szCs w:val="22"/>
        </w:rPr>
        <w:t xml:space="preserve">Las cifras de calificación, reseñas negativas y recompra cambian levemente porque ahora se calculan por pedido con ítems y sin cancelados. La diferencia está explicada en la sección 7.4.</w:t>
      </w:r>
    </w:p>
    <w:p>
      <w:pPr>
        <w:pStyle w:val="ListParagraph"/>
        <w:numPr>
          <w:ilvl w:val="0"/>
          <w:numId w:val="2"/>
        </w:numPr>
        <w:spacing w:after="60" w:line="264"/>
      </w:pPr>
      <w:r>
        <w:rPr>
          <w:rFonts w:ascii="Times New Roman" w:cs="Times New Roman" w:eastAsia="Times New Roman" w:hAnsi="Times New Roman"/>
          <w:sz w:val="22"/>
          <w:szCs w:val="22"/>
        </w:rPr>
        <w:t xml:space="preserve">La definición de entrega tardía (entrega real &gt; fecha estimada, comparando fecha y hora) reproduce exactamente las 7.827 tardías del Entregable 1.</w:t>
      </w:r>
    </w:p>
    <w:p>
      <w:pPr>
        <w:pStyle w:val="Heading1"/>
        <w:spacing w:after="140" w:before="300"/>
      </w:pPr>
      <w:r>
        <w:rPr>
          <w:rFonts w:ascii="Times New Roman" w:cs="Times New Roman" w:eastAsia="Times New Roman" w:hAnsi="Times New Roman"/>
          <w:b/>
          <w:bCs/>
          <w:color w:val="0F6B6B"/>
          <w:sz w:val="28"/>
          <w:szCs w:val="28"/>
        </w:rPr>
        <w:t xml:space="preserve">12. Respuesta a la pregunta guía</w:t>
      </w:r>
    </w:p>
    <w:p>
      <w:pPr>
        <w:spacing w:after="120" w:line="276"/>
      </w:pPr>
      <w:r>
        <w:rPr>
          <w:rFonts w:ascii="Times New Roman" w:cs="Times New Roman" w:eastAsia="Times New Roman" w:hAnsi="Times New Roman"/>
          <w:b/>
          <w:bCs/>
          <w:sz w:val="22"/>
          <w:szCs w:val="22"/>
        </w:rPr>
        <w:t xml:space="preserve">¿Cómo voy a almacenar, consultar y presentar la información?</w:t>
      </w:r>
    </w:p>
    <w:p>
      <w:pPr>
        <w:spacing w:after="120" w:line="276"/>
      </w:pPr>
      <w:r>
        <w:rPr>
          <w:rFonts w:ascii="Times New Roman" w:cs="Times New Roman" w:eastAsia="Times New Roman" w:hAnsi="Times New Roman"/>
          <w:b/>
          <w:bCs/>
          <w:sz w:val="22"/>
          <w:szCs w:val="22"/>
        </w:rPr>
        <w:t xml:space="preserve">Almacenar: </w:t>
      </w:r>
      <w:r>
        <w:rPr>
          <w:rFonts w:ascii="Times New Roman" w:cs="Times New Roman" w:eastAsia="Times New Roman" w:hAnsi="Times New Roman"/>
          <w:sz w:val="22"/>
          <w:szCs w:val="22"/>
        </w:rPr>
        <w:t xml:space="preserve">los 9 CSV de Olist se cargan en PostgreSQL en un esquema de preparación (stg) y un ETL en SQL los limpia y los transforma en un Data Mart en estrella (esquema dw) con dos tablas de hechos y seis dimensiones, 112.650 ítems vendidos y 103.886 pagos, con claves primarias y foráneas. </w:t>
      </w:r>
    </w:p>
    <w:p>
      <w:pPr>
        <w:spacing w:after="120" w:line="276"/>
      </w:pPr>
      <w:r>
        <w:rPr>
          <w:rFonts w:ascii="Times New Roman" w:cs="Times New Roman" w:eastAsia="Times New Roman" w:hAnsi="Times New Roman"/>
          <w:b/>
          <w:bCs/>
          <w:sz w:val="22"/>
          <w:szCs w:val="22"/>
        </w:rPr>
        <w:t xml:space="preserve">Consultar: </w:t>
      </w:r>
      <w:r>
        <w:rPr>
          <w:rFonts w:ascii="Times New Roman" w:cs="Times New Roman" w:eastAsia="Times New Roman" w:hAnsi="Times New Roman"/>
          <w:sz w:val="22"/>
          <w:szCs w:val="22"/>
        </w:rPr>
        <w:t xml:space="preserve">la aplicación no leerá las tablas, sino 5 vistas y 17 funciones SQL que reciben los filtros de fecha, categoría y estado y devuelven los KPI, series y detalles ya calculados; las consultas de validación demuestran que los totales coinciden con el origen. </w:t>
      </w:r>
    </w:p>
    <w:p>
      <w:pPr>
        <w:spacing w:after="120" w:line="276"/>
      </w:pPr>
      <w:r>
        <w:rPr>
          <w:rFonts w:ascii="Times New Roman" w:cs="Times New Roman" w:eastAsia="Times New Roman" w:hAnsi="Times New Roman"/>
          <w:b/>
          <w:bCs/>
          <w:sz w:val="22"/>
          <w:szCs w:val="22"/>
        </w:rPr>
        <w:t xml:space="preserve">Presentar: </w:t>
      </w:r>
      <w:r>
        <w:rPr>
          <w:rFonts w:ascii="Times New Roman" w:cs="Times New Roman" w:eastAsia="Times New Roman" w:hAnsi="Times New Roman"/>
          <w:sz w:val="22"/>
          <w:szCs w:val="22"/>
        </w:rPr>
        <w:t xml:space="preserve">un dashboard de tres pestañas (comercial, logística y satisfacción, vendedores y pagos) con KPI, filtros comunes, gráficos y tablas de detalle, donde cada componente está enlazado con su objeto SQL en la matriz de trazabilidad.</w:t>
      </w:r>
    </w:p>
    <w:p>
      <w:pPr>
        <w:pStyle w:val="Heading1"/>
        <w:spacing w:after="140" w:before="300"/>
      </w:pPr>
      <w:r>
        <w:rPr>
          <w:rFonts w:ascii="Times New Roman" w:cs="Times New Roman" w:eastAsia="Times New Roman" w:hAnsi="Times New Roman"/>
          <w:b/>
          <w:bCs/>
          <w:color w:val="0F6B6B"/>
          <w:sz w:val="28"/>
          <w:szCs w:val="28"/>
        </w:rPr>
        <w:t xml:space="preserve">Uso de inteligencia artificial</w:t>
      </w:r>
    </w:p>
    <w:p>
      <w:pPr>
        <w:spacing w:after="120" w:line="276"/>
      </w:pPr>
      <w:r>
        <w:rPr>
          <w:rFonts w:ascii="Times New Roman" w:cs="Times New Roman" w:eastAsia="Times New Roman" w:hAnsi="Times New Roman"/>
          <w:sz w:val="22"/>
          <w:szCs w:val="22"/>
        </w:rPr>
        <w:t xml:space="preserve">Se usó IA generativa como apoyo para proponer la estructura del modelo y los borradores de los scripts SQL. Todo el código se ejecutó en PostgreSQL sobre los datos reales y sus resultados se contrastaron con el origen (secciones 6 y 7). Las decisiones de modelado de las secciones 3 y 11 fueron revisadas por el estudiante.</w:t>
      </w:r>
    </w:p>
    <w:p>
      <w:pPr>
        <w:pStyle w:val="Heading1"/>
        <w:spacing w:after="140" w:before="300"/>
      </w:pPr>
      <w:r>
        <w:rPr>
          <w:rFonts w:ascii="Times New Roman" w:cs="Times New Roman" w:eastAsia="Times New Roman" w:hAnsi="Times New Roman"/>
          <w:b/>
          <w:bCs/>
          <w:color w:val="0F6B6B"/>
          <w:sz w:val="28"/>
          <w:szCs w:val="28"/>
        </w:rPr>
        <w:t xml:space="preserve">Archivos entregados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Archivo</w:t>
            </w:r>
          </w:p>
        </w:tc>
        <w:tc>
          <w:tcPr>
            <w:tcW w:type="dxa" w:w="6038"/>
            <w:tcBorders>
              <w:top w:val="single" w:color="B8C4C4" w:sz="4"/>
              <w:left w:val="single" w:color="B8C4C4" w:sz="4"/>
              <w:bottom w:val="single" w:color="B8C4C4" w:sz="4"/>
              <w:right w:val="single" w:color="B8C4C4" w:sz="4"/>
            </w:tcBorders>
            <w:shd w:fill="0F6B6B"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8"/>
                <w:szCs w:val="18"/>
              </w:rPr>
              <w:t xml:space="preserve">Contenido</w:t>
            </w:r>
          </w:p>
        </w:tc>
      </w:tr>
      <w:tr>
        <w:trPr>
          <w:cantSplit/>
        </w:trPr>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docker-compose.yml</w:t>
            </w:r>
          </w:p>
        </w:tc>
        <w:tc>
          <w:tcPr>
            <w:tcW w:type="dxa" w:w="6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Servicio PostgreSQL 16 con bi_database, bi_user y volumen persistente.</w:t>
            </w:r>
          </w:p>
        </w:tc>
      </w:tr>
      <w:tr>
        <w:trPr>
          <w:cantSplit/>
        </w:trPr>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00_crear_base.sql</w:t>
            </w:r>
          </w:p>
        </w:tc>
        <w:tc>
          <w:tcPr>
            <w:tcW w:type="dxa" w:w="6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Opcional: solo si se instala PostgreSQL sin Docker.</w:t>
            </w:r>
          </w:p>
        </w:tc>
      </w:tr>
      <w:tr>
        <w:trPr>
          <w:cantSplit/>
        </w:trPr>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01_staging.sql</w:t>
            </w:r>
          </w:p>
        </w:tc>
        <w:tc>
          <w:tcPr>
            <w:tcW w:type="dxa" w:w="6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Esquema stg y carga de los CSV con \copy.</w:t>
            </w:r>
          </w:p>
        </w:tc>
      </w:tr>
      <w:tr>
        <w:trPr>
          <w:cantSplit/>
        </w:trPr>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02_modelo_dimensional.sql</w:t>
            </w:r>
          </w:p>
        </w:tc>
        <w:tc>
          <w:tcPr>
            <w:tcW w:type="dxa" w:w="6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Tablas, claves primarias, foráneas, índices y restricciones del esquema dw.</w:t>
            </w:r>
          </w:p>
        </w:tc>
      </w:tr>
      <w:tr>
        <w:trPr>
          <w:cantSplit/>
        </w:trPr>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03_etl.sql</w:t>
            </w:r>
          </w:p>
        </w:tc>
        <w:tc>
          <w:tcPr>
            <w:tcW w:type="dxa" w:w="6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Limpieza, transformación y carga de dimensiones y hechos; bitácora de calidad.</w:t>
            </w:r>
          </w:p>
        </w:tc>
      </w:tr>
      <w:tr>
        <w:trPr>
          <w:cantSplit/>
        </w:trPr>
        <w:tc>
          <w:tcPr>
            <w:tcW w:type="dxa" w:w="3600"/>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04_validaciones.sql</w:t>
            </w:r>
          </w:p>
        </w:tc>
        <w:tc>
          <w:tcPr>
            <w:tcW w:type="dxa" w:w="6038"/>
            <w:tcBorders>
              <w:top w:val="single" w:color="B8C4C4" w:sz="4"/>
              <w:left w:val="single" w:color="B8C4C4" w:sz="4"/>
              <w:bottom w:val="single" w:color="B8C4C4" w:sz="4"/>
              <w:right w:val="single" w:color="B8C4C4" w:sz="4"/>
            </w:tcBorders>
            <w:shd w:fill="F4F7F7" w:val="clear"/>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Consultas de validación (registros, integridad, nulos, totales).</w:t>
            </w:r>
          </w:p>
        </w:tc>
      </w:tr>
      <w:tr>
        <w:trPr>
          <w:cantSplit/>
        </w:trPr>
        <w:tc>
          <w:tcPr>
            <w:tcW w:type="dxa" w:w="3600"/>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05_vistas_funciones.sql</w:t>
            </w:r>
          </w:p>
        </w:tc>
        <w:tc>
          <w:tcPr>
            <w:tcW w:type="dxa" w:w="6038"/>
            <w:tcBorders>
              <w:top w:val="single" w:color="B8C4C4" w:sz="4"/>
              <w:left w:val="single" w:color="B8C4C4" w:sz="4"/>
              <w:bottom w:val="single" w:color="B8C4C4" w:sz="4"/>
              <w:right w:val="single" w:color="B8C4C4"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5 vistas y 17 funciones para alimentar el dashboard.</w:t>
            </w:r>
          </w:p>
        </w:tc>
      </w:tr>
    </w:tbl>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B6770"/>
        <w:sz w:val="17"/>
        <w:szCs w:val="17"/>
      </w:rPr>
      <w:t xml:space="preserve">Página </w:t>
    </w:r>
    <w:r>
      <w:rPr>
        <w:rFonts w:ascii="Times New Roman" w:cs="Times New Roman" w:eastAsia="Times New Roman" w:hAnsi="Times New Roman"/>
        <w:color w:val="5B677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B6770"/>
        <w:sz w:val="17"/>
        <w:szCs w:val="17"/>
      </w:rPr>
      <w:t xml:space="preserve">Página </w:t>
    </w:r>
    <w:r>
      <w:rPr>
        <w:rFonts w:ascii="Times New Roman" w:cs="Times New Roman" w:eastAsia="Times New Roman" w:hAnsi="Times New Roman"/>
        <w:color w:val="5B6770"/>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B6770"/>
        <w:sz w:val="17"/>
        <w:szCs w:val="17"/>
      </w:rPr>
      <w:t xml:space="preserve">Página </w:t>
    </w:r>
    <w:r>
      <w:rPr>
        <w:rFonts w:ascii="Times New Roman" w:cs="Times New Roman" w:eastAsia="Times New Roman" w:hAnsi="Times New Roman"/>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B6770"/>
        <w:sz w:val="17"/>
        <w:szCs w:val="17"/>
      </w:rPr>
      <w:t xml:space="preserve">Inteligencia de Negocios · Entregable 2 · Data Mart Olist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B6770"/>
        <w:sz w:val="17"/>
        <w:szCs w:val="17"/>
      </w:rPr>
      <w:t xml:space="preserve">Inteligencia de Negocios · Entregable 2 · Data Mart Olist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B6770"/>
        <w:sz w:val="17"/>
        <w:szCs w:val="17"/>
      </w:rPr>
      <w:t xml:space="preserve">Inteligencia de Negocios · Entregable 2 · Data Mart Olist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F6B6B"/>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6efe79557d8fc4381e6556847da7280d5c57fd68.png"/><Relationship Id="rId14" Type="http://schemas.openxmlformats.org/officeDocument/2006/relationships/image" Target="media/bc368a013d4c5a878a0c072dd52f0dd33f3d075e.png"/><Relationship Id="rId15" Type="http://schemas.openxmlformats.org/officeDocument/2006/relationships/image" Target="media/a7f1a6e06200440b108bf80f508936c1c0c8282a.png"/><Relationship Id="rId16" Type="http://schemas.openxmlformats.org/officeDocument/2006/relationships/image" Target="media/d087b2b142fcdf94f4bb1ee2dbfcc07c1a86247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2026-10-06T01:42:25.977Z</dcterms:created>
  <dcterms:modified xsi:type="dcterms:W3CDTF">2026-10-06T01:42:25.982Z</dcterms:modified>
</cp:coreProperties>
</file>

<file path=docProps/custom.xml><?xml version="1.0" encoding="utf-8"?>
<Properties xmlns="http://schemas.openxmlformats.org/officeDocument/2006/custom-properties" xmlns:vt="http://schemas.openxmlformats.org/officeDocument/2006/docPropsVTypes"/>
</file>