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spacing w:before="240" w:after="120"/>
        <w:rPr/>
      </w:pPr>
      <w:r>
        <w:rPr/>
        <w:t>Metodología para la creación y análisis de índices comparativos del Índice de Precipitación Estandarizado: Cuenca del Río Usumacinta, un caso de estudio</w:t>
      </w:r>
    </w:p>
    <w:p>
      <w:pPr>
        <w:pStyle w:val="Cuerpodetexto"/>
        <w:rPr/>
      </w:pPr>
      <w:r>
        <w:rPr/>
      </w:r>
    </w:p>
    <w:p>
      <w:pPr>
        <w:pStyle w:val="Subttulo"/>
        <w:rPr/>
      </w:pPr>
      <w:r>
        <w:rPr/>
        <w:t>Julio Sergio Santana</w:t>
        <w:br/>
        <w:t>Martín Montero Martínez</w:t>
        <w:br/>
        <w:t>Efraín Mateos Farfán</w:t>
      </w:r>
    </w:p>
    <w:p>
      <w:pPr>
        <w:pStyle w:val="Cuerpodetexto"/>
        <w:rPr/>
      </w:pPr>
      <w:r>
        <w:rPr/>
      </w:r>
    </w:p>
    <w:p>
      <w:pPr>
        <w:pStyle w:val="Encabezado1"/>
        <w:numPr>
          <w:ilvl w:val="0"/>
          <w:numId w:val="1"/>
        </w:numPr>
        <w:ind w:left="0" w:right="0" w:hanging="0"/>
        <w:jc w:val="center"/>
        <w:rPr/>
      </w:pPr>
      <w:r>
        <w:rPr/>
        <w:t>Introducción</w:t>
      </w:r>
    </w:p>
    <w:p>
      <w:pPr>
        <w:pStyle w:val="Cuerpodetexto"/>
        <w:jc w:val="both"/>
        <w:rPr/>
      </w:pPr>
      <w:r>
        <w:rPr/>
        <w:t xml:space="preserve">El índice de precipitación estandarizado (SPI, por sus siglas en inglés, </w:t>
      </w:r>
      <w:r>
        <w:rPr>
          <w:i/>
          <w:iCs/>
        </w:rPr>
        <w:t>Standarized Precipitation Index</w:t>
      </w:r>
      <w:r>
        <w:rPr>
          <w:i w:val="false"/>
          <w:iCs w:val="false"/>
        </w:rPr>
        <w:t xml:space="preserve">), ha sido uno de los instrumentos numéricos predilectos para observar de manera sintética lo que ocurre con la precipitación a lo largo de períodos </w:t>
      </w:r>
      <w:r>
        <w:rPr>
          <w:i w:val="false"/>
          <w:iCs w:val="false"/>
        </w:rPr>
        <w:t>prolongados</w:t>
      </w:r>
      <w:r>
        <w:rPr>
          <w:i w:val="false"/>
          <w:iCs w:val="false"/>
        </w:rPr>
        <w:t xml:space="preserve"> de tiempo, de tal modo que incluso la Organización Mundial de Meteorología </w:t>
      </w:r>
      <w:r>
        <w:rPr>
          <w:i w:val="false"/>
          <w:iCs w:val="false"/>
        </w:rPr>
        <w:t>(</w:t>
      </w:r>
      <w:r>
        <w:rPr>
          <w:i w:val="false"/>
          <w:iCs w:val="false"/>
        </w:rPr>
        <w:t xml:space="preserve">WMO, por sus siglas en inglés, </w:t>
      </w:r>
      <w:r>
        <w:rPr>
          <w:i/>
          <w:iCs/>
        </w:rPr>
        <w:t>World Meteorological Organization</w:t>
      </w:r>
      <w:r>
        <w:rPr>
          <w:i w:val="false"/>
          <w:iCs w:val="false"/>
        </w:rPr>
        <w:t xml:space="preserve">), </w:t>
      </w:r>
      <w:r>
        <w:rPr>
          <w:i w:val="false"/>
          <w:iCs w:val="false"/>
        </w:rPr>
        <w:t xml:space="preserve">lo ha adoptado como </w:t>
      </w:r>
      <w:r>
        <w:rPr>
          <w:i w:val="false"/>
          <w:iCs w:val="false"/>
        </w:rPr>
        <w:t xml:space="preserve">uno de los </w:t>
      </w:r>
      <w:r>
        <w:rPr>
          <w:i w:val="false"/>
          <w:iCs w:val="false"/>
        </w:rPr>
        <w:t xml:space="preserve">indicadores importantes para analizar lo que acontece </w:t>
      </w:r>
      <w:r>
        <w:rPr>
          <w:i w:val="false"/>
          <w:iCs w:val="false"/>
        </w:rPr>
        <w:t>con</w:t>
      </w:r>
      <w:r>
        <w:rPr>
          <w:i w:val="false"/>
          <w:iCs w:val="false"/>
        </w:rPr>
        <w:t xml:space="preserve"> el asunto de la precipitación en una ubicación geográfica determinada, generando una guía de usuario para el SPI (WMO, 2012).</w:t>
      </w:r>
    </w:p>
    <w:p>
      <w:pPr>
        <w:pStyle w:val="Cuerpodetexto"/>
        <w:jc w:val="both"/>
        <w:rPr/>
      </w:pPr>
      <w:r>
        <w:rPr>
          <w:i w:val="false"/>
          <w:iCs w:val="false"/>
        </w:rPr>
        <w:t>H</w:t>
      </w:r>
      <w:r>
        <w:rPr>
          <w:i w:val="false"/>
          <w:iCs w:val="false"/>
        </w:rPr>
        <w:t>ABLAR DE LA CUENCA</w:t>
      </w:r>
    </w:p>
    <w:p>
      <w:pPr>
        <w:pStyle w:val="Cuerpodetexto"/>
        <w:jc w:val="both"/>
        <w:rPr>
          <w:i w:val="false"/>
          <w:i w:val="false"/>
          <w:iCs w:val="false"/>
        </w:rPr>
      </w:pPr>
      <w:r>
        <w:rPr>
          <w:i w:val="false"/>
          <w:iCs w:val="false"/>
        </w:rPr>
        <w:t>HABLAR DEL ÍNDICE COMPARATIVO</w:t>
      </w:r>
    </w:p>
    <w:p>
      <w:pPr>
        <w:pStyle w:val="Cuerpodetexto"/>
        <w:jc w:val="both"/>
        <w:rPr>
          <w:i w:val="false"/>
          <w:i w:val="false"/>
          <w:iCs w:val="false"/>
        </w:rPr>
      </w:pPr>
      <w:r>
        <w:rPr>
          <w:i w:val="false"/>
          <w:iCs w:val="false"/>
        </w:rPr>
        <w:t xml:space="preserve">En el presente trabajo se revisa la metodología para generar </w:t>
      </w:r>
      <w:r>
        <w:rPr>
          <w:i w:val="false"/>
          <w:iCs w:val="false"/>
        </w:rPr>
        <w:t>series de tiempo de</w:t>
      </w:r>
      <w:r>
        <w:rPr>
          <w:i w:val="false"/>
          <w:iCs w:val="false"/>
        </w:rPr>
        <w:t xml:space="preserve"> índices de precipitación estandarizados </w:t>
      </w:r>
      <w:r>
        <w:rPr>
          <w:i w:val="false"/>
          <w:iCs w:val="false"/>
        </w:rPr>
        <w:t>(SPIs)</w:t>
      </w:r>
      <w:r>
        <w:rPr>
          <w:i w:val="false"/>
          <w:iCs w:val="false"/>
        </w:rPr>
        <w:t>, tanto de puntos específicos, como de regi</w:t>
      </w:r>
      <w:r>
        <w:rPr>
          <w:i w:val="false"/>
          <w:iCs w:val="false"/>
        </w:rPr>
        <w:t>ones</w:t>
      </w:r>
      <w:r>
        <w:rPr>
          <w:i w:val="false"/>
          <w:iCs w:val="false"/>
        </w:rPr>
        <w:t xml:space="preserve"> geográfica</w:t>
      </w:r>
      <w:r>
        <w:rPr>
          <w:i w:val="false"/>
          <w:iCs w:val="false"/>
        </w:rPr>
        <w:t>s</w:t>
      </w:r>
      <w:r>
        <w:rPr>
          <w:i w:val="false"/>
          <w:iCs w:val="false"/>
        </w:rPr>
        <w:t xml:space="preserve"> completa</w:t>
      </w:r>
      <w:r>
        <w:rPr>
          <w:i w:val="false"/>
          <w:iCs w:val="false"/>
        </w:rPr>
        <w:t>s</w:t>
      </w:r>
      <w:r>
        <w:rPr>
          <w:i w:val="false"/>
          <w:iCs w:val="false"/>
        </w:rPr>
        <w:t xml:space="preserve"> y se introduce </w:t>
      </w:r>
      <w:r>
        <w:rPr>
          <w:i w:val="false"/>
          <w:iCs w:val="false"/>
        </w:rPr>
        <w:t>un índice para la comparación de los SPIs en dos o más períodos dentro de la serie de tiempo.</w:t>
      </w:r>
    </w:p>
    <w:p>
      <w:pPr>
        <w:pStyle w:val="Encabezado1"/>
        <w:numPr>
          <w:ilvl w:val="0"/>
          <w:numId w:val="1"/>
        </w:numPr>
        <w:ind w:left="0" w:right="0" w:hanging="0"/>
        <w:jc w:val="center"/>
        <w:rPr/>
      </w:pPr>
      <w:r>
        <w:rPr/>
        <w:t>De</w:t>
      </w:r>
      <w:r>
        <w:rPr/>
        <w:t>terminación</w:t>
      </w:r>
      <w:r>
        <w:rPr/>
        <w:t xml:space="preserve"> del SPI</w:t>
      </w:r>
    </w:p>
    <w:p>
      <w:pPr>
        <w:pStyle w:val="Cuerpodetexto"/>
        <w:jc w:val="both"/>
        <w:rPr/>
      </w:pPr>
      <w:r>
        <w:rPr/>
        <w:t xml:space="preserve">El índice de precipitación estandarizado fue introducido por </w:t>
      </w:r>
      <w:r>
        <w:rPr>
          <w:rFonts w:cs="Arial"/>
          <w:sz w:val="24"/>
          <w:szCs w:val="24"/>
          <w:lang w:val="en-US"/>
        </w:rPr>
        <w:t xml:space="preserve">McKee, Doesken </w:t>
      </w:r>
      <w:r>
        <w:rPr>
          <w:rFonts w:cs="Arial"/>
          <w:sz w:val="24"/>
          <w:szCs w:val="24"/>
          <w:lang w:val="en-US"/>
        </w:rPr>
        <w:t>y</w:t>
      </w:r>
      <w:r>
        <w:rPr>
          <w:rFonts w:cs="Arial"/>
          <w:sz w:val="24"/>
          <w:szCs w:val="24"/>
          <w:lang w:val="en-US"/>
        </w:rPr>
        <w:t xml:space="preserve"> Kleist </w:t>
      </w:r>
      <w:r>
        <w:rPr>
          <w:rFonts w:cs="Arial"/>
          <w:sz w:val="24"/>
          <w:szCs w:val="24"/>
          <w:lang w:val="en-US"/>
        </w:rPr>
        <w:t>(</w:t>
      </w:r>
      <w:r>
        <w:rPr>
          <w:rFonts w:cs="Arial"/>
          <w:sz w:val="24"/>
          <w:szCs w:val="24"/>
          <w:lang w:val="en-US"/>
        </w:rPr>
        <w:t>1993</w:t>
      </w:r>
      <w:r>
        <w:rPr>
          <w:rFonts w:cs="Arial"/>
          <w:sz w:val="24"/>
          <w:szCs w:val="24"/>
          <w:lang w:val="en-US"/>
        </w:rPr>
        <w:t>)</w:t>
      </w:r>
      <w:r>
        <w:rPr>
          <w:rFonts w:cs="Arial"/>
          <w:sz w:val="24"/>
          <w:szCs w:val="24"/>
          <w:lang w:val="en-US"/>
        </w:rPr>
        <w:t xml:space="preserve">. </w:t>
      </w:r>
      <w:r>
        <w:rPr>
          <w:rFonts w:cs="Arial"/>
          <w:sz w:val="24"/>
          <w:szCs w:val="24"/>
          <w:lang w:val="es-MX"/>
        </w:rPr>
        <w:t xml:space="preserve">En su artículo mencionan brevemente los pasos requeridos para su generación a partir de una serie de datos de precipitación mensual. </w:t>
      </w:r>
      <w:r>
        <w:rPr>
          <w:rFonts w:cs="Arial"/>
          <w:sz w:val="24"/>
          <w:szCs w:val="24"/>
          <w:lang w:val="es-MX"/>
        </w:rPr>
        <w:t xml:space="preserve">Una descripción más detallada de la metodología se puede encontrar en Edwards y McKee (1997), </w:t>
      </w:r>
      <w:r>
        <w:rPr>
          <w:rFonts w:cs="Arial"/>
          <w:sz w:val="24"/>
          <w:szCs w:val="24"/>
          <w:lang w:val="es-MX"/>
        </w:rPr>
        <w:t xml:space="preserve">cuya implementación original se desarrolló en los lenguajes de programación C y FORTRAN, y que más adelante se usó como base para la implementación en el lenguaje computacional R por Wheatley (2010). </w:t>
      </w:r>
      <w:r>
        <w:rPr>
          <w:rFonts w:cs="Arial"/>
          <w:sz w:val="24"/>
          <w:szCs w:val="24"/>
          <w:lang w:val="es-MX"/>
        </w:rPr>
        <w:t>Los pasos de la metodología</w:t>
      </w:r>
      <w:r>
        <w:rPr>
          <w:rFonts w:cs="Arial"/>
          <w:sz w:val="24"/>
          <w:szCs w:val="24"/>
          <w:lang w:val="es-MX"/>
        </w:rPr>
        <w:t xml:space="preserve"> se pueden describir como tres procesos de transformación de información, mismos que se muestran en la Fig. 1. En las secciones siguientes se describe cada uno de los procesos señalados en la figura.</w:t>
      </w:r>
      <w:r>
        <mc:AlternateContent>
          <mc:Choice Requires="wps">
            <w:drawing>
              <wp:anchor behindDoc="0" distT="0" distB="0" distL="0" distR="0" simplePos="0" locked="0" layoutInCell="1" allowOverlap="1" relativeHeight="2">
                <wp:simplePos x="0" y="0"/>
                <wp:positionH relativeFrom="column">
                  <wp:posOffset>1461770</wp:posOffset>
                </wp:positionH>
                <wp:positionV relativeFrom="paragraph">
                  <wp:posOffset>-1130300</wp:posOffset>
                </wp:positionV>
                <wp:extent cx="3411220" cy="4596130"/>
                <wp:effectExtent l="0" t="0" r="0" b="0"/>
                <wp:wrapTopAndBottom/>
                <wp:docPr id="1" name="Marco1"/>
                <a:graphic xmlns:a="http://schemas.openxmlformats.org/drawingml/2006/main">
                  <a:graphicData uri="http://schemas.microsoft.com/office/word/2010/wordprocessingShape">
                    <wps:wsp>
                      <wps:cNvSpPr txBox="1"/>
                      <wps:spPr>
                        <a:xfrm>
                          <a:off x="0" y="0"/>
                          <a:ext cx="3411220" cy="4596130"/>
                        </a:xfrm>
                        <a:prstGeom prst="rect"/>
                      </wps:spPr>
                      <wps:txbx>
                        <w:txbxContent>
                          <w:p>
                            <w:pPr>
                              <w:pStyle w:val="Figura"/>
                              <w:spacing w:before="120" w:after="120"/>
                              <w:rPr/>
                            </w:pPr>
                            <w:r>
                              <w:rPr/>
                              <w:drawing>
                                <wp:inline distT="0" distB="0" distL="0" distR="0">
                                  <wp:extent cx="3411220" cy="3491230"/>
                                  <wp:effectExtent l="0" t="0" r="0" b="0"/>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2"/>
                                          <a:stretch>
                                            <a:fillRect/>
                                          </a:stretch>
                                        </pic:blipFill>
                                        <pic:spPr bwMode="auto">
                                          <a:xfrm>
                                            <a:off x="0" y="0"/>
                                            <a:ext cx="3411220" cy="3491230"/>
                                          </a:xfrm>
                                          <a:prstGeom prst="rect">
                                            <a:avLst/>
                                          </a:prstGeom>
                                        </pic:spPr>
                                      </pic:pic>
                                    </a:graphicData>
                                  </a:graphic>
                                </wp:inline>
                              </w:drawing>
                            </w:r>
                            <w:r>
                              <w:rPr/>
                              <w:br/>
                              <w:t xml:space="preserve">Figura </w:t>
                            </w:r>
                            <w:r>
                              <w:rPr/>
                              <w:fldChar w:fldCharType="begin"/>
                            </w:r>
                            <w:r>
                              <w:instrText> SEQ Figura \* ARABIC </w:instrText>
                            </w:r>
                            <w:r>
                              <w:fldChar w:fldCharType="separate"/>
                            </w:r>
                            <w:r>
                              <w:t>1</w:t>
                            </w:r>
                            <w:r>
                              <w:fldChar w:fldCharType="end"/>
                            </w:r>
                            <w:r>
                              <w:rPr/>
                              <w:t xml:space="preserve">: </w:t>
                            </w:r>
                            <w:r>
                              <w:rPr/>
                              <w:t>Pasos</w:t>
                            </w:r>
                            <w:r>
                              <w:rPr/>
                              <w:t xml:space="preserve"> para generación de serie </w:t>
                            </w:r>
                            <w:r>
                              <w:rPr/>
                              <w:t xml:space="preserve">de tiempo </w:t>
                            </w:r>
                            <w:r>
                              <w:rPr/>
                              <w:t xml:space="preserve">de SPIs. </w:t>
                            </w:r>
                            <w:r>
                              <w:rPr/>
                              <w:t>Los rectángulos representan procesos o secuencias de acciones, mientras que los romboides representan entradas o salidas a esos procesos.</w:t>
                            </w:r>
                          </w:p>
                          <w:p>
                            <w:pPr>
                              <w:pStyle w:val="Figura"/>
                              <w:spacing w:before="120" w:after="120"/>
                              <w:rPr/>
                            </w:pPr>
                            <w:r>
                              <w:rPr/>
                            </w:r>
                          </w:p>
                        </w:txbxContent>
                      </wps:txbx>
                      <wps:bodyPr anchor="t" lIns="0" tIns="0" rIns="0" bIns="0">
                        <a:noAutofit/>
                      </wps:bodyPr>
                    </wps:wsp>
                  </a:graphicData>
                </a:graphic>
              </wp:anchor>
            </w:drawing>
          </mc:Choice>
          <mc:Fallback>
            <w:pict>
              <v:rect style="position:absolute;rotation:0;width:268.6pt;height:361.9pt;mso-wrap-distance-left:0pt;mso-wrap-distance-right:0pt;mso-wrap-distance-top:0pt;mso-wrap-distance-bottom:0pt;margin-top:-89pt;mso-position-vertical-relative:text;margin-left:115.1pt;mso-position-horizontal-relative:text">
                <v:textbox inset="0in,0in,0in,0in">
                  <w:txbxContent>
                    <w:p>
                      <w:pPr>
                        <w:pStyle w:val="Figura"/>
                        <w:spacing w:before="120" w:after="120"/>
                        <w:rPr/>
                      </w:pPr>
                      <w:r>
                        <w:rPr/>
                        <w:drawing>
                          <wp:inline distT="0" distB="0" distL="0" distR="0">
                            <wp:extent cx="3411220" cy="3491230"/>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2"/>
                                    <a:stretch>
                                      <a:fillRect/>
                                    </a:stretch>
                                  </pic:blipFill>
                                  <pic:spPr bwMode="auto">
                                    <a:xfrm>
                                      <a:off x="0" y="0"/>
                                      <a:ext cx="3411220" cy="3491230"/>
                                    </a:xfrm>
                                    <a:prstGeom prst="rect">
                                      <a:avLst/>
                                    </a:prstGeom>
                                  </pic:spPr>
                                </pic:pic>
                              </a:graphicData>
                            </a:graphic>
                          </wp:inline>
                        </w:drawing>
                      </w:r>
                      <w:r>
                        <w:rPr/>
                        <w:br/>
                        <w:t xml:space="preserve">Figura </w:t>
                      </w:r>
                      <w:r>
                        <w:rPr/>
                        <w:fldChar w:fldCharType="begin"/>
                      </w:r>
                      <w:r>
                        <w:instrText> SEQ Figura \* ARABIC </w:instrText>
                      </w:r>
                      <w:r>
                        <w:fldChar w:fldCharType="separate"/>
                      </w:r>
                      <w:r>
                        <w:t>1</w:t>
                      </w:r>
                      <w:r>
                        <w:fldChar w:fldCharType="end"/>
                      </w:r>
                      <w:r>
                        <w:rPr/>
                        <w:t xml:space="preserve">: </w:t>
                      </w:r>
                      <w:r>
                        <w:rPr/>
                        <w:t>Pasos</w:t>
                      </w:r>
                      <w:r>
                        <w:rPr/>
                        <w:t xml:space="preserve"> para generación de serie </w:t>
                      </w:r>
                      <w:r>
                        <w:rPr/>
                        <w:t xml:space="preserve">de tiempo </w:t>
                      </w:r>
                      <w:r>
                        <w:rPr/>
                        <w:t xml:space="preserve">de SPIs. </w:t>
                      </w:r>
                      <w:r>
                        <w:rPr/>
                        <w:t>Los rectángulos representan procesos o secuencias de acciones, mientras que los romboides representan entradas o salidas a esos procesos.</w:t>
                      </w:r>
                    </w:p>
                    <w:p>
                      <w:pPr>
                        <w:pStyle w:val="Figura"/>
                        <w:spacing w:before="120" w:after="120"/>
                        <w:rPr/>
                      </w:pPr>
                      <w:r>
                        <w:rPr/>
                      </w:r>
                    </w:p>
                  </w:txbxContent>
                </v:textbox>
                <w10:wrap type="topAndBottom"/>
              </v:rect>
            </w:pict>
          </mc:Fallback>
        </mc:AlternateContent>
      </w:r>
    </w:p>
    <w:p>
      <w:pPr>
        <w:pStyle w:val="Cuerpodetexto"/>
        <w:jc w:val="both"/>
        <w:rPr>
          <w:rFonts w:ascii="Liberation Serif" w:hAnsi="Liberation Serif" w:cs="Arial"/>
          <w:sz w:val="24"/>
          <w:szCs w:val="24"/>
          <w:lang w:val="es-MX"/>
        </w:rPr>
      </w:pPr>
      <w:r>
        <w:rPr>
          <w:rFonts w:cs="Arial"/>
          <w:sz w:val="24"/>
          <w:szCs w:val="24"/>
          <w:lang w:val="es-MX"/>
        </w:rPr>
      </w:r>
    </w:p>
    <w:p>
      <w:pPr>
        <w:pStyle w:val="Encabezado2"/>
        <w:numPr>
          <w:ilvl w:val="1"/>
          <w:numId w:val="1"/>
        </w:numPr>
        <w:ind w:left="0" w:right="0" w:hanging="0"/>
        <w:rPr/>
      </w:pPr>
      <w:r>
        <w:rPr/>
        <w:t>Generación de promedios en ventana de observación</w:t>
      </w:r>
    </w:p>
    <w:p>
      <w:pPr>
        <w:pStyle w:val="Cuerpodetexto"/>
        <w:jc w:val="both"/>
        <w:rPr/>
      </w:pPr>
      <w:r>
        <w:rPr/>
        <w:t xml:space="preserve">El punto de partida para la generación de índices SPI, es una serie de tiempo de precipitaciones mensuales asociada a una ubicación </w:t>
      </w:r>
      <w:r>
        <w:rPr/>
        <w:t xml:space="preserve">puntual </w:t>
      </w:r>
      <w:r>
        <w:rPr/>
        <w:t xml:space="preserve">geográfica específica, o a una región determinada, como pudiera ser una cuenca, un estado, o un municipio. </w:t>
      </w:r>
      <w:r>
        <w:rPr/>
        <w:t xml:space="preserve">Para cada punto en la serie se </w:t>
      </w:r>
      <w:r>
        <w:rPr>
          <w:i/>
          <w:iCs/>
        </w:rPr>
        <w:t>abre</w:t>
      </w:r>
      <w:r>
        <w:rPr>
          <w:i w:val="false"/>
          <w:iCs w:val="false"/>
        </w:rPr>
        <w:t xml:space="preserve"> una </w:t>
      </w:r>
      <w:r>
        <w:rPr>
          <w:i/>
          <w:iCs/>
        </w:rPr>
        <w:t>ventana de observación</w:t>
      </w:r>
      <w:r>
        <w:rPr>
          <w:i w:val="false"/>
          <w:iCs w:val="false"/>
        </w:rPr>
        <w:t xml:space="preserve"> </w:t>
      </w:r>
      <w:r>
        <w:rPr>
          <w:i w:val="false"/>
          <w:iCs w:val="false"/>
        </w:rPr>
        <w:t xml:space="preserve">de la serie </w:t>
      </w:r>
      <w:r>
        <w:rPr>
          <w:i w:val="false"/>
          <w:iCs w:val="false"/>
        </w:rPr>
        <w:t xml:space="preserve">hacia el pasado, consistente en un número determinado de meses anteriores e incluyendo al mes correspondiente al punto </w:t>
      </w:r>
      <w:r>
        <w:rPr>
          <w:i w:val="false"/>
          <w:iCs w:val="false"/>
        </w:rPr>
        <w:t>en cuestión</w:t>
      </w:r>
      <w:r>
        <w:rPr>
          <w:i w:val="false"/>
          <w:iCs w:val="false"/>
        </w:rPr>
        <w:t xml:space="preserve"> </w:t>
      </w:r>
      <w:r>
        <w:rPr>
          <w:i w:val="false"/>
          <w:iCs w:val="false"/>
        </w:rPr>
        <w:t>y se procede a calcular el promedio de las precipitaciones abarcadas por la ventana. El resultado es una serie de tiempo con los promedios de precipitación calculados.</w:t>
      </w:r>
      <w:r>
        <w:rPr>
          <w:i w:val="false"/>
          <w:iCs w:val="false"/>
        </w:rPr>
        <w:t xml:space="preserve"> El tamaño de la </w:t>
      </w:r>
      <w:r>
        <w:rPr>
          <w:i/>
          <w:iCs/>
        </w:rPr>
        <w:t>ventana</w:t>
      </w:r>
      <w:r>
        <w:rPr>
          <w:i w:val="false"/>
          <w:iCs w:val="false"/>
        </w:rPr>
        <w:t xml:space="preserve"> es arbitrario, pero típicamente se usan ventanas de 3, 6, 12, 24 o 48 meses </w:t>
      </w:r>
      <w:r>
        <w:rPr>
          <w:i w:val="false"/>
          <w:iCs w:val="false"/>
        </w:rPr>
        <w:t>(</w:t>
      </w:r>
      <w:r>
        <w:rPr>
          <w:rFonts w:cs="Arial"/>
          <w:i w:val="false"/>
          <w:iCs w:val="false"/>
          <w:sz w:val="24"/>
          <w:szCs w:val="24"/>
          <w:lang w:val="en-US"/>
        </w:rPr>
        <w:t xml:space="preserve">McKee, Doesken </w:t>
      </w:r>
      <w:r>
        <w:rPr>
          <w:rFonts w:cs="Arial"/>
          <w:i w:val="false"/>
          <w:iCs w:val="false"/>
          <w:sz w:val="24"/>
          <w:szCs w:val="24"/>
          <w:lang w:val="en-US"/>
        </w:rPr>
        <w:t>&amp;</w:t>
      </w:r>
      <w:r>
        <w:rPr>
          <w:rFonts w:cs="Arial"/>
          <w:i w:val="false"/>
          <w:iCs w:val="false"/>
          <w:sz w:val="24"/>
          <w:szCs w:val="24"/>
          <w:lang w:val="en-US"/>
        </w:rPr>
        <w:t xml:space="preserve"> Kleist,</w:t>
      </w:r>
      <w:r>
        <w:rPr>
          <w:rFonts w:cs="Arial"/>
          <w:i w:val="false"/>
          <w:iCs w:val="false"/>
          <w:sz w:val="24"/>
          <w:szCs w:val="24"/>
          <w:lang w:val="en-US"/>
        </w:rPr>
        <w:t xml:space="preserve"> 1993</w:t>
      </w:r>
      <w:r>
        <w:rPr>
          <w:i w:val="false"/>
          <w:iCs w:val="false"/>
        </w:rPr>
        <w:t>)</w:t>
      </w:r>
      <w:r>
        <w:rPr>
          <w:i w:val="false"/>
          <w:iCs w:val="false"/>
        </w:rPr>
        <w:t xml:space="preserve">. </w:t>
      </w:r>
      <w:r>
        <w:rPr>
          <w:i w:val="false"/>
          <w:iCs w:val="false"/>
        </w:rPr>
        <w:t xml:space="preserve">En la Fig. 2 se muestra, en </w:t>
      </w:r>
      <w:r>
        <w:rPr>
          <w:i w:val="false"/>
          <w:iCs w:val="false"/>
        </w:rPr>
        <w:t>su</w:t>
      </w:r>
      <w:r>
        <w:rPr>
          <w:i w:val="false"/>
          <w:iCs w:val="false"/>
        </w:rPr>
        <w:t xml:space="preserve"> parte superior, la serie de precipitaciones medias mensuales en mm/día, </w:t>
      </w:r>
      <w:r>
        <w:rPr>
          <w:i w:val="false"/>
          <w:iCs w:val="false"/>
        </w:rPr>
        <w:t xml:space="preserve">promediadas para toda la parte mexicana de la cuenca del Río Usumacinta, </w:t>
      </w:r>
      <w:r>
        <w:rPr>
          <w:i w:val="false"/>
          <w:iCs w:val="false"/>
        </w:rPr>
        <w:t xml:space="preserve">y, en </w:t>
      </w:r>
      <w:r>
        <w:rPr>
          <w:i w:val="false"/>
          <w:iCs w:val="false"/>
        </w:rPr>
        <w:t>su</w:t>
      </w:r>
      <w:r>
        <w:rPr>
          <w:i w:val="false"/>
          <w:iCs w:val="false"/>
        </w:rPr>
        <w:t xml:space="preserve"> parte inferior, la serie de promedios </w:t>
      </w:r>
      <w:r>
        <w:rPr>
          <w:i w:val="false"/>
          <w:iCs w:val="false"/>
        </w:rPr>
        <w:t>consecutivos</w:t>
      </w:r>
      <w:r>
        <w:rPr>
          <w:i w:val="false"/>
          <w:iCs w:val="false"/>
        </w:rPr>
        <w:t xml:space="preserve"> para una </w:t>
      </w:r>
      <w:r>
        <w:rPr>
          <w:i/>
          <w:iCs/>
        </w:rPr>
        <w:t>ventana de observación</w:t>
      </w:r>
      <w:r>
        <w:rPr>
          <w:i w:val="false"/>
          <w:iCs w:val="false"/>
        </w:rPr>
        <w:t xml:space="preserve"> de 12 meses, </w:t>
      </w:r>
      <w:r>
        <w:rPr>
          <w:i w:val="false"/>
          <w:iCs w:val="false"/>
        </w:rPr>
        <w:t xml:space="preserve">calculados por medio de la operación descrita </w:t>
      </w:r>
      <w:r>
        <w:rPr>
          <w:i w:val="false"/>
          <w:iCs w:val="false"/>
        </w:rPr>
        <w:t xml:space="preserve">antes </w:t>
      </w:r>
      <w:r>
        <w:rPr>
          <w:i w:val="false"/>
          <w:iCs w:val="false"/>
        </w:rPr>
        <w:t>en este párrafo</w:t>
      </w:r>
      <w:r>
        <w:rPr>
          <w:i w:val="false"/>
          <w:iCs w:val="false"/>
        </w:rPr>
        <w:t xml:space="preserve">. </w:t>
      </w:r>
      <w:r>
        <w:rPr>
          <w:i w:val="false"/>
          <w:iCs w:val="false"/>
        </w:rPr>
        <w:t xml:space="preserve">Los datos que se usaron para generar la serie </w:t>
      </w:r>
      <w:r>
        <w:rPr>
          <w:i w:val="false"/>
          <w:iCs w:val="false"/>
        </w:rPr>
        <w:t>inicial de precipitaciones,</w:t>
      </w:r>
      <w:r>
        <w:rPr>
          <w:i w:val="false"/>
          <w:iCs w:val="false"/>
        </w:rPr>
        <w:t xml:space="preserve"> provienen de </w:t>
      </w:r>
      <w:r>
        <w:rPr>
          <w:i w:val="false"/>
          <w:iCs w:val="false"/>
        </w:rPr>
        <w:t xml:space="preserve">la malla desarrollada por el CICESE, a la que se denominará aquí CLICOMg, que se generó a partir de la base de datos climatológica oficial del </w:t>
      </w:r>
      <w:r>
        <w:rPr>
          <w:i w:val="false"/>
          <w:iCs w:val="false"/>
        </w:rPr>
        <w:t>Servicio Meteorológico Nacional (</w:t>
      </w:r>
      <w:r>
        <w:rPr>
          <w:i w:val="false"/>
          <w:iCs w:val="false"/>
        </w:rPr>
        <w:t>SMN</w:t>
      </w:r>
      <w:r>
        <w:rPr>
          <w:i w:val="false"/>
          <w:iCs w:val="false"/>
        </w:rPr>
        <w:t>)</w:t>
      </w:r>
      <w:r>
        <w:rPr>
          <w:i w:val="false"/>
          <w:iCs w:val="false"/>
        </w:rPr>
        <w:t xml:space="preserve"> y que comprende en su totalidad más de 5000 estaciones. </w:t>
      </w:r>
      <w:r>
        <w:rPr>
          <w:i w:val="false"/>
          <w:iCs w:val="false"/>
        </w:rPr>
        <w:t xml:space="preserve">Para la creación de CLICOMg se aplicaron antes algunas pruebas de calidad de datos y luego, éstos se interpolaron a una malla regular mediante el método </w:t>
      </w:r>
      <w:r>
        <w:rPr>
          <w:i/>
          <w:iCs/>
        </w:rPr>
        <w:t>Synographic Mapping System</w:t>
      </w:r>
      <w:r>
        <w:rPr>
          <w:i w:val="false"/>
          <w:iCs w:val="false"/>
        </w:rPr>
        <w:t xml:space="preserve"> (Shepard, 1984). La base de datos resultante registra precipitaciones, temperaturas superficiales mínimas y máximas, diarias, con una resolución espacial de 1/8°, para todo México, desde </w:t>
      </w:r>
      <w:r>
        <w:rPr>
          <w:i w:val="false"/>
          <w:iCs w:val="false"/>
        </w:rPr>
        <w:t>el año</w:t>
      </w:r>
      <w:r>
        <w:rPr>
          <w:i w:val="false"/>
          <w:iCs w:val="false"/>
        </w:rPr>
        <w:t xml:space="preserve"> 1960 hasta </w:t>
      </w:r>
      <w:r>
        <w:rPr>
          <w:i w:val="false"/>
          <w:iCs w:val="false"/>
        </w:rPr>
        <w:t xml:space="preserve">el </w:t>
      </w:r>
      <w:r>
        <w:rPr>
          <w:i w:val="false"/>
          <w:iCs w:val="false"/>
        </w:rPr>
        <w:t>2008 (Zhu y Lettenmier, 2007; Muño</w:t>
      </w:r>
      <w:r>
        <w:rPr>
          <w:i w:val="false"/>
          <w:iCs w:val="false"/>
        </w:rPr>
        <w:t>z</w:t>
      </w:r>
      <w:r>
        <w:rPr>
          <w:i w:val="false"/>
          <w:iCs w:val="false"/>
        </w:rPr>
        <w:t xml:space="preserve">-Arriola et al., 2009). La plataforma fue desarrollada por el CICESE y se puede visualizar en la liga </w:t>
      </w:r>
      <w:hyperlink r:id="rId3">
        <w:r>
          <w:rPr>
            <w:rStyle w:val="EnlacedeInternet"/>
            <w:i w:val="false"/>
            <w:iCs w:val="false"/>
          </w:rPr>
          <w:t>http://clicom-mex.cicese.mx/malla</w:t>
        </w:r>
      </w:hyperlink>
      <w:r>
        <w:rPr>
          <w:i w:val="false"/>
          <w:iCs w:val="false"/>
        </w:rPr>
        <w:t>.</w:t>
      </w:r>
    </w:p>
    <w:p>
      <w:pPr>
        <w:pStyle w:val="Cuerpodetexto"/>
        <w:jc w:val="both"/>
        <w:rPr>
          <w:i w:val="false"/>
          <w:i w:val="false"/>
          <w:iCs w:val="false"/>
        </w:rPr>
      </w:pPr>
      <w:r>
        <w:rPr>
          <w:i w:val="false"/>
          <w:iCs w:val="false"/>
        </w:rPr>
      </w:r>
    </w:p>
    <w:p>
      <w:pPr>
        <w:pStyle w:val="Cuerpodetexto"/>
        <w:jc w:val="both"/>
        <w:rPr/>
      </w:pPr>
      <w:r>
        <w:rPr>
          <w:i w:val="false"/>
          <w:iCs w:val="false"/>
        </w:rPr>
        <w:br/>
      </w:r>
      <w:r>
        <w:rPr>
          <w:i w:val="false"/>
          <w:iCs w:val="false"/>
        </w:rPr>
        <w:t>Cabe aclarar que, aunque la base de datos en malla CLICOMg, registra desde el año 1960 hasta el año 2008, las series mostradas en la Fig. 2, van desde el año 1961 hasta el año 2008, ya que los datos del año 1960 se utilizaron solamente para el cálculo de los promedios a partir del primer mes del año 1961.</w:t>
      </w:r>
      <w:r>
        <mc:AlternateContent>
          <mc:Choice Requires="wps">
            <w:drawing>
              <wp:anchor behindDoc="0" distT="0" distB="0" distL="0" distR="0" simplePos="0" locked="0" layoutInCell="1" allowOverlap="1" relativeHeight="5">
                <wp:simplePos x="0" y="0"/>
                <wp:positionH relativeFrom="column">
                  <wp:posOffset>402590</wp:posOffset>
                </wp:positionH>
                <wp:positionV relativeFrom="paragraph">
                  <wp:posOffset>-105410</wp:posOffset>
                </wp:positionV>
                <wp:extent cx="6112510" cy="3878580"/>
                <wp:effectExtent l="0" t="0" r="0" b="0"/>
                <wp:wrapSquare wrapText="largest"/>
                <wp:docPr id="4" name="Marco2"/>
                <a:graphic xmlns:a="http://schemas.openxmlformats.org/drawingml/2006/main">
                  <a:graphicData uri="http://schemas.microsoft.com/office/word/2010/wordprocessingShape">
                    <wps:wsp>
                      <wps:cNvSpPr txBox="1"/>
                      <wps:spPr>
                        <a:xfrm>
                          <a:off x="0" y="0"/>
                          <a:ext cx="6112510" cy="3878580"/>
                        </a:xfrm>
                        <a:prstGeom prst="rect"/>
                      </wps:spPr>
                      <wps:txbx>
                        <w:txbxContent>
                          <w:p>
                            <w:pPr>
                              <w:pStyle w:val="Figura"/>
                              <w:spacing w:before="120" w:after="120"/>
                              <w:rPr/>
                            </w:pPr>
                            <w:r>
                              <w:rPr/>
                              <w:drawing>
                                <wp:inline distT="0" distB="0" distL="0" distR="0">
                                  <wp:extent cx="6112510" cy="3451860"/>
                                  <wp:effectExtent l="0" t="0" r="0" b="0"/>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4"/>
                                          <a:stretch>
                                            <a:fillRect/>
                                          </a:stretch>
                                        </pic:blipFill>
                                        <pic:spPr bwMode="auto">
                                          <a:xfrm>
                                            <a:off x="0" y="0"/>
                                            <a:ext cx="6112510" cy="3451860"/>
                                          </a:xfrm>
                                          <a:prstGeom prst="rect">
                                            <a:avLst/>
                                          </a:prstGeom>
                                        </pic:spPr>
                                      </pic:pic>
                                    </a:graphicData>
                                  </a:graphic>
                                </wp:inline>
                              </w:drawing>
                            </w:r>
                            <w:r>
                              <w:rPr/>
                              <w:br/>
                              <w:t xml:space="preserve">Figura </w:t>
                            </w:r>
                            <w:r>
                              <w:rPr/>
                              <w:fldChar w:fldCharType="begin"/>
                            </w:r>
                            <w:r>
                              <w:instrText> SEQ Figura \* ARABIC </w:instrText>
                            </w:r>
                            <w:r>
                              <w:fldChar w:fldCharType="separate"/>
                            </w:r>
                            <w:r>
                              <w:t>2</w:t>
                            </w:r>
                            <w:r>
                              <w:fldChar w:fldCharType="end"/>
                            </w:r>
                            <w:r>
                              <w:rPr/>
                              <w:t xml:space="preserve">: Serie de precipitaciones </w:t>
                            </w:r>
                            <w:r>
                              <w:rPr/>
                              <w:t>medias mensuales (mm/día)</w:t>
                            </w:r>
                            <w:r>
                              <w:rPr/>
                              <w:t xml:space="preserve"> y promedios a 12 meses, </w:t>
                            </w:r>
                            <w:r>
                              <w:rPr/>
                              <w:t xml:space="preserve">observados en la </w:t>
                            </w:r>
                            <w:r>
                              <w:rPr/>
                              <w:t xml:space="preserve">Cuenca del </w:t>
                            </w:r>
                            <w:r>
                              <w:rPr/>
                              <w:t xml:space="preserve">Río </w:t>
                            </w:r>
                            <w:r>
                              <w:rPr/>
                              <w:t>Usumacinta</w:t>
                            </w:r>
                          </w:p>
                        </w:txbxContent>
                      </wps:txbx>
                      <wps:bodyPr anchor="t" lIns="0" tIns="0" rIns="0" bIns="0">
                        <a:noAutofit/>
                      </wps:bodyPr>
                    </wps:wsp>
                  </a:graphicData>
                </a:graphic>
              </wp:anchor>
            </w:drawing>
          </mc:Choice>
          <mc:Fallback>
            <w:pict>
              <v:rect style="position:absolute;rotation:0;width:481.3pt;height:305.4pt;mso-wrap-distance-left:0pt;mso-wrap-distance-right:0pt;mso-wrap-distance-top:0pt;mso-wrap-distance-bottom:0pt;margin-top:-8.3pt;mso-position-vertical-relative:text;margin-left:31.7pt;mso-position-horizontal-relative:text">
                <v:textbox inset="0in,0in,0in,0in">
                  <w:txbxContent>
                    <w:p>
                      <w:pPr>
                        <w:pStyle w:val="Figura"/>
                        <w:spacing w:before="120" w:after="120"/>
                        <w:rPr/>
                      </w:pPr>
                      <w:r>
                        <w:rPr/>
                        <w:drawing>
                          <wp:inline distT="0" distB="0" distL="0" distR="0">
                            <wp:extent cx="6112510" cy="3451860"/>
                            <wp:effectExtent l="0" t="0" r="0" b="0"/>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4"/>
                                    <a:stretch>
                                      <a:fillRect/>
                                    </a:stretch>
                                  </pic:blipFill>
                                  <pic:spPr bwMode="auto">
                                    <a:xfrm>
                                      <a:off x="0" y="0"/>
                                      <a:ext cx="6112510" cy="3451860"/>
                                    </a:xfrm>
                                    <a:prstGeom prst="rect">
                                      <a:avLst/>
                                    </a:prstGeom>
                                  </pic:spPr>
                                </pic:pic>
                              </a:graphicData>
                            </a:graphic>
                          </wp:inline>
                        </w:drawing>
                      </w:r>
                      <w:r>
                        <w:rPr/>
                        <w:br/>
                        <w:t xml:space="preserve">Figura </w:t>
                      </w:r>
                      <w:r>
                        <w:rPr/>
                        <w:fldChar w:fldCharType="begin"/>
                      </w:r>
                      <w:r>
                        <w:instrText> SEQ Figura \* ARABIC </w:instrText>
                      </w:r>
                      <w:r>
                        <w:fldChar w:fldCharType="separate"/>
                      </w:r>
                      <w:r>
                        <w:t>2</w:t>
                      </w:r>
                      <w:r>
                        <w:fldChar w:fldCharType="end"/>
                      </w:r>
                      <w:r>
                        <w:rPr/>
                        <w:t xml:space="preserve">: Serie de precipitaciones </w:t>
                      </w:r>
                      <w:r>
                        <w:rPr/>
                        <w:t>medias mensuales (mm/día)</w:t>
                      </w:r>
                      <w:r>
                        <w:rPr/>
                        <w:t xml:space="preserve"> y promedios a 12 meses, </w:t>
                      </w:r>
                      <w:r>
                        <w:rPr/>
                        <w:t xml:space="preserve">observados en la </w:t>
                      </w:r>
                      <w:r>
                        <w:rPr/>
                        <w:t xml:space="preserve">Cuenca del </w:t>
                      </w:r>
                      <w:r>
                        <w:rPr/>
                        <w:t xml:space="preserve">Río </w:t>
                      </w:r>
                      <w:r>
                        <w:rPr/>
                        <w:t>Usumacinta</w:t>
                      </w:r>
                    </w:p>
                  </w:txbxContent>
                </v:textbox>
                <w10:wrap type="square" side="largest"/>
              </v:rect>
            </w:pict>
          </mc:Fallback>
        </mc:AlternateContent>
      </w:r>
    </w:p>
    <w:p>
      <w:pPr>
        <w:pStyle w:val="Encabezado2"/>
        <w:numPr>
          <w:ilvl w:val="1"/>
          <w:numId w:val="1"/>
        </w:numPr>
        <w:ind w:left="0" w:right="0" w:hanging="0"/>
        <w:rPr/>
      </w:pPr>
      <w:r>
        <w:rPr/>
        <w:t xml:space="preserve">Ajuste de datos a </w:t>
      </w:r>
      <w:r>
        <w:rPr/>
        <w:t xml:space="preserve">una </w:t>
      </w:r>
      <w:r>
        <w:rPr/>
        <w:t>distribución de probabilidades</w:t>
      </w:r>
    </w:p>
    <w:p>
      <w:pPr>
        <w:pStyle w:val="Cuerpodetexto"/>
        <w:jc w:val="both"/>
        <w:rPr/>
      </w:pPr>
      <w:r>
        <w:rPr/>
        <w:t xml:space="preserve">La serie de tiempo de precipitaciones promedio calculada para una ventana de observación determinada, se debe ajustar a una distribución de probabilidades. En el artículo original de </w:t>
      </w:r>
      <w:r>
        <w:rPr>
          <w:rFonts w:cs="Arial"/>
          <w:i w:val="false"/>
          <w:iCs w:val="false"/>
          <w:sz w:val="24"/>
          <w:szCs w:val="24"/>
          <w:lang w:val="en-US"/>
        </w:rPr>
        <w:t xml:space="preserve">McKee, Doesken </w:t>
      </w:r>
      <w:r>
        <w:rPr>
          <w:rFonts w:cs="Arial"/>
          <w:i w:val="false"/>
          <w:iCs w:val="false"/>
          <w:sz w:val="24"/>
          <w:szCs w:val="24"/>
          <w:lang w:val="en-US"/>
        </w:rPr>
        <w:t>y</w:t>
      </w:r>
      <w:r>
        <w:rPr>
          <w:rFonts w:cs="Arial"/>
          <w:i w:val="false"/>
          <w:iCs w:val="false"/>
          <w:sz w:val="24"/>
          <w:szCs w:val="24"/>
          <w:lang w:val="en-US"/>
        </w:rPr>
        <w:t xml:space="preserve"> Kleist,</w:t>
      </w:r>
      <w:r>
        <w:rPr>
          <w:rFonts w:cs="Arial"/>
          <w:i w:val="false"/>
          <w:iCs w:val="false"/>
          <w:sz w:val="24"/>
          <w:szCs w:val="24"/>
          <w:lang w:val="en-US"/>
        </w:rPr>
        <w:t xml:space="preserve"> </w:t>
      </w:r>
      <w:r>
        <w:rPr>
          <w:rFonts w:cs="Arial"/>
          <w:i w:val="false"/>
          <w:iCs w:val="false"/>
          <w:sz w:val="24"/>
          <w:szCs w:val="24"/>
          <w:lang w:val="en-US"/>
        </w:rPr>
        <w:t>(</w:t>
      </w:r>
      <w:r>
        <w:rPr>
          <w:rFonts w:cs="Arial"/>
          <w:i w:val="false"/>
          <w:iCs w:val="false"/>
          <w:sz w:val="24"/>
          <w:szCs w:val="24"/>
          <w:lang w:val="en-US"/>
        </w:rPr>
        <w:t>1993</w:t>
      </w:r>
      <w:r>
        <w:rPr>
          <w:i w:val="false"/>
          <w:iCs w:val="false"/>
        </w:rPr>
        <w:t>)</w:t>
      </w:r>
      <w:r>
        <w:rPr>
          <w:i w:val="false"/>
          <w:iCs w:val="false"/>
        </w:rPr>
        <w:t xml:space="preserve">, </w:t>
      </w:r>
      <w:r>
        <w:rPr>
          <w:i w:val="false"/>
          <w:iCs w:val="false"/>
        </w:rPr>
        <w:t xml:space="preserve">se sugiere la distribución de probabilidades Gamma. </w:t>
      </w:r>
      <w:r>
        <w:rPr>
          <w:i w:val="false"/>
          <w:iCs w:val="false"/>
        </w:rPr>
        <w:t>Aunque e</w:t>
      </w:r>
      <w:r>
        <w:rPr>
          <w:i w:val="false"/>
          <w:iCs w:val="false"/>
        </w:rPr>
        <w:t xml:space="preserve">l tema de cuál es el tipo de distribución </w:t>
      </w:r>
      <w:r>
        <w:rPr>
          <w:i w:val="false"/>
          <w:iCs w:val="false"/>
        </w:rPr>
        <w:t xml:space="preserve">de probabilidades </w:t>
      </w:r>
      <w:r>
        <w:rPr>
          <w:i w:val="false"/>
          <w:iCs w:val="false"/>
        </w:rPr>
        <w:t xml:space="preserve">que mejor representa las precipitaciones es </w:t>
      </w:r>
      <w:r>
        <w:rPr>
          <w:i w:val="false"/>
          <w:iCs w:val="false"/>
        </w:rPr>
        <w:t xml:space="preserve">todavía </w:t>
      </w:r>
      <w:r>
        <w:rPr>
          <w:i w:val="false"/>
          <w:iCs w:val="false"/>
        </w:rPr>
        <w:t>un asunto de discusión</w:t>
      </w:r>
      <w:r>
        <w:rPr>
          <w:i w:val="false"/>
          <w:iCs w:val="false"/>
        </w:rPr>
        <w:t xml:space="preserve"> </w:t>
      </w:r>
      <w:r>
        <w:rPr>
          <w:i w:val="false"/>
          <w:iCs w:val="false"/>
        </w:rPr>
        <w:t xml:space="preserve">abierta </w:t>
      </w:r>
      <w:r>
        <w:rPr>
          <w:i w:val="false"/>
          <w:iCs w:val="false"/>
        </w:rPr>
        <w:t xml:space="preserve">(Hanson &amp; Vogel, 2012), </w:t>
      </w:r>
      <w:r>
        <w:rPr>
          <w:i w:val="false"/>
          <w:iCs w:val="false"/>
        </w:rPr>
        <w:t xml:space="preserve">la selección de la distribución continua Gamma </w:t>
      </w:r>
      <w:r>
        <w:rPr>
          <w:i w:val="false"/>
          <w:iCs w:val="false"/>
        </w:rPr>
        <w:t>de dos parámetros,</w:t>
      </w:r>
      <w:r>
        <w:rPr>
          <w:i w:val="false"/>
          <w:iCs w:val="false"/>
        </w:rPr>
        <w:t xml:space="preserve"> </w:t>
      </w:r>
      <w:r>
        <w:rPr>
          <w:i w:val="false"/>
          <w:iCs w:val="false"/>
        </w:rPr>
        <w:t>manifiesta</w:t>
      </w:r>
      <w:r>
        <w:rPr>
          <w:i w:val="false"/>
          <w:iCs w:val="false"/>
        </w:rPr>
        <w:t xml:space="preserve"> algunas ventajas </w:t>
      </w:r>
      <w:r>
        <w:rPr>
          <w:i w:val="false"/>
          <w:iCs w:val="false"/>
        </w:rPr>
        <w:t>representativas, específicamente para el cálculo de los índices SPI,</w:t>
      </w:r>
      <w:r>
        <w:rPr>
          <w:i w:val="false"/>
          <w:iCs w:val="false"/>
        </w:rPr>
        <w:t xml:space="preserve"> que </w:t>
      </w:r>
      <w:r>
        <w:rPr>
          <w:i w:val="false"/>
          <w:iCs w:val="false"/>
        </w:rPr>
        <w:t xml:space="preserve">han sido señaladas en otra parte (Guttman, 1999). </w:t>
      </w:r>
      <w:r>
        <w:rPr>
          <w:i w:val="false"/>
          <w:iCs w:val="false"/>
        </w:rPr>
        <w:t>De este</w:t>
      </w:r>
      <w:r>
        <w:rPr>
          <w:i w:val="false"/>
          <w:iCs w:val="false"/>
        </w:rPr>
        <w:t xml:space="preserve"> modo, para ejemplificar aquí el procedimiento se empleará dicha distribución.</w:t>
      </w:r>
    </w:p>
    <w:p>
      <w:pPr>
        <w:pStyle w:val="Cuerpodetexto"/>
        <w:jc w:val="both"/>
        <w:rPr/>
      </w:pPr>
      <w:r>
        <w:rPr>
          <w:i w:val="false"/>
          <w:iCs w:val="false"/>
        </w:rPr>
        <w:t>El a</w:t>
      </w:r>
      <w:r>
        <w:rPr>
          <w:i w:val="false"/>
          <w:iCs w:val="false"/>
        </w:rPr>
        <w:t xml:space="preserve">juste </w:t>
      </w:r>
      <w:r>
        <w:rPr>
          <w:i w:val="false"/>
          <w:iCs w:val="false"/>
        </w:rPr>
        <w:t>a</w:t>
      </w:r>
      <w:r>
        <w:rPr>
          <w:i w:val="false"/>
          <w:iCs w:val="false"/>
        </w:rPr>
        <w:t xml:space="preserve"> una distribución Gamma, consiste en encontrar, a partir de los datos, los dos parámetros, </w:t>
      </w:r>
      <w:r>
        <w:rPr>
          <w:i/>
          <w:iCs/>
        </w:rPr>
        <w:t>forma</w:t>
      </w:r>
      <w:r>
        <w:rPr>
          <w:i w:val="false"/>
          <w:iCs w:val="false"/>
        </w:rPr>
        <w:t xml:space="preserve"> y </w:t>
      </w:r>
      <w:r>
        <w:rPr>
          <w:i/>
          <w:iCs/>
        </w:rPr>
        <w:t>escala</w:t>
      </w:r>
      <w:r>
        <w:rPr>
          <w:i w:val="false"/>
          <w:iCs w:val="false"/>
        </w:rPr>
        <w:t xml:space="preserve">, que producen la curva de densidades o distribuciones más </w:t>
      </w:r>
      <w:r>
        <w:rPr>
          <w:i/>
          <w:iCs/>
        </w:rPr>
        <w:t>cercana</w:t>
      </w:r>
      <w:r>
        <w:rPr>
          <w:i w:val="false"/>
          <w:iCs w:val="false"/>
        </w:rPr>
        <w:t xml:space="preserve"> a los datos. </w:t>
      </w:r>
      <w:r>
        <w:rPr>
          <w:i w:val="false"/>
          <w:iCs w:val="false"/>
        </w:rPr>
        <w:t xml:space="preserve">En Santana, J.S. y Mateos, E., (2014, pp. 105-123), se describen dos </w:t>
      </w:r>
      <w:r>
        <w:rPr>
          <w:i w:val="false"/>
          <w:iCs w:val="false"/>
        </w:rPr>
        <w:t>métodos</w:t>
      </w:r>
      <w:r>
        <w:rPr>
          <w:i w:val="false"/>
          <w:iCs w:val="false"/>
        </w:rPr>
        <w:t xml:space="preserve"> </w:t>
      </w:r>
      <w:r>
        <w:rPr>
          <w:i w:val="false"/>
          <w:iCs w:val="false"/>
        </w:rPr>
        <w:t>para encontrar dichos parámetros</w:t>
      </w:r>
      <w:r>
        <w:rPr>
          <w:i w:val="false"/>
          <w:iCs w:val="false"/>
        </w:rPr>
        <w:t>: uno de transformación de parámetros, y el otro, conocido como método de la máxima verosimilitud (</w:t>
      </w:r>
      <w:r>
        <w:rPr>
          <w:i/>
          <w:iCs/>
        </w:rPr>
        <w:t>maximum likelihood method</w:t>
      </w:r>
      <w:r>
        <w:rPr>
          <w:i w:val="false"/>
          <w:iCs w:val="false"/>
        </w:rPr>
        <w:t xml:space="preserve">), cuya explicación más detallada se puede encontrar en Walpole et al. (2012, pp. 307-312), y en Venables &amp; Ripley (2002). </w:t>
      </w:r>
      <w:r>
        <w:rPr>
          <w:i w:val="false"/>
          <w:iCs w:val="false"/>
        </w:rPr>
        <w:t xml:space="preserve">La Fig. 3, muestra el histograma de densidades de la serie de precipitaciones promedio de la Fig. 2, junto con dos curvas de distribución Gamma ajustadas por los dos métodos mencionados. </w:t>
      </w:r>
      <w:r>
        <w:rPr>
          <w:i w:val="false"/>
          <w:iCs w:val="false"/>
        </w:rPr>
        <w:t>En la figura se puede apreciar que la diferencia entre ambos ajustes es mínima.</w:t>
      </w:r>
    </w:p>
    <w:p>
      <w:pPr>
        <w:pStyle w:val="Cuerpodetexto"/>
        <w:jc w:val="both"/>
        <w:rPr>
          <w:i w:val="false"/>
          <w:i w:val="false"/>
          <w:iCs w:val="false"/>
        </w:rPr>
      </w:pPr>
      <w:r>
        <w:rPr>
          <w:i w:val="false"/>
          <w:iCs w:val="false"/>
        </w:rPr>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026535" cy="4443095"/>
                <wp:effectExtent l="0" t="0" r="0" b="0"/>
                <wp:wrapTopAndBottom/>
                <wp:docPr id="7" name="Marco3"/>
                <a:graphic xmlns:a="http://schemas.openxmlformats.org/drawingml/2006/main">
                  <a:graphicData uri="http://schemas.microsoft.com/office/word/2010/wordprocessingShape">
                    <wps:wsp>
                      <wps:cNvSpPr txBox="1"/>
                      <wps:spPr>
                        <a:xfrm>
                          <a:off x="0" y="0"/>
                          <a:ext cx="4026535" cy="4443095"/>
                        </a:xfrm>
                        <a:prstGeom prst="rect"/>
                      </wps:spPr>
                      <wps:txbx>
                        <w:txbxContent>
                          <w:p>
                            <w:pPr>
                              <w:pStyle w:val="Figura"/>
                              <w:spacing w:before="120" w:after="120"/>
                              <w:rPr/>
                            </w:pPr>
                            <w:r>
                              <w:rPr/>
                              <w:drawing>
                                <wp:inline distT="0" distB="0" distL="0" distR="0">
                                  <wp:extent cx="4026535" cy="4016375"/>
                                  <wp:effectExtent l="0" t="0" r="0" b="0"/>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5"/>
                                          <a:stretch>
                                            <a:fillRect/>
                                          </a:stretch>
                                        </pic:blipFill>
                                        <pic:spPr bwMode="auto">
                                          <a:xfrm>
                                            <a:off x="0" y="0"/>
                                            <a:ext cx="4026535" cy="4016375"/>
                                          </a:xfrm>
                                          <a:prstGeom prst="rect">
                                            <a:avLst/>
                                          </a:prstGeom>
                                        </pic:spPr>
                                      </pic:pic>
                                    </a:graphicData>
                                  </a:graphic>
                                </wp:inline>
                              </w:drawing>
                            </w:r>
                            <w:r>
                              <w:rPr/>
                              <w:br/>
                              <w:t xml:space="preserve">Figura </w:t>
                            </w:r>
                            <w:r>
                              <w:rPr/>
                              <w:fldChar w:fldCharType="begin"/>
                            </w:r>
                            <w:r>
                              <w:instrText> SEQ Figura \* ARABIC </w:instrText>
                            </w:r>
                            <w:r>
                              <w:fldChar w:fldCharType="separate"/>
                            </w:r>
                            <w:r>
                              <w:t>3</w:t>
                            </w:r>
                            <w:r>
                              <w:fldChar w:fldCharType="end"/>
                            </w:r>
                            <w:r>
                              <w:rPr/>
                              <w:t xml:space="preserve">: Histograma y curvas de densidades Gamma </w:t>
                            </w:r>
                            <w:r>
                              <w:rPr/>
                              <w:t>para</w:t>
                            </w:r>
                            <w:r>
                              <w:rPr/>
                              <w:t xml:space="preserve"> precipitaciones promedios de la Fig. 2.</w:t>
                            </w:r>
                          </w:p>
                        </w:txbxContent>
                      </wps:txbx>
                      <wps:bodyPr anchor="t" lIns="0" tIns="0" rIns="0" bIns="0">
                        <a:noAutofit/>
                      </wps:bodyPr>
                    </wps:wsp>
                  </a:graphicData>
                </a:graphic>
              </wp:anchor>
            </w:drawing>
          </mc:Choice>
          <mc:Fallback>
            <w:pict>
              <v:rect style="position:absolute;rotation:0;width:317.05pt;height:349.85pt;mso-wrap-distance-left:0pt;mso-wrap-distance-right:0pt;mso-wrap-distance-top:0pt;mso-wrap-distance-bottom:0pt;margin-top:0pt;mso-position-vertical:top;mso-position-vertical-relative:text;margin-left:90.8pt;mso-position-horizontal:center;mso-position-horizontal-relative:text">
                <v:textbox inset="0in,0in,0in,0in">
                  <w:txbxContent>
                    <w:p>
                      <w:pPr>
                        <w:pStyle w:val="Figura"/>
                        <w:spacing w:before="120" w:after="120"/>
                        <w:rPr/>
                      </w:pPr>
                      <w:r>
                        <w:rPr/>
                        <w:drawing>
                          <wp:inline distT="0" distB="0" distL="0" distR="0">
                            <wp:extent cx="4026535" cy="4016375"/>
                            <wp:effectExtent l="0" t="0" r="0" b="0"/>
                            <wp:docPr id="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descr=""/>
                                    <pic:cNvPicPr>
                                      <a:picLocks noChangeAspect="1" noChangeArrowheads="1"/>
                                    </pic:cNvPicPr>
                                  </pic:nvPicPr>
                                  <pic:blipFill>
                                    <a:blip r:embed="rId5"/>
                                    <a:stretch>
                                      <a:fillRect/>
                                    </a:stretch>
                                  </pic:blipFill>
                                  <pic:spPr bwMode="auto">
                                    <a:xfrm>
                                      <a:off x="0" y="0"/>
                                      <a:ext cx="4026535" cy="4016375"/>
                                    </a:xfrm>
                                    <a:prstGeom prst="rect">
                                      <a:avLst/>
                                    </a:prstGeom>
                                  </pic:spPr>
                                </pic:pic>
                              </a:graphicData>
                            </a:graphic>
                          </wp:inline>
                        </w:drawing>
                      </w:r>
                      <w:r>
                        <w:rPr/>
                        <w:br/>
                        <w:t xml:space="preserve">Figura </w:t>
                      </w:r>
                      <w:r>
                        <w:rPr/>
                        <w:fldChar w:fldCharType="begin"/>
                      </w:r>
                      <w:r>
                        <w:instrText> SEQ Figura \* ARABIC </w:instrText>
                      </w:r>
                      <w:r>
                        <w:fldChar w:fldCharType="separate"/>
                      </w:r>
                      <w:r>
                        <w:t>3</w:t>
                      </w:r>
                      <w:r>
                        <w:fldChar w:fldCharType="end"/>
                      </w:r>
                      <w:r>
                        <w:rPr/>
                        <w:t xml:space="preserve">: Histograma y curvas de densidades Gamma </w:t>
                      </w:r>
                      <w:r>
                        <w:rPr/>
                        <w:t>para</w:t>
                      </w:r>
                      <w:r>
                        <w:rPr/>
                        <w:t xml:space="preserve"> precipitaciones promedios de la Fig. 2.</w:t>
                      </w:r>
                    </w:p>
                  </w:txbxContent>
                </v:textbox>
                <w10:wrap type="topAndBottom"/>
              </v:rect>
            </w:pict>
          </mc:Fallback>
        </mc:AlternateContent>
      </w:r>
    </w:p>
    <w:p>
      <w:pPr>
        <w:pStyle w:val="Cuerpodetexto"/>
        <w:jc w:val="both"/>
        <w:rPr/>
      </w:pPr>
      <w:r>
        <w:rPr>
          <w:i w:val="false"/>
          <w:iCs w:val="false"/>
        </w:rPr>
        <w:t>E</w:t>
      </w:r>
      <w:r>
        <w:rPr>
          <w:i w:val="false"/>
          <w:iCs w:val="false"/>
        </w:rPr>
        <w:t xml:space="preserve">l ajuste de los datos a una función de densidad de probabilidades, </w:t>
      </w:r>
      <w:r>
        <w:rPr>
          <w:i w:val="false"/>
          <w:iCs w:val="false"/>
        </w:rPr>
        <w:t xml:space="preserve">sin embargo, </w:t>
      </w:r>
      <w:r>
        <w:rPr>
          <w:i w:val="false"/>
          <w:iCs w:val="false"/>
        </w:rPr>
        <w:t xml:space="preserve">no se hace sobre su totalidad, sino sobre una estratificación de ellos por mes (Guttman, 1999). De esa manera el ajuste en realidad </w:t>
      </w:r>
      <w:r>
        <w:rPr>
          <w:i w:val="false"/>
          <w:iCs w:val="false"/>
        </w:rPr>
        <w:t>resulta en</w:t>
      </w:r>
      <w:r>
        <w:rPr>
          <w:i w:val="false"/>
          <w:iCs w:val="false"/>
        </w:rPr>
        <w:t xml:space="preserve"> una familia de doce funciones, una por mes, </w:t>
      </w:r>
      <w:r>
        <w:rPr>
          <w:i w:val="false"/>
          <w:iCs w:val="false"/>
        </w:rPr>
        <w:t xml:space="preserve">cuya aplicación a una precipitación particular dependería, además, del mes en el que dicha precipitación se ha </w:t>
      </w:r>
      <w:r>
        <w:rPr>
          <w:i/>
          <w:iCs/>
        </w:rPr>
        <w:t>presentado</w:t>
      </w:r>
      <w:r>
        <w:rPr>
          <w:i w:val="false"/>
          <w:iCs w:val="false"/>
        </w:rPr>
        <w:t xml:space="preserve">. La Fig. 4, </w:t>
      </w:r>
      <w:r>
        <w:rPr>
          <w:i w:val="false"/>
          <w:iCs w:val="false"/>
        </w:rPr>
        <w:t>en su lado izquierdo,</w:t>
      </w:r>
      <w:r>
        <w:rPr>
          <w:i w:val="false"/>
          <w:iCs w:val="false"/>
        </w:rPr>
        <w:t xml:space="preserve"> muestra el resultado de este procedimiento aplicado sobre los datos  de la Fig. 2.</w:t>
      </w:r>
    </w:p>
    <w:p>
      <w:pPr>
        <w:pStyle w:val="Cuerpodetexto"/>
        <w:jc w:val="both"/>
        <w:rPr>
          <w:i w:val="false"/>
          <w:i w:val="false"/>
          <w:iCs w:val="false"/>
        </w:rPr>
      </w:pPr>
      <w:r>
        <w:rPr>
          <w:i w:val="false"/>
          <w:iCs w:val="false"/>
        </w:rPr>
      </w:r>
    </w:p>
    <w:p>
      <w:pPr>
        <w:pStyle w:val="Cuerpodetexto"/>
        <w:jc w:val="both"/>
        <w:rPr>
          <w:i w:val="false"/>
          <w:i w:val="false"/>
          <w:iCs w:val="false"/>
        </w:rPr>
      </w:pPr>
      <w:r>
        <w:rPr>
          <w:i w:val="false"/>
          <w:iCs w:val="false"/>
        </w:rPr>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2072005"/>
                <wp:effectExtent l="0" t="0" r="0" b="0"/>
                <wp:wrapSquare wrapText="largest"/>
                <wp:docPr id="10" name="Marco6"/>
                <a:graphic xmlns:a="http://schemas.openxmlformats.org/drawingml/2006/main">
                  <a:graphicData uri="http://schemas.microsoft.com/office/word/2010/wordprocessingShape">
                    <wps:wsp>
                      <wps:cNvSpPr txBox="1"/>
                      <wps:spPr>
                        <a:xfrm>
                          <a:off x="0" y="0"/>
                          <a:ext cx="6332220" cy="2072005"/>
                        </a:xfrm>
                        <a:prstGeom prst="rect"/>
                      </wps:spPr>
                      <wps:txbx>
                        <w:txbxContent>
                          <w:p>
                            <w:pPr>
                              <w:pStyle w:val="Figura"/>
                              <w:spacing w:before="120" w:after="120"/>
                              <w:rPr/>
                            </w:pPr>
                            <w:r>
                              <w:rPr/>
                              <w:drawing>
                                <wp:inline distT="0" distB="0" distL="0" distR="0">
                                  <wp:extent cx="6332220" cy="1645285"/>
                                  <wp:effectExtent l="0" t="0" r="0" b="0"/>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6"/>
                                          <a:stretch>
                                            <a:fillRect/>
                                          </a:stretch>
                                        </pic:blipFill>
                                        <pic:spPr bwMode="auto">
                                          <a:xfrm>
                                            <a:off x="0" y="0"/>
                                            <a:ext cx="6332220" cy="1645285"/>
                                          </a:xfrm>
                                          <a:prstGeom prst="rect">
                                            <a:avLst/>
                                          </a:prstGeom>
                                        </pic:spPr>
                                      </pic:pic>
                                    </a:graphicData>
                                  </a:graphic>
                                </wp:inline>
                              </w:drawing>
                            </w:r>
                            <w:r>
                              <w:rPr/>
                              <w:br/>
                              <w:t xml:space="preserve">Figura </w:t>
                            </w:r>
                            <w:r>
                              <w:rPr/>
                              <w:fldChar w:fldCharType="begin"/>
                            </w:r>
                            <w:r>
                              <w:instrText> SEQ Figura \* ARABIC </w:instrText>
                            </w:r>
                            <w:r>
                              <w:fldChar w:fldCharType="separate"/>
                            </w:r>
                            <w:r>
                              <w:t>4</w:t>
                            </w:r>
                            <w:r>
                              <w:fldChar w:fldCharType="end"/>
                            </w:r>
                            <w:r>
                              <w:rPr/>
                              <w:t xml:space="preserve">: Ajuste de los datos de precipitación </w:t>
                            </w:r>
                            <w:r>
                              <w:rPr/>
                              <w:t>promediada</w:t>
                            </w:r>
                            <w:r>
                              <w:rPr/>
                              <w:t xml:space="preserve"> de la Fig. 2 a doce funciones de densidad y </w:t>
                            </w:r>
                            <w:r>
                              <w:rPr/>
                              <w:t xml:space="preserve">de </w:t>
                            </w:r>
                            <w:r>
                              <w:rPr/>
                              <w:t>distribución de probabilidades</w:t>
                            </w:r>
                          </w:p>
                        </w:txbxContent>
                      </wps:txbx>
                      <wps:bodyPr anchor="t" lIns="0" tIns="0" rIns="0" bIns="0">
                        <a:noAutofit/>
                      </wps:bodyPr>
                    </wps:wsp>
                  </a:graphicData>
                </a:graphic>
              </wp:anchor>
            </w:drawing>
          </mc:Choice>
          <mc:Fallback>
            <w:pict>
              <v:rect style="position:absolute;rotation:0;width:498.6pt;height:163.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a"/>
                        <w:spacing w:before="120" w:after="120"/>
                        <w:rPr/>
                      </w:pPr>
                      <w:r>
                        <w:rPr/>
                        <w:drawing>
                          <wp:inline distT="0" distB="0" distL="0" distR="0">
                            <wp:extent cx="6332220" cy="1645285"/>
                            <wp:effectExtent l="0" t="0" r="0" b="0"/>
                            <wp:docPr id="1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descr=""/>
                                    <pic:cNvPicPr>
                                      <a:picLocks noChangeAspect="1" noChangeArrowheads="1"/>
                                    </pic:cNvPicPr>
                                  </pic:nvPicPr>
                                  <pic:blipFill>
                                    <a:blip r:embed="rId6"/>
                                    <a:stretch>
                                      <a:fillRect/>
                                    </a:stretch>
                                  </pic:blipFill>
                                  <pic:spPr bwMode="auto">
                                    <a:xfrm>
                                      <a:off x="0" y="0"/>
                                      <a:ext cx="6332220" cy="1645285"/>
                                    </a:xfrm>
                                    <a:prstGeom prst="rect">
                                      <a:avLst/>
                                    </a:prstGeom>
                                  </pic:spPr>
                                </pic:pic>
                              </a:graphicData>
                            </a:graphic>
                          </wp:inline>
                        </w:drawing>
                      </w:r>
                      <w:r>
                        <w:rPr/>
                        <w:br/>
                        <w:t xml:space="preserve">Figura </w:t>
                      </w:r>
                      <w:r>
                        <w:rPr/>
                        <w:fldChar w:fldCharType="begin"/>
                      </w:r>
                      <w:r>
                        <w:instrText> SEQ Figura \* ARABIC </w:instrText>
                      </w:r>
                      <w:r>
                        <w:fldChar w:fldCharType="separate"/>
                      </w:r>
                      <w:r>
                        <w:t>4</w:t>
                      </w:r>
                      <w:r>
                        <w:fldChar w:fldCharType="end"/>
                      </w:r>
                      <w:r>
                        <w:rPr/>
                        <w:t xml:space="preserve">: Ajuste de los datos de precipitación </w:t>
                      </w:r>
                      <w:r>
                        <w:rPr/>
                        <w:t>promediada</w:t>
                      </w:r>
                      <w:r>
                        <w:rPr/>
                        <w:t xml:space="preserve"> de la Fig. 2 a doce funciones de densidad y </w:t>
                      </w:r>
                      <w:r>
                        <w:rPr/>
                        <w:t xml:space="preserve">de </w:t>
                      </w:r>
                      <w:r>
                        <w:rPr/>
                        <w:t>distribución de probabilidades</w:t>
                      </w:r>
                    </w:p>
                  </w:txbxContent>
                </v:textbox>
                <w10:wrap type="square" side="largest"/>
              </v:rect>
            </w:pict>
          </mc:Fallback>
        </mc:AlternateContent>
      </w:r>
    </w:p>
    <w:p>
      <w:pPr>
        <w:pStyle w:val="Cuerpodetexto"/>
        <w:jc w:val="both"/>
        <w:rPr/>
      </w:pPr>
      <w:r>
        <w:rPr>
          <w:i w:val="false"/>
          <w:iCs w:val="false"/>
        </w:rPr>
        <w:t>La</w:t>
      </w:r>
      <w:r>
        <w:rPr>
          <w:i w:val="false"/>
          <w:iCs w:val="false"/>
        </w:rPr>
        <w:t>s</w:t>
      </w:r>
      <w:r>
        <w:rPr>
          <w:i w:val="false"/>
          <w:iCs w:val="false"/>
        </w:rPr>
        <w:t xml:space="preserve"> integral</w:t>
      </w:r>
      <w:r>
        <w:rPr>
          <w:i w:val="false"/>
          <w:iCs w:val="false"/>
        </w:rPr>
        <w:t>es</w:t>
      </w:r>
      <w:r>
        <w:rPr>
          <w:i w:val="false"/>
          <w:iCs w:val="false"/>
        </w:rPr>
        <w:t xml:space="preserve"> de las curvas de densidad de probabilidades, mostradas </w:t>
      </w:r>
      <w:r>
        <w:rPr>
          <w:i w:val="false"/>
          <w:iCs w:val="false"/>
        </w:rPr>
        <w:t xml:space="preserve">en </w:t>
      </w:r>
      <w:r>
        <w:rPr>
          <w:i w:val="false"/>
          <w:iCs w:val="false"/>
        </w:rPr>
        <w:t xml:space="preserve">gráfico de </w:t>
      </w:r>
      <w:r>
        <w:rPr>
          <w:i w:val="false"/>
          <w:iCs w:val="false"/>
        </w:rPr>
        <w:t>la izquierda de</w:t>
      </w:r>
      <w:r>
        <w:rPr>
          <w:i w:val="false"/>
          <w:iCs w:val="false"/>
        </w:rPr>
        <w:t xml:space="preserve"> la Fig. </w:t>
      </w:r>
      <w:r>
        <w:rPr>
          <w:i w:val="false"/>
          <w:iCs w:val="false"/>
        </w:rPr>
        <w:t>4</w:t>
      </w:r>
      <w:r>
        <w:rPr>
          <w:i w:val="false"/>
          <w:iCs w:val="false"/>
        </w:rPr>
        <w:t>, corresponde</w:t>
      </w:r>
      <w:r>
        <w:rPr>
          <w:i w:val="false"/>
          <w:iCs w:val="false"/>
        </w:rPr>
        <w:t>n</w:t>
      </w:r>
      <w:r>
        <w:rPr>
          <w:i w:val="false"/>
          <w:iCs w:val="false"/>
        </w:rPr>
        <w:t xml:space="preserve"> a </w:t>
      </w:r>
      <w:r>
        <w:rPr>
          <w:i w:val="false"/>
          <w:iCs w:val="false"/>
        </w:rPr>
        <w:t>las</w:t>
      </w:r>
      <w:r>
        <w:rPr>
          <w:i w:val="false"/>
          <w:iCs w:val="false"/>
        </w:rPr>
        <w:t xml:space="preserve"> curva</w:t>
      </w:r>
      <w:r>
        <w:rPr>
          <w:i w:val="false"/>
          <w:iCs w:val="false"/>
        </w:rPr>
        <w:t>s</w:t>
      </w:r>
      <w:r>
        <w:rPr>
          <w:i w:val="false"/>
          <w:iCs w:val="false"/>
        </w:rPr>
        <w:t xml:space="preserve"> acumulada</w:t>
      </w:r>
      <w:r>
        <w:rPr>
          <w:i w:val="false"/>
          <w:iCs w:val="false"/>
        </w:rPr>
        <w:t>s</w:t>
      </w:r>
      <w:r>
        <w:rPr>
          <w:i w:val="false"/>
          <w:iCs w:val="false"/>
        </w:rPr>
        <w:t xml:space="preserve"> o funci</w:t>
      </w:r>
      <w:r>
        <w:rPr>
          <w:i w:val="false"/>
          <w:iCs w:val="false"/>
        </w:rPr>
        <w:t>ones</w:t>
      </w:r>
      <w:r>
        <w:rPr>
          <w:i w:val="false"/>
          <w:iCs w:val="false"/>
        </w:rPr>
        <w:t xml:space="preserve"> de distribución de probabilidades, como la</w:t>
      </w:r>
      <w:r>
        <w:rPr>
          <w:i w:val="false"/>
          <w:iCs w:val="false"/>
        </w:rPr>
        <w:t>s</w:t>
      </w:r>
      <w:r>
        <w:rPr>
          <w:i w:val="false"/>
          <w:iCs w:val="false"/>
        </w:rPr>
        <w:t xml:space="preserve"> que se muestra en </w:t>
      </w:r>
      <w:r>
        <w:rPr>
          <w:i w:val="false"/>
          <w:iCs w:val="false"/>
        </w:rPr>
        <w:t>el gráfico de</w:t>
      </w:r>
      <w:r>
        <w:rPr>
          <w:i w:val="false"/>
          <w:iCs w:val="false"/>
        </w:rPr>
        <w:t xml:space="preserve"> </w:t>
      </w:r>
      <w:r>
        <w:rPr>
          <w:i w:val="false"/>
          <w:iCs w:val="false"/>
        </w:rPr>
        <w:t>derecha</w:t>
      </w:r>
      <w:r>
        <w:rPr>
          <w:i w:val="false"/>
          <w:iCs w:val="false"/>
        </w:rPr>
        <w:t xml:space="preserve"> de la </w:t>
      </w:r>
      <w:r>
        <w:rPr>
          <w:i w:val="false"/>
          <w:iCs w:val="false"/>
        </w:rPr>
        <w:t>misma figura</w:t>
      </w:r>
      <w:r>
        <w:rPr>
          <w:i w:val="false"/>
          <w:iCs w:val="false"/>
        </w:rPr>
        <w:t xml:space="preserve">, </w:t>
      </w:r>
      <w:r>
        <w:rPr>
          <w:i w:val="false"/>
          <w:iCs w:val="false"/>
        </w:rPr>
        <w:t>etiquetad</w:t>
      </w:r>
      <w:r>
        <w:rPr>
          <w:i w:val="false"/>
          <w:iCs w:val="false"/>
        </w:rPr>
        <w:t>o</w:t>
      </w:r>
      <w:r>
        <w:rPr>
          <w:i w:val="false"/>
          <w:iCs w:val="false"/>
        </w:rPr>
        <w:t xml:space="preserve"> como </w:t>
      </w:r>
      <w:r>
        <w:rPr>
          <w:i/>
          <w:iCs/>
        </w:rPr>
        <w:t>Gamma</w:t>
      </w:r>
      <w:r>
        <w:rPr>
          <w:i/>
          <w:iCs/>
        </w:rPr>
        <w:t>s</w:t>
      </w:r>
      <w:r>
        <w:rPr>
          <w:i/>
          <w:iCs/>
        </w:rPr>
        <w:t xml:space="preserve"> </w:t>
      </w:r>
      <w:r>
        <w:rPr>
          <w:i/>
          <w:iCs/>
        </w:rPr>
        <w:t>Acumuladas</w:t>
      </w:r>
      <w:r>
        <w:rPr>
          <w:i w:val="false"/>
          <w:iCs w:val="false"/>
        </w:rPr>
        <w:t xml:space="preserve">. </w:t>
      </w:r>
      <w:r>
        <w:rPr>
          <w:i w:val="false"/>
          <w:iCs w:val="false"/>
        </w:rPr>
        <w:t xml:space="preserve">Estas funciones de distribución de probabilidades o de densidades acumuladas, son las que se utilizan para el cálculo del SPI. </w:t>
      </w:r>
      <w:r>
        <w:rPr>
          <w:i w:val="false"/>
          <w:iCs w:val="false"/>
        </w:rPr>
        <w:t>P</w:t>
      </w:r>
      <w:r>
        <w:rPr>
          <w:i w:val="false"/>
          <w:iCs w:val="false"/>
        </w:rPr>
        <w:t xml:space="preserve">or ejemplo, </w:t>
      </w:r>
      <w:r>
        <w:rPr>
          <w:i w:val="false"/>
          <w:iCs w:val="false"/>
        </w:rPr>
        <w:t>en el gráfico de la izquierda de la Fig 5, se ha aislado la curva de distribución de probabilidades Gamma correspondiente al 6</w:t>
      </w:r>
      <w:r>
        <w:rPr>
          <w:i w:val="false"/>
          <w:iCs w:val="false"/>
          <w:vertAlign w:val="superscript"/>
        </w:rPr>
        <w:t xml:space="preserve">o </w:t>
      </w:r>
      <w:r>
        <w:rPr>
          <w:i w:val="false"/>
          <w:iCs w:val="false"/>
        </w:rPr>
        <w:t xml:space="preserve"> </w:t>
      </w:r>
      <w:r>
        <w:rPr>
          <w:i w:val="false"/>
          <w:iCs w:val="false"/>
        </w:rPr>
        <w:t xml:space="preserve">mes (junio) ajustada </w:t>
      </w:r>
      <w:r>
        <w:rPr>
          <w:i w:val="false"/>
          <w:iCs w:val="false"/>
        </w:rPr>
        <w:t xml:space="preserve">para </w:t>
      </w:r>
      <w:r>
        <w:rPr>
          <w:i w:val="false"/>
          <w:iCs w:val="false"/>
        </w:rPr>
        <w:t xml:space="preserve">los datos de </w:t>
      </w:r>
      <w:r>
        <w:rPr>
          <w:i w:val="false"/>
          <w:iCs w:val="false"/>
        </w:rPr>
        <w:t>la Cuenca del Río Usumacinta</w:t>
      </w:r>
      <w:r>
        <w:rPr>
          <w:i w:val="false"/>
          <w:iCs w:val="false"/>
        </w:rPr>
        <w:t xml:space="preserve">, </w:t>
      </w:r>
      <w:r>
        <w:rPr>
          <w:i w:val="false"/>
          <w:iCs w:val="false"/>
        </w:rPr>
        <w:t>y ahí</w:t>
      </w:r>
      <w:r>
        <w:rPr>
          <w:i w:val="false"/>
          <w:iCs w:val="false"/>
        </w:rPr>
        <w:t>,</w:t>
      </w:r>
      <w:r>
        <w:rPr>
          <w:i w:val="false"/>
          <w:iCs w:val="false"/>
        </w:rPr>
        <w:t xml:space="preserve"> para una precipitación de </w:t>
      </w:r>
      <w:r>
        <w:rPr>
          <w:i w:val="false"/>
          <w:iCs w:val="false"/>
        </w:rPr>
        <w:t xml:space="preserve">6.3 mm/día, </w:t>
      </w:r>
      <w:r>
        <w:rPr>
          <w:i w:val="false"/>
          <w:iCs w:val="false"/>
        </w:rPr>
        <w:t xml:space="preserve">con </w:t>
      </w:r>
      <w:r>
        <w:rPr>
          <w:i w:val="false"/>
          <w:iCs w:val="false"/>
        </w:rPr>
        <w:t>dicha</w:t>
      </w:r>
      <w:r>
        <w:rPr>
          <w:i w:val="false"/>
          <w:iCs w:val="false"/>
        </w:rPr>
        <w:t xml:space="preserve"> función </w:t>
      </w:r>
      <w:r>
        <w:rPr>
          <w:i w:val="false"/>
          <w:iCs w:val="false"/>
        </w:rPr>
        <w:t>se obtiene</w:t>
      </w:r>
      <w:r>
        <w:rPr>
          <w:i w:val="false"/>
          <w:iCs w:val="false"/>
        </w:rPr>
        <w:t xml:space="preserve"> una probabilidad de </w:t>
      </w:r>
      <w:bookmarkStart w:id="0" w:name="rstudio_console_output"/>
      <w:bookmarkEnd w:id="0"/>
      <w:r>
        <w:rPr>
          <w:sz w:val="24"/>
          <w:szCs w:val="24"/>
        </w:rPr>
        <w:t>0.797;</w:t>
      </w:r>
      <w:r>
        <w:rPr>
          <w:sz w:val="21"/>
        </w:rPr>
        <w:t xml:space="preserve"> </w:t>
      </w:r>
      <w:r>
        <w:rPr>
          <w:sz w:val="24"/>
          <w:szCs w:val="24"/>
        </w:rPr>
        <w:t>esto es</w:t>
      </w:r>
      <w:r>
        <w:rPr>
          <w:sz w:val="21"/>
        </w:rPr>
        <w:t xml:space="preserve">, </w:t>
      </w:r>
      <w:r>
        <w:rPr>
          <w:i w:val="false"/>
          <w:iCs w:val="false"/>
        </w:rPr>
        <w:t xml:space="preserve">P(X </w:t>
      </w:r>
      <w:r>
        <w:rPr>
          <w:rFonts w:eastAsia="Liberation Serif" w:cs="Liberation Serif" w:ascii="Liberation Serif" w:hAnsi="Liberation Serif"/>
          <w:i w:val="false"/>
          <w:iCs w:val="false"/>
        </w:rPr>
        <w:t>≤</w:t>
      </w:r>
      <w:r>
        <w:rPr>
          <w:i w:val="false"/>
          <w:iCs w:val="false"/>
        </w:rPr>
        <w:t xml:space="preserve"> </w:t>
      </w:r>
      <w:r>
        <w:rPr>
          <w:i w:val="false"/>
          <w:iCs w:val="false"/>
        </w:rPr>
        <w:t>6.3</w:t>
      </w:r>
      <w:r>
        <w:rPr>
          <w:i w:val="false"/>
          <w:iCs w:val="false"/>
        </w:rPr>
        <w:t xml:space="preserve">) = </w:t>
      </w:r>
      <w:r>
        <w:rPr>
          <w:i w:val="false"/>
          <w:iCs w:val="false"/>
        </w:rPr>
        <w:t>0.797.</w:t>
      </w:r>
    </w:p>
    <w:p>
      <w:pPr>
        <w:pStyle w:val="Encabezado2"/>
        <w:numPr>
          <w:ilvl w:val="1"/>
          <w:numId w:val="1"/>
        </w:numPr>
        <w:ind w:left="0" w:right="0" w:hanging="0"/>
        <w:rPr/>
      </w:pPr>
      <w:r>
        <w:rPr/>
        <w:t>Mapeo de datos a una distribución normal estandarizada</w:t>
      </w:r>
    </w:p>
    <w:p>
      <w:pPr>
        <w:pStyle w:val="Cuerpodetexto"/>
        <w:jc w:val="both"/>
        <w:rPr/>
      </w:pPr>
      <w:r>
        <w:rPr/>
        <w:t xml:space="preserve">Para mapear una precipitación, </w:t>
      </w:r>
      <w:r>
        <w:rPr>
          <w:i/>
          <w:iCs/>
        </w:rPr>
        <w:t>x</w:t>
      </w:r>
      <w:r>
        <w:rPr/>
        <w:t xml:space="preserve">, </w:t>
      </w:r>
      <w:r>
        <w:rPr/>
        <w:t xml:space="preserve">ocurrida en el mes </w:t>
      </w:r>
      <w:r>
        <w:rPr>
          <w:i/>
          <w:iCs/>
        </w:rPr>
        <w:t>m,</w:t>
      </w:r>
      <w:r>
        <w:rPr/>
        <w:t xml:space="preserve"> registrada por una </w:t>
      </w:r>
      <w:r>
        <w:rPr/>
        <w:t xml:space="preserve">de las </w:t>
      </w:r>
      <w:r>
        <w:rPr/>
        <w:t>curva</w:t>
      </w:r>
      <w:r>
        <w:rPr/>
        <w:t>s</w:t>
      </w:r>
      <w:r>
        <w:rPr/>
        <w:t xml:space="preserve"> de distribución Gamma, </w:t>
      </w:r>
      <w:r>
        <w:rPr/>
        <w:t xml:space="preserve">pertenecientes a la familia de funciones </w:t>
      </w:r>
      <w:r>
        <w:rPr>
          <w:b/>
          <w:bCs/>
          <w:i/>
          <w:iCs/>
        </w:rPr>
        <w:t xml:space="preserve">G </w:t>
      </w:r>
      <w:r>
        <w:rPr>
          <w:b w:val="false"/>
          <w:bCs w:val="false"/>
          <w:i w:val="false"/>
          <w:iCs w:val="false"/>
        </w:rPr>
        <w:t>y representada por la función</w:t>
      </w:r>
      <w:r>
        <w:rPr/>
        <w:t xml:space="preserve"> </w:t>
      </w:r>
      <w:r>
        <w:rPr>
          <w:b/>
          <w:bCs/>
          <w:i/>
          <w:iCs/>
        </w:rPr>
        <w:t>G</w:t>
      </w:r>
      <w:r>
        <w:rPr>
          <w:i w:val="false"/>
          <w:iCs w:val="false"/>
        </w:rPr>
        <w:t>()</w:t>
      </w:r>
      <w:r>
        <w:rPr/>
        <w:t xml:space="preserve">, a un valor determinado por una </w:t>
      </w:r>
      <w:r>
        <w:rPr/>
        <w:t>función</w:t>
      </w:r>
      <w:r>
        <w:rPr/>
        <w:t xml:space="preserve"> de distribución normal estandarizada, </w:t>
      </w:r>
      <w:r>
        <w:rPr>
          <w:i/>
          <w:iCs/>
        </w:rPr>
        <w:t>N</w:t>
      </w:r>
      <w:r>
        <w:rPr/>
        <w:t xml:space="preserve">(), </w:t>
      </w:r>
      <w:r>
        <w:rPr/>
        <w:t xml:space="preserve">con media 0 y desviación estándar 1, se compone la función </w:t>
      </w:r>
      <w:r>
        <w:rPr>
          <w:b/>
          <w:bCs/>
          <w:i/>
          <w:iCs/>
        </w:rPr>
        <w:t>G</w:t>
      </w:r>
      <w:r>
        <w:rPr/>
        <w:t>()</w:t>
      </w:r>
      <w:r>
        <w:rPr/>
        <w:t>, con la inversa de la función de distribución normal estan</w:t>
      </w:r>
      <w:r>
        <w:rPr/>
        <w:t>d</w:t>
      </w:r>
      <w:r>
        <w:rPr/>
        <w:t xml:space="preserve">arizada, también conocida como </w:t>
      </w:r>
      <w:r>
        <w:rPr/>
        <w:t xml:space="preserve">la </w:t>
      </w:r>
      <w:r>
        <w:rPr/>
        <w:t xml:space="preserve">función </w:t>
      </w:r>
      <w:r>
        <w:rPr>
          <w:i/>
          <w:iCs/>
        </w:rPr>
        <w:t>cuantil</w:t>
      </w:r>
      <w:r>
        <w:rPr/>
        <w:t xml:space="preserve"> </w:t>
      </w:r>
      <w:r>
        <w:rPr/>
        <w:t xml:space="preserve">de dicha distribución, </w:t>
      </w:r>
      <w:r>
        <w:rPr>
          <w:i/>
          <w:iCs/>
        </w:rPr>
        <w:t>Q</w:t>
      </w:r>
      <w:r>
        <w:rPr>
          <w:i/>
          <w:iCs/>
          <w:vertAlign w:val="subscript"/>
        </w:rPr>
        <w:t>N</w:t>
      </w:r>
      <w:r>
        <w:rPr/>
        <w:t>(), de la siguiente manera:</w:t>
      </w:r>
    </w:p>
    <w:p>
      <w:pPr>
        <w:pStyle w:val="Cuerpodetexto"/>
        <w:jc w:val="center"/>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400300" cy="205740"/>
            <wp:effectExtent l="0" t="0" r="0" b="0"/>
            <wp:wrapSquare wrapText="largest"/>
            <wp:docPr id="13"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5" descr=""/>
                    <pic:cNvPicPr>
                      <a:picLocks noChangeAspect="1" noChangeArrowheads="1"/>
                    </pic:cNvPicPr>
                  </pic:nvPicPr>
                  <pic:blipFill>
                    <a:blip r:embed="rId7"/>
                    <a:stretch>
                      <a:fillRect/>
                    </a:stretch>
                  </pic:blipFill>
                  <pic:spPr bwMode="auto">
                    <a:xfrm>
                      <a:off x="0" y="0"/>
                      <a:ext cx="2400300" cy="205740"/>
                    </a:xfrm>
                    <a:prstGeom prst="rect">
                      <a:avLst/>
                    </a:prstGeom>
                  </pic:spPr>
                </pic:pic>
              </a:graphicData>
            </a:graphic>
          </wp:anchor>
        </w:drawing>
      </w:r>
    </w:p>
    <w:p>
      <w:pPr>
        <w:pStyle w:val="Cuerpodetexto"/>
        <w:jc w:val="both"/>
        <w:rPr/>
      </w:pPr>
      <w:r>
        <w:rPr/>
        <w:t xml:space="preserve">donde </w:t>
      </w:r>
      <w:r>
        <w:rPr>
          <w:i/>
          <w:iCs/>
        </w:rPr>
        <w:t xml:space="preserve">x </w:t>
      </w:r>
      <w:r>
        <w:rPr>
          <w:i w:val="false"/>
          <w:iCs w:val="false"/>
        </w:rPr>
        <w:t xml:space="preserve">es la precipitación, </w:t>
      </w:r>
      <w:r>
        <w:rPr>
          <w:i/>
          <w:iCs/>
        </w:rPr>
        <w:t xml:space="preserve">m </w:t>
      </w:r>
      <w:r>
        <w:rPr>
          <w:i w:val="false"/>
          <w:iCs w:val="false"/>
        </w:rPr>
        <w:t xml:space="preserve">es el mes en el que ocurrió dicha precipitación, </w:t>
      </w:r>
      <w:r>
        <w:rPr>
          <w:i/>
          <w:iCs/>
        </w:rPr>
        <w:t>y</w:t>
      </w:r>
      <w:r>
        <w:rPr>
          <w:i w:val="false"/>
          <w:iCs w:val="false"/>
        </w:rPr>
        <w:t xml:space="preserve"> la composición de las funciones </w:t>
      </w:r>
      <w:r>
        <w:rPr>
          <w:b/>
          <w:bCs/>
          <w:i/>
          <w:iCs/>
        </w:rPr>
        <w:t>G</w:t>
      </w:r>
      <w:r>
        <w:rPr>
          <w:i/>
          <w:iCs/>
        </w:rPr>
        <w:t xml:space="preserve"> </w:t>
      </w:r>
      <w:r>
        <w:rPr>
          <w:i w:val="false"/>
          <w:iCs w:val="false"/>
        </w:rPr>
        <w:t xml:space="preserve">seguida de </w:t>
      </w:r>
      <w:r>
        <w:rPr>
          <w:i/>
          <w:iCs/>
        </w:rPr>
        <w:t>Q</w:t>
      </w:r>
      <w:r>
        <w:rPr>
          <w:i/>
          <w:iCs/>
          <w:vertAlign w:val="subscript"/>
        </w:rPr>
        <w:t>N</w:t>
      </w:r>
      <w:r>
        <w:rPr>
          <w:i/>
          <w:iCs/>
        </w:rPr>
        <w:t xml:space="preserve"> </w:t>
      </w:r>
      <w:r>
        <w:rPr>
          <w:i w:val="false"/>
          <w:iCs w:val="false"/>
        </w:rPr>
        <w:t xml:space="preserve">aplicada a dicha precipitación </w:t>
      </w:r>
      <w:r>
        <w:rPr>
          <w:i w:val="false"/>
          <w:iCs w:val="false"/>
        </w:rPr>
        <w:t>y mes,</w:t>
      </w:r>
      <w:r>
        <w:rPr>
          <w:i/>
          <w:iCs/>
        </w:rPr>
        <w:t xml:space="preserve"> </w:t>
      </w:r>
      <w:r>
        <w:rPr>
          <w:i w:val="false"/>
          <w:iCs w:val="false"/>
        </w:rPr>
        <w:t>es</w:t>
      </w:r>
      <w:r>
        <w:rPr>
          <w:i w:val="false"/>
          <w:iCs w:val="false"/>
        </w:rPr>
        <w:t xml:space="preserve"> </w:t>
      </w:r>
      <w:r>
        <w:rPr>
          <w:b/>
          <w:bCs/>
          <w:i/>
          <w:iCs/>
        </w:rPr>
        <w:t>spi</w:t>
      </w:r>
      <w:r>
        <w:rPr>
          <w:b w:val="false"/>
          <w:bCs w:val="false"/>
          <w:i/>
          <w:iCs/>
        </w:rPr>
        <w:t>(x,</w:t>
      </w:r>
      <w:r>
        <w:rPr>
          <w:b w:val="false"/>
          <w:bCs w:val="false"/>
          <w:i/>
          <w:iCs/>
        </w:rPr>
        <w:t>m</w:t>
      </w:r>
      <w:r>
        <w:rPr>
          <w:b w:val="false"/>
          <w:bCs w:val="false"/>
          <w:i/>
          <w:iCs/>
        </w:rPr>
        <w:t>)</w:t>
      </w:r>
      <w:r>
        <w:rPr>
          <w:b w:val="false"/>
          <w:bCs w:val="false"/>
          <w:i w:val="false"/>
          <w:iCs w:val="false"/>
        </w:rPr>
        <w:t xml:space="preserve">, que es el </w:t>
      </w:r>
      <w:r>
        <w:rPr>
          <w:b w:val="false"/>
          <w:bCs w:val="false"/>
          <w:i/>
          <w:iCs/>
        </w:rPr>
        <w:t>índice de precipitación estandarizado correspondiente</w:t>
      </w:r>
      <w:r>
        <w:rPr>
          <w:b w:val="false"/>
          <w:bCs w:val="false"/>
          <w:i w:val="false"/>
          <w:iCs w:val="false"/>
        </w:rPr>
        <w:t xml:space="preserve"> a la precipitación </w:t>
      </w:r>
      <w:r>
        <w:rPr>
          <w:b w:val="false"/>
          <w:bCs w:val="false"/>
          <w:i/>
          <w:iCs/>
        </w:rPr>
        <w:t>x</w:t>
      </w:r>
      <w:r>
        <w:rPr>
          <w:b w:val="false"/>
          <w:bCs w:val="false"/>
          <w:i w:val="false"/>
          <w:iCs w:val="false"/>
        </w:rPr>
        <w:t xml:space="preserve"> </w:t>
      </w:r>
      <w:r>
        <w:rPr>
          <w:b w:val="false"/>
          <w:bCs w:val="false"/>
          <w:i w:val="false"/>
          <w:iCs w:val="false"/>
        </w:rPr>
        <w:t xml:space="preserve">ocurrida </w:t>
      </w:r>
      <w:r>
        <w:rPr>
          <w:b w:val="false"/>
          <w:bCs w:val="false"/>
          <w:i w:val="false"/>
          <w:iCs w:val="false"/>
        </w:rPr>
        <w:t xml:space="preserve">en el mes </w:t>
      </w:r>
      <w:r>
        <w:rPr>
          <w:b w:val="false"/>
          <w:bCs w:val="false"/>
          <w:i/>
          <w:iCs/>
        </w:rPr>
        <w:t>m.</w:t>
      </w:r>
    </w:p>
    <w:p>
      <w:pPr>
        <w:pStyle w:val="Cuerpodetexto"/>
        <w:jc w:val="both"/>
        <w:rPr/>
      </w:pPr>
      <w:r>
        <w:rPr/>
        <w:t xml:space="preserve">La Fig. 4 ilustra la mecánica de la operación anterior para el caso de la cuenca analizada, de tal manera que si se entra con una </w:t>
      </w:r>
      <w:r>
        <w:rPr/>
        <w:t>precipitación de 6.3 mm/día, correspondiente al 6</w:t>
      </w:r>
      <w:r>
        <w:rPr>
          <w:vertAlign w:val="superscript"/>
        </w:rPr>
        <w:t>o</w:t>
      </w:r>
      <w:r>
        <w:rPr/>
        <w:t xml:space="preserve"> mes, la función Gamma arrojaría una probabilidad de 0.797, misma que se usa como entrada para la función cuantil o inversa de la función Normal, para entregar a la salida un valor del índice de precipitación estandarizado de 0.832.</w:t>
      </w:r>
    </w:p>
    <w:p>
      <w:pPr>
        <w:pStyle w:val="Cuerpodetexto"/>
        <w:jc w:val="both"/>
        <w:rPr/>
      </w:pPr>
      <w:r>
        <w:rPr/>
      </w:r>
    </w:p>
    <w:p>
      <w:pPr>
        <w:pStyle w:val="Cuerpodetexto"/>
        <w:jc w:val="center"/>
        <w:rPr>
          <w:i w:val="false"/>
          <w:i w:val="false"/>
          <w:iCs w:val="false"/>
        </w:rPr>
      </w:pPr>
      <w:r>
        <w:rPr>
          <w:i w:val="false"/>
          <w:iCs w:val="false"/>
        </w:rPr>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051935" cy="3225165"/>
                <wp:effectExtent l="0" t="0" r="0" b="0"/>
                <wp:wrapSquare wrapText="largest"/>
                <wp:docPr id="14" name="Marco4"/>
                <a:graphic xmlns:a="http://schemas.openxmlformats.org/drawingml/2006/main">
                  <a:graphicData uri="http://schemas.microsoft.com/office/word/2010/wordprocessingShape">
                    <wps:wsp>
                      <wps:cNvSpPr txBox="1"/>
                      <wps:spPr>
                        <a:xfrm>
                          <a:off x="0" y="0"/>
                          <a:ext cx="4051935" cy="3225165"/>
                        </a:xfrm>
                        <a:prstGeom prst="rect"/>
                      </wps:spPr>
                      <wps:txbx>
                        <w:txbxContent>
                          <w:p>
                            <w:pPr>
                              <w:pStyle w:val="Figura"/>
                              <w:spacing w:before="120" w:after="120"/>
                              <w:rPr/>
                            </w:pPr>
                            <w:r>
                              <w:rPr/>
                              <w:br/>
                              <w:drawing>
                                <wp:inline distT="0" distB="0" distL="0" distR="0">
                                  <wp:extent cx="4051935" cy="2348865"/>
                                  <wp:effectExtent l="0" t="0" r="0" b="0"/>
                                  <wp:docPr id="1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descr=""/>
                                          <pic:cNvPicPr>
                                            <a:picLocks noChangeAspect="1" noChangeArrowheads="1"/>
                                          </pic:cNvPicPr>
                                        </pic:nvPicPr>
                                        <pic:blipFill>
                                          <a:blip r:embed="rId8"/>
                                          <a:stretch>
                                            <a:fillRect/>
                                          </a:stretch>
                                        </pic:blipFill>
                                        <pic:spPr bwMode="auto">
                                          <a:xfrm>
                                            <a:off x="0" y="0"/>
                                            <a:ext cx="4051935" cy="2348865"/>
                                          </a:xfrm>
                                          <a:prstGeom prst="rect">
                                            <a:avLst/>
                                          </a:prstGeom>
                                        </pic:spPr>
                                      </pic:pic>
                                    </a:graphicData>
                                  </a:graphic>
                                </wp:inline>
                              </w:drawing>
                            </w:r>
                            <w:r>
                              <w:rPr/>
                              <w:t xml:space="preserve">Figura </w:t>
                            </w:r>
                            <w:r>
                              <w:rPr/>
                              <w:fldChar w:fldCharType="begin"/>
                            </w:r>
                            <w:r>
                              <w:instrText> SEQ Figura \* ARABIC </w:instrText>
                            </w:r>
                            <w:r>
                              <w:fldChar w:fldCharType="separate"/>
                            </w:r>
                            <w:r>
                              <w:t>5</w:t>
                            </w:r>
                            <w:r>
                              <w:fldChar w:fldCharType="end"/>
                            </w:r>
                            <w:r>
                              <w:rPr/>
                              <w:t xml:space="preserve">: Mapeo entre dos distribuciones de probabilidad. </w:t>
                            </w:r>
                            <w:r>
                              <w:rPr/>
                              <w:t>La distribución Gamma es la ajustada para las precipitaciones ocurridas en el 6</w:t>
                            </w:r>
                            <w:r>
                              <w:rPr>
                                <w:vertAlign w:val="superscript"/>
                              </w:rPr>
                              <w:t>o</w:t>
                            </w:r>
                            <w:r>
                              <w:rPr/>
                              <w:t xml:space="preserve"> mes de la serie de precipitaciones promediadas de la Fig. 2.</w:t>
                            </w:r>
                          </w:p>
                        </w:txbxContent>
                      </wps:txbx>
                      <wps:bodyPr anchor="t" lIns="0" tIns="0" rIns="0" bIns="0">
                        <a:noAutofit/>
                      </wps:bodyPr>
                    </wps:wsp>
                  </a:graphicData>
                </a:graphic>
              </wp:anchor>
            </w:drawing>
          </mc:Choice>
          <mc:Fallback>
            <w:pict>
              <v:rect style="position:absolute;rotation:0;width:319.05pt;height:253.95pt;mso-wrap-distance-left:0pt;mso-wrap-distance-right:0pt;mso-wrap-distance-top:0pt;mso-wrap-distance-bottom:0pt;margin-top:0pt;mso-position-vertical:top;mso-position-vertical-relative:text;margin-left:89.8pt;mso-position-horizontal:center;mso-position-horizontal-relative:text">
                <v:textbox inset="0in,0in,0in,0in">
                  <w:txbxContent>
                    <w:p>
                      <w:pPr>
                        <w:pStyle w:val="Figura"/>
                        <w:spacing w:before="120" w:after="120"/>
                        <w:rPr/>
                      </w:pPr>
                      <w:r>
                        <w:rPr/>
                        <w:br/>
                        <w:drawing>
                          <wp:inline distT="0" distB="0" distL="0" distR="0">
                            <wp:extent cx="4051935" cy="2348865"/>
                            <wp:effectExtent l="0" t="0" r="0" b="0"/>
                            <wp:docPr id="1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 descr=""/>
                                    <pic:cNvPicPr>
                                      <a:picLocks noChangeAspect="1" noChangeArrowheads="1"/>
                                    </pic:cNvPicPr>
                                  </pic:nvPicPr>
                                  <pic:blipFill>
                                    <a:blip r:embed="rId8"/>
                                    <a:stretch>
                                      <a:fillRect/>
                                    </a:stretch>
                                  </pic:blipFill>
                                  <pic:spPr bwMode="auto">
                                    <a:xfrm>
                                      <a:off x="0" y="0"/>
                                      <a:ext cx="4051935" cy="2348865"/>
                                    </a:xfrm>
                                    <a:prstGeom prst="rect">
                                      <a:avLst/>
                                    </a:prstGeom>
                                  </pic:spPr>
                                </pic:pic>
                              </a:graphicData>
                            </a:graphic>
                          </wp:inline>
                        </w:drawing>
                      </w:r>
                      <w:r>
                        <w:rPr/>
                        <w:t xml:space="preserve">Figura </w:t>
                      </w:r>
                      <w:r>
                        <w:rPr/>
                        <w:fldChar w:fldCharType="begin"/>
                      </w:r>
                      <w:r>
                        <w:instrText> SEQ Figura \* ARABIC </w:instrText>
                      </w:r>
                      <w:r>
                        <w:fldChar w:fldCharType="separate"/>
                      </w:r>
                      <w:r>
                        <w:t>5</w:t>
                      </w:r>
                      <w:r>
                        <w:fldChar w:fldCharType="end"/>
                      </w:r>
                      <w:r>
                        <w:rPr/>
                        <w:t xml:space="preserve">: Mapeo entre dos distribuciones de probabilidad. </w:t>
                      </w:r>
                      <w:r>
                        <w:rPr/>
                        <w:t>La distribución Gamma es la ajustada para las precipitaciones ocurridas en el 6</w:t>
                      </w:r>
                      <w:r>
                        <w:rPr>
                          <w:vertAlign w:val="superscript"/>
                        </w:rPr>
                        <w:t>o</w:t>
                      </w:r>
                      <w:r>
                        <w:rPr/>
                        <w:t xml:space="preserve"> mes de la serie de precipitaciones promediadas de la Fig. 2.</w:t>
                      </w:r>
                    </w:p>
                  </w:txbxContent>
                </v:textbox>
                <w10:wrap type="square" side="largest"/>
              </v:rect>
            </w:pict>
          </mc:Fallback>
        </mc:AlternateContent>
      </w:r>
    </w:p>
    <w:p>
      <w:pPr>
        <w:pStyle w:val="Cuerpodetexto"/>
        <w:jc w:val="center"/>
        <w:rPr>
          <w:i w:val="false"/>
          <w:i w:val="false"/>
          <w:iCs w:val="false"/>
        </w:rPr>
      </w:pPr>
      <w:r>
        <w:rPr>
          <w:i w:val="false"/>
          <w:iCs w:val="false"/>
        </w:rPr>
      </w:r>
    </w:p>
    <w:p>
      <w:pPr>
        <w:pStyle w:val="Cuerpodetexto"/>
        <w:jc w:val="center"/>
        <w:rPr>
          <w:i w:val="false"/>
          <w:i w:val="false"/>
          <w:iCs w:val="false"/>
        </w:rPr>
      </w:pPr>
      <w:r>
        <w:rPr>
          <w:i w:val="false"/>
          <w:iCs w:val="false"/>
        </w:rPr>
      </w:r>
    </w:p>
    <w:p>
      <w:pPr>
        <w:pStyle w:val="Cuerpodetexto"/>
        <w:jc w:val="center"/>
        <w:rPr>
          <w:i w:val="false"/>
          <w:i w:val="false"/>
          <w:iCs w:val="false"/>
        </w:rPr>
      </w:pPr>
      <w:r>
        <w:rPr>
          <w:i w:val="false"/>
          <w:iCs w:val="false"/>
        </w:rPr>
      </w:r>
    </w:p>
    <w:p>
      <w:pPr>
        <w:pStyle w:val="Cuerpodetexto"/>
        <w:jc w:val="center"/>
        <w:rPr>
          <w:i w:val="false"/>
          <w:i w:val="false"/>
          <w:iCs w:val="false"/>
        </w:rPr>
      </w:pPr>
      <w:r>
        <w:rPr>
          <w:i w:val="false"/>
          <w:iCs w:val="false"/>
        </w:rPr>
      </w:r>
    </w:p>
    <w:p>
      <w:pPr>
        <w:pStyle w:val="Cuerpodetexto"/>
        <w:jc w:val="center"/>
        <w:rPr>
          <w:i w:val="false"/>
          <w:i w:val="false"/>
          <w:iCs w:val="false"/>
        </w:rPr>
      </w:pPr>
      <w:r>
        <w:rPr>
          <w:i w:val="false"/>
          <w:iCs w:val="false"/>
        </w:rPr>
      </w:r>
    </w:p>
    <w:p>
      <w:pPr>
        <w:pStyle w:val="Cuerpodetexto"/>
        <w:jc w:val="center"/>
        <w:rPr>
          <w:i w:val="false"/>
          <w:i w:val="false"/>
          <w:iCs w:val="false"/>
        </w:rPr>
      </w:pPr>
      <w:r>
        <w:rPr>
          <w:i w:val="false"/>
          <w:iCs w:val="false"/>
        </w:rPr>
      </w:r>
    </w:p>
    <w:p>
      <w:pPr>
        <w:pStyle w:val="Cuerpodetexto"/>
        <w:jc w:val="center"/>
        <w:rPr>
          <w:i w:val="false"/>
          <w:i w:val="false"/>
          <w:iCs w:val="false"/>
        </w:rPr>
      </w:pPr>
      <w:r>
        <w:rPr>
          <w:i w:val="false"/>
          <w:iCs w:val="false"/>
        </w:rPr>
      </w:r>
    </w:p>
    <w:p>
      <w:pPr>
        <w:pStyle w:val="Cuerpodetexto"/>
        <w:jc w:val="center"/>
        <w:rPr>
          <w:i w:val="false"/>
          <w:i w:val="false"/>
          <w:iCs w:val="false"/>
        </w:rPr>
      </w:pPr>
      <w:r>
        <w:rPr>
          <w:i w:val="false"/>
          <w:iCs w:val="false"/>
        </w:rPr>
      </w:r>
    </w:p>
    <w:p>
      <w:pPr>
        <w:pStyle w:val="Cuerpodetexto"/>
        <w:jc w:val="center"/>
        <w:rPr>
          <w:i w:val="false"/>
          <w:i w:val="false"/>
          <w:iCs w:val="false"/>
        </w:rPr>
      </w:pPr>
      <w:r>
        <w:rPr>
          <w:i w:val="false"/>
          <w:iCs w:val="false"/>
        </w:rPr>
      </w:r>
    </w:p>
    <w:p>
      <w:pPr>
        <w:pStyle w:val="Cuerpodetexto"/>
        <w:jc w:val="both"/>
        <w:rPr>
          <w:i w:val="false"/>
          <w:i w:val="false"/>
          <w:iCs w:val="false"/>
        </w:rPr>
      </w:pPr>
      <w:r>
        <w:rPr>
          <w:i w:val="false"/>
          <w:iCs w:val="false"/>
        </w:rPr>
      </w:r>
    </w:p>
    <w:p>
      <w:pPr>
        <w:pStyle w:val="Cuerpodetexto"/>
        <w:jc w:val="both"/>
        <w:rPr>
          <w:i w:val="false"/>
          <w:i w:val="false"/>
          <w:iCs w:val="false"/>
        </w:rPr>
      </w:pPr>
      <w:r>
        <w:rPr>
          <w:i w:val="false"/>
          <w:iCs w:val="false"/>
        </w:rPr>
        <w:br/>
        <w:t xml:space="preserve">De esta manera, </w:t>
      </w:r>
      <w:r>
        <w:rPr>
          <w:i w:val="false"/>
          <w:iCs w:val="false"/>
        </w:rPr>
        <w:t xml:space="preserve">aplicando la función </w:t>
      </w:r>
      <w:r>
        <w:rPr>
          <w:b/>
          <w:bCs/>
          <w:i/>
          <w:iCs/>
        </w:rPr>
        <w:t>spi</w:t>
      </w:r>
      <w:r>
        <w:rPr>
          <w:i w:val="false"/>
          <w:iCs w:val="false"/>
        </w:rPr>
        <w:t>() a cada uno de los elementos de</w:t>
      </w:r>
      <w:r>
        <w:rPr>
          <w:i w:val="false"/>
          <w:iCs w:val="false"/>
        </w:rPr>
        <w:t xml:space="preserve"> la serie de tiempo completa de promedios de precipitaciones </w:t>
      </w:r>
      <w:r>
        <w:rPr>
          <w:i w:val="false"/>
          <w:iCs w:val="false"/>
        </w:rPr>
        <w:t>de la cuenca del Río Usumacinta</w:t>
      </w:r>
      <w:r>
        <w:rPr>
          <w:i w:val="false"/>
          <w:iCs w:val="false"/>
        </w:rPr>
        <w:t xml:space="preserve">, mostrada en la Fig. 2, se </w:t>
      </w:r>
      <w:r>
        <w:rPr>
          <w:i w:val="false"/>
          <w:iCs w:val="false"/>
        </w:rPr>
        <w:t xml:space="preserve">le </w:t>
      </w:r>
      <w:r>
        <w:rPr>
          <w:i w:val="false"/>
          <w:iCs w:val="false"/>
        </w:rPr>
        <w:t xml:space="preserve">puede transformar en una serie de tiempo de índices SPI, </w:t>
      </w:r>
      <w:r>
        <w:rPr>
          <w:i w:val="false"/>
          <w:iCs w:val="false"/>
        </w:rPr>
        <w:t>tal como la que se muestra en el gráfico superior de la Fig. 6.</w:t>
      </w:r>
    </w:p>
    <w:p>
      <w:pPr>
        <w:pStyle w:val="Cuerpodetexto"/>
        <w:jc w:val="both"/>
        <w:rPr>
          <w:i w:val="false"/>
          <w:i w:val="false"/>
          <w:iCs w:val="false"/>
        </w:rPr>
      </w:pPr>
      <w:r>
        <w:rPr>
          <w:i w:val="false"/>
          <w:iCs w:val="false"/>
        </w:rPr>
      </w:r>
    </w:p>
    <w:p>
      <w:pPr>
        <w:pStyle w:val="Cuerpodetexto"/>
        <w:jc w:val="center"/>
        <w:rPr>
          <w:i w:val="false"/>
          <w:i w:val="false"/>
          <w:iCs w:val="false"/>
        </w:rPr>
      </w:pPr>
      <w:r>
        <w:rPr>
          <w:i w:val="false"/>
          <w:iCs w:val="false"/>
        </w:rPr>
      </w: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84115" cy="3406140"/>
                <wp:effectExtent l="0" t="0" r="0" b="0"/>
                <wp:wrapSquare wrapText="largest"/>
                <wp:docPr id="17" name="Marco5"/>
                <a:graphic xmlns:a="http://schemas.openxmlformats.org/drawingml/2006/main">
                  <a:graphicData uri="http://schemas.microsoft.com/office/word/2010/wordprocessingShape">
                    <wps:wsp>
                      <wps:cNvSpPr txBox="1"/>
                      <wps:spPr>
                        <a:xfrm>
                          <a:off x="0" y="0"/>
                          <a:ext cx="4984115" cy="3406140"/>
                        </a:xfrm>
                        <a:prstGeom prst="rect"/>
                      </wps:spPr>
                      <wps:txbx>
                        <w:txbxContent>
                          <w:p>
                            <w:pPr>
                              <w:pStyle w:val="Figura"/>
                              <w:spacing w:before="120" w:after="120"/>
                              <w:rPr/>
                            </w:pPr>
                            <w:r>
                              <w:rPr/>
                              <w:drawing>
                                <wp:inline distT="0" distB="0" distL="0" distR="0">
                                  <wp:extent cx="4933950" cy="2628900"/>
                                  <wp:effectExtent l="0" t="0" r="0" b="0"/>
                                  <wp:docPr id="1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descr=""/>
                                          <pic:cNvPicPr>
                                            <a:picLocks noChangeAspect="1" noChangeArrowheads="1"/>
                                          </pic:cNvPicPr>
                                        </pic:nvPicPr>
                                        <pic:blipFill>
                                          <a:blip r:embed="rId9"/>
                                          <a:stretch>
                                            <a:fillRect/>
                                          </a:stretch>
                                        </pic:blipFill>
                                        <pic:spPr bwMode="auto">
                                          <a:xfrm>
                                            <a:off x="0" y="0"/>
                                            <a:ext cx="4933950" cy="2628900"/>
                                          </a:xfrm>
                                          <a:prstGeom prst="rect">
                                            <a:avLst/>
                                          </a:prstGeom>
                                        </pic:spPr>
                                      </pic:pic>
                                    </a:graphicData>
                                  </a:graphic>
                                </wp:inline>
                              </w:drawing>
                            </w:r>
                            <w:r>
                              <w:rPr/>
                              <w:br/>
                              <w:t xml:space="preserve">Figura </w:t>
                            </w:r>
                            <w:r>
                              <w:rPr/>
                              <w:fldChar w:fldCharType="begin"/>
                            </w:r>
                            <w:r>
                              <w:instrText> SEQ Figura \* ARABIC </w:instrText>
                            </w:r>
                            <w:r>
                              <w:fldChar w:fldCharType="separate"/>
                            </w:r>
                            <w:r>
                              <w:t>6</w:t>
                            </w:r>
                            <w:r>
                              <w:fldChar w:fldCharType="end"/>
                            </w:r>
                            <w:r>
                              <w:rPr/>
                              <w:t>: Serie de índices SPI-</w:t>
                            </w:r>
                            <w:r>
                              <w:rPr/>
                              <w:t>12</w:t>
                            </w:r>
                            <w:r>
                              <w:rPr/>
                              <w:t xml:space="preserve"> correspondiente a la serie de promedios de la cuenca </w:t>
                            </w:r>
                            <w:r>
                              <w:rPr/>
                              <w:t xml:space="preserve">del Río </w:t>
                            </w:r>
                            <w:r>
                              <w:rPr/>
                              <w:t xml:space="preserve">Usumacinta, mostrada en la Fig. 2. </w:t>
                            </w:r>
                            <w:r>
                              <w:rPr/>
                              <w:t>En el gráfico superior, los índices se calcularon ajustando los datos a funciones de distribución Gamma; en el inferior, a funciones ECDF.</w:t>
                            </w:r>
                          </w:p>
                        </w:txbxContent>
                      </wps:txbx>
                      <wps:bodyPr anchor="t" lIns="0" tIns="0" rIns="0" bIns="0">
                        <a:noAutofit/>
                      </wps:bodyPr>
                    </wps:wsp>
                  </a:graphicData>
                </a:graphic>
              </wp:anchor>
            </w:drawing>
          </mc:Choice>
          <mc:Fallback>
            <w:pict>
              <v:rect style="position:absolute;rotation:0;width:392.45pt;height:268.2pt;mso-wrap-distance-left:0pt;mso-wrap-distance-right:0pt;mso-wrap-distance-top:0pt;mso-wrap-distance-bottom:0pt;margin-top:0pt;mso-position-vertical:top;mso-position-vertical-relative:text;margin-left:53.1pt;mso-position-horizontal:center;mso-position-horizontal-relative:text">
                <v:textbox inset="0in,0in,0in,0in">
                  <w:txbxContent>
                    <w:p>
                      <w:pPr>
                        <w:pStyle w:val="Figura"/>
                        <w:spacing w:before="120" w:after="120"/>
                        <w:rPr/>
                      </w:pPr>
                      <w:r>
                        <w:rPr/>
                        <w:drawing>
                          <wp:inline distT="0" distB="0" distL="0" distR="0">
                            <wp:extent cx="4933950" cy="2628900"/>
                            <wp:effectExtent l="0" t="0" r="0" b="0"/>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9"/>
                                    <a:stretch>
                                      <a:fillRect/>
                                    </a:stretch>
                                  </pic:blipFill>
                                  <pic:spPr bwMode="auto">
                                    <a:xfrm>
                                      <a:off x="0" y="0"/>
                                      <a:ext cx="4933950" cy="2628900"/>
                                    </a:xfrm>
                                    <a:prstGeom prst="rect">
                                      <a:avLst/>
                                    </a:prstGeom>
                                  </pic:spPr>
                                </pic:pic>
                              </a:graphicData>
                            </a:graphic>
                          </wp:inline>
                        </w:drawing>
                      </w:r>
                      <w:r>
                        <w:rPr/>
                        <w:br/>
                        <w:t xml:space="preserve">Figura </w:t>
                      </w:r>
                      <w:r>
                        <w:rPr/>
                        <w:fldChar w:fldCharType="begin"/>
                      </w:r>
                      <w:r>
                        <w:instrText> SEQ Figura \* ARABIC </w:instrText>
                      </w:r>
                      <w:r>
                        <w:fldChar w:fldCharType="separate"/>
                      </w:r>
                      <w:r>
                        <w:t>6</w:t>
                      </w:r>
                      <w:r>
                        <w:fldChar w:fldCharType="end"/>
                      </w:r>
                      <w:r>
                        <w:rPr/>
                        <w:t>: Serie de índices SPI-</w:t>
                      </w:r>
                      <w:r>
                        <w:rPr/>
                        <w:t>12</w:t>
                      </w:r>
                      <w:r>
                        <w:rPr/>
                        <w:t xml:space="preserve"> correspondiente a la serie de promedios de la cuenca </w:t>
                      </w:r>
                      <w:r>
                        <w:rPr/>
                        <w:t xml:space="preserve">del Río </w:t>
                      </w:r>
                      <w:r>
                        <w:rPr/>
                        <w:t xml:space="preserve">Usumacinta, mostrada en la Fig. 2. </w:t>
                      </w:r>
                      <w:r>
                        <w:rPr/>
                        <w:t>En el gráfico superior, los índices se calcularon ajustando los datos a funciones de distribución Gamma; en el inferior, a funciones ECDF.</w:t>
                      </w:r>
                    </w:p>
                  </w:txbxContent>
                </v:textbox>
                <w10:wrap type="square" side="largest"/>
              </v:rect>
            </w:pict>
          </mc:Fallback>
        </mc:AlternateContent>
      </w:r>
    </w:p>
    <w:p>
      <w:pPr>
        <w:pStyle w:val="Encabezado2"/>
        <w:numPr>
          <w:ilvl w:val="1"/>
          <w:numId w:val="1"/>
        </w:numPr>
        <w:ind w:left="0" w:right="0" w:hanging="0"/>
        <w:rPr/>
      </w:pPr>
      <w:r>
        <w:rPr/>
        <w:t>El uso de otras funciones de distribución</w:t>
      </w:r>
    </w:p>
    <w:p>
      <w:pPr>
        <w:pStyle w:val="Cuerpodetexto"/>
        <w:jc w:val="both"/>
        <w:rPr>
          <w:i w:val="false"/>
          <w:i w:val="false"/>
          <w:iCs w:val="false"/>
        </w:rPr>
      </w:pPr>
      <w:r>
        <w:rPr>
          <w:i w:val="false"/>
          <w:iCs w:val="false"/>
        </w:rPr>
        <w:t xml:space="preserve">Aunque la descripción original </w:t>
      </w:r>
      <w:r>
        <w:rPr>
          <w:i w:val="false"/>
          <w:iCs w:val="false"/>
        </w:rPr>
        <w:t>del método para el cálculo de los índices SPI señala que el ajuste de los datos de precipitación promediada se hace a una función de distribución de probabilidades Gamma (</w:t>
      </w:r>
      <w:r>
        <w:rPr>
          <w:rFonts w:cs="Arial"/>
          <w:i w:val="false"/>
          <w:iCs w:val="false"/>
          <w:sz w:val="24"/>
          <w:szCs w:val="24"/>
          <w:lang w:val="en-US"/>
        </w:rPr>
        <w:t xml:space="preserve">McKee, Doesken </w:t>
      </w:r>
      <w:r>
        <w:rPr>
          <w:rFonts w:cs="Arial"/>
          <w:i w:val="false"/>
          <w:iCs w:val="false"/>
          <w:sz w:val="24"/>
          <w:szCs w:val="24"/>
          <w:lang w:val="en-US"/>
        </w:rPr>
        <w:t>y</w:t>
      </w:r>
      <w:r>
        <w:rPr>
          <w:rFonts w:cs="Arial"/>
          <w:i w:val="false"/>
          <w:iCs w:val="false"/>
          <w:sz w:val="24"/>
          <w:szCs w:val="24"/>
          <w:lang w:val="en-US"/>
        </w:rPr>
        <w:t xml:space="preserve"> Kleist,</w:t>
      </w:r>
      <w:r>
        <w:rPr>
          <w:rFonts w:cs="Arial"/>
          <w:i w:val="false"/>
          <w:iCs w:val="false"/>
          <w:sz w:val="24"/>
          <w:szCs w:val="24"/>
          <w:lang w:val="en-US"/>
        </w:rPr>
        <w:t xml:space="preserve"> 1993</w:t>
      </w:r>
      <w:r>
        <w:rPr>
          <w:i w:val="false"/>
          <w:iCs w:val="false"/>
        </w:rPr>
        <w:t xml:space="preserve">), desde sus primeras implementaciones (Edwards &amp; McKee, 1997), se hizo uso alternativo de otras funciones de distribución, en particular de las funciones no paramétricas conocidas como funciones acumulativas de distribución empíricas (ECDF, por sus siglas del inglés: </w:t>
      </w:r>
      <w:r>
        <w:rPr>
          <w:i/>
          <w:iCs/>
        </w:rPr>
        <w:t>empirical cumulative distribution function</w:t>
      </w:r>
      <w:r>
        <w:rPr>
          <w:i/>
          <w:iCs/>
        </w:rPr>
        <w:t>s</w:t>
      </w:r>
      <w:r>
        <w:rPr>
          <w:i w:val="false"/>
          <w:iCs w:val="false"/>
        </w:rPr>
        <w:t>). Si bien, para el efecto pudieran utilizarse cualesquiera de las funciones revisadas en otros trabajos (Hanson &amp; Vogel, 2012, Guttman, 1999), las funciones ECDFs resultan particularmente interesantes para el presente trabajo.</w:t>
      </w:r>
    </w:p>
    <w:p>
      <w:pPr>
        <w:pStyle w:val="Cuerpodetexto"/>
        <w:jc w:val="both"/>
        <w:rPr>
          <w:i w:val="false"/>
          <w:i w:val="false"/>
          <w:iCs w:val="false"/>
        </w:rPr>
      </w:pPr>
      <w:r>
        <w:rPr>
          <w:i w:val="false"/>
          <w:iCs w:val="false"/>
        </w:rPr>
        <w:t xml:space="preserve">Una ECDF toma una serie de datos </w:t>
      </w:r>
      <w:r>
        <w:rPr>
          <w:i w:val="false"/>
          <w:iCs w:val="false"/>
        </w:rPr>
        <w:t>aleatorios</w:t>
      </w:r>
      <w:r>
        <w:rPr>
          <w:i w:val="false"/>
          <w:iCs w:val="false"/>
        </w:rPr>
        <w:t>, y le asigna a cada uno de ellos una probabilidad de 1/</w:t>
      </w:r>
      <w:r>
        <w:rPr>
          <w:i/>
          <w:iCs/>
        </w:rPr>
        <w:t>n</w:t>
      </w:r>
      <w:r>
        <w:rPr>
          <w:i w:val="false"/>
          <w:iCs w:val="false"/>
        </w:rPr>
        <w:t xml:space="preserve">, donde </w:t>
      </w:r>
      <w:r>
        <w:rPr>
          <w:i/>
          <w:iCs/>
        </w:rPr>
        <w:t>n</w:t>
      </w:r>
      <w:r>
        <w:rPr>
          <w:i w:val="false"/>
          <w:iCs w:val="false"/>
        </w:rPr>
        <w:t xml:space="preserve"> es el número de datos en la serie, </w:t>
      </w:r>
      <w:r>
        <w:rPr>
          <w:i w:val="false"/>
          <w:iCs w:val="false"/>
        </w:rPr>
        <w:t xml:space="preserve">ordena ascendentemente los datos y construye, a partir de ellos, una función tipo escalera en la que se cumple </w:t>
      </w:r>
      <w:r>
        <w:rPr>
          <w:b/>
          <w:bCs/>
          <w:i/>
          <w:iCs/>
        </w:rPr>
        <w:t>F</w:t>
      </w:r>
      <w:r>
        <w:rPr>
          <w:i w:val="false"/>
          <w:iCs w:val="false"/>
        </w:rPr>
        <w:t>(</w:t>
      </w:r>
      <w:r>
        <w:rPr>
          <w:i/>
          <w:iCs/>
        </w:rPr>
        <w:t>x</w:t>
      </w:r>
      <w:r>
        <w:rPr>
          <w:i w:val="false"/>
          <w:iCs w:val="false"/>
        </w:rPr>
        <w:t xml:space="preserve">) = P(X </w:t>
      </w:r>
      <w:r>
        <w:rPr>
          <w:rFonts w:eastAsia="Liberation Serif" w:cs="Liberation Serif" w:ascii="Liberation Serif" w:hAnsi="Liberation Serif"/>
          <w:i w:val="false"/>
          <w:iCs w:val="false"/>
        </w:rPr>
        <w:t>≤</w:t>
      </w:r>
      <w:r>
        <w:rPr>
          <w:rFonts w:eastAsia="Noto Sans CJK SC Regular" w:cs="FreeSans"/>
          <w:i w:val="false"/>
          <w:iCs w:val="false"/>
        </w:rPr>
        <w:t xml:space="preserve"> </w:t>
      </w:r>
      <w:r>
        <w:rPr>
          <w:rFonts w:eastAsia="Noto Sans CJK SC Regular" w:cs="FreeSans"/>
          <w:i/>
          <w:iCs/>
        </w:rPr>
        <w:t>x</w:t>
      </w:r>
      <w:r>
        <w:rPr>
          <w:rFonts w:eastAsia="Noto Sans CJK SC Regular" w:cs="FreeSans"/>
          <w:i w:val="false"/>
          <w:iCs w:val="false"/>
        </w:rPr>
        <w:t>)</w:t>
      </w:r>
      <w:r>
        <w:rPr>
          <w:i w:val="false"/>
          <w:iCs w:val="false"/>
        </w:rPr>
        <w:t xml:space="preserve"> ,</w:t>
      </w:r>
      <w:r>
        <w:rPr>
          <w:i w:val="false"/>
          <w:iCs w:val="false"/>
        </w:rPr>
        <w:t xml:space="preserve"> (</w:t>
      </w:r>
      <w:r>
        <w:rPr>
          <w:i w:val="false"/>
          <w:iCs w:val="false"/>
        </w:rPr>
        <w:t>Vaart, 1998 pp. 265-277; Gentle, 2009 pp. 59-65</w:t>
      </w:r>
      <w:r>
        <w:rPr>
          <w:i w:val="false"/>
          <w:iCs w:val="false"/>
        </w:rPr>
        <w:t xml:space="preserve">). </w:t>
      </w:r>
      <w:r>
        <w:rPr>
          <w:i w:val="false"/>
          <w:iCs w:val="false"/>
        </w:rPr>
        <w:t>Si en vez de ajustar los datos de precipitación de la cuenca del Río Usumacinta, mostrados en la Fig. 2, a una función de distribución Gamma, se hubieran empleado funciones ECDF, siguiendo el procedimiento descrito previamente, el resultado hubiera sido la familia de funciones mostrada en la Fig. 7. En esta figura, a diferencia del gráfico de la derecha de la Fig. 4, se muestran discontinuidades en cada punto donde se registra una precipitación diferente de los datos, lo que les da a las funciones una apariencia escalonada. El procedimiento, a partir de esta familia de funciones, para mapear las precipitaciones a una distribución normal estandarizada es semejante al descrito en la sección anterior. La serie de SPIs resultante de utilizar funciones ECDF en vez de funciones de distribución Gamma, se muestra en el gráfico inferior de la Fig. 6.</w:t>
      </w:r>
    </w:p>
    <w:p>
      <w:pPr>
        <w:pStyle w:val="Encabezado1"/>
        <w:numPr>
          <w:ilvl w:val="0"/>
          <w:numId w:val="1"/>
        </w:numPr>
        <w:ind w:left="0" w:right="0" w:hanging="0"/>
        <w:jc w:val="center"/>
        <w:rPr>
          <w:i w:val="false"/>
          <w:i w:val="false"/>
          <w:iCs w:val="false"/>
        </w:rPr>
      </w:pPr>
      <w:r>
        <w:rPr>
          <w:i w:val="false"/>
          <w:iCs w:val="false"/>
        </w:rPr>
      </w:r>
    </w:p>
    <w:p>
      <w:pPr>
        <w:pStyle w:val="Cuerpodetexto"/>
        <w:jc w:val="center"/>
        <w:rPr>
          <w:i w:val="false"/>
          <w:i w:val="false"/>
          <w:iCs w:val="false"/>
        </w:rPr>
      </w:pPr>
      <w:r>
        <w:rPr>
          <w:i w:val="false"/>
          <w:iCs w:val="false"/>
        </w:rPr>
      </w: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81270" cy="3011805"/>
                <wp:effectExtent l="0" t="0" r="0" b="0"/>
                <wp:wrapSquare wrapText="largest"/>
                <wp:docPr id="20" name="Marco7"/>
                <a:graphic xmlns:a="http://schemas.openxmlformats.org/drawingml/2006/main">
                  <a:graphicData uri="http://schemas.microsoft.com/office/word/2010/wordprocessingShape">
                    <wps:wsp>
                      <wps:cNvSpPr txBox="1"/>
                      <wps:spPr>
                        <a:xfrm>
                          <a:off x="0" y="0"/>
                          <a:ext cx="5081270" cy="3011805"/>
                        </a:xfrm>
                        <a:prstGeom prst="rect"/>
                      </wps:spPr>
                      <wps:txbx>
                        <w:txbxContent>
                          <w:p>
                            <w:pPr>
                              <w:pStyle w:val="Figura"/>
                              <w:spacing w:before="120" w:after="120"/>
                              <w:rPr/>
                            </w:pPr>
                            <w:r>
                              <w:rPr/>
                              <w:drawing>
                                <wp:inline distT="0" distB="0" distL="0" distR="0">
                                  <wp:extent cx="5081270" cy="2585085"/>
                                  <wp:effectExtent l="0" t="0" r="0" b="0"/>
                                  <wp:docPr id="2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descr=""/>
                                          <pic:cNvPicPr>
                                            <a:picLocks noChangeAspect="1" noChangeArrowheads="1"/>
                                          </pic:cNvPicPr>
                                        </pic:nvPicPr>
                                        <pic:blipFill>
                                          <a:blip r:embed="rId10"/>
                                          <a:stretch>
                                            <a:fillRect/>
                                          </a:stretch>
                                        </pic:blipFill>
                                        <pic:spPr bwMode="auto">
                                          <a:xfrm>
                                            <a:off x="0" y="0"/>
                                            <a:ext cx="5081270" cy="2585085"/>
                                          </a:xfrm>
                                          <a:prstGeom prst="rect">
                                            <a:avLst/>
                                          </a:prstGeom>
                                        </pic:spPr>
                                      </pic:pic>
                                    </a:graphicData>
                                  </a:graphic>
                                </wp:inline>
                              </w:drawing>
                            </w:r>
                            <w:r>
                              <w:rPr/>
                              <w:br/>
                              <w:t xml:space="preserve">Figura </w:t>
                            </w:r>
                            <w:r>
                              <w:rPr/>
                              <w:fldChar w:fldCharType="begin"/>
                            </w:r>
                            <w:r>
                              <w:instrText> SEQ Figura \* ARABIC </w:instrText>
                            </w:r>
                            <w:r>
                              <w:fldChar w:fldCharType="separate"/>
                            </w:r>
                            <w:r>
                              <w:t>7</w:t>
                            </w:r>
                            <w:r>
                              <w:fldChar w:fldCharType="end"/>
                            </w:r>
                            <w:r>
                              <w:rPr/>
                              <w:t xml:space="preserve">: Ajuste de los datos de precipitación </w:t>
                            </w:r>
                            <w:r>
                              <w:rPr/>
                              <w:t>promediada</w:t>
                            </w:r>
                            <w:r>
                              <w:rPr/>
                              <w:t xml:space="preserve"> de la Fig. 2 a doce funciones de </w:t>
                            </w:r>
                            <w:r>
                              <w:rPr/>
                              <w:t xml:space="preserve">acumulativas </w:t>
                            </w:r>
                            <w:r>
                              <w:rPr/>
                              <w:t xml:space="preserve">distribución </w:t>
                            </w:r>
                            <w:r>
                              <w:rPr/>
                              <w:t>empíricas (ECDFs)</w:t>
                            </w:r>
                          </w:p>
                        </w:txbxContent>
                      </wps:txbx>
                      <wps:bodyPr anchor="t" lIns="0" tIns="0" rIns="0" bIns="0">
                        <a:noAutofit/>
                      </wps:bodyPr>
                    </wps:wsp>
                  </a:graphicData>
                </a:graphic>
              </wp:anchor>
            </w:drawing>
          </mc:Choice>
          <mc:Fallback>
            <w:pict>
              <v:rect style="position:absolute;rotation:0;width:400.1pt;height:237.15pt;mso-wrap-distance-left:0pt;mso-wrap-distance-right:0pt;mso-wrap-distance-top:0pt;mso-wrap-distance-bottom:0pt;margin-top:0pt;mso-position-vertical:top;mso-position-vertical-relative:text;margin-left:49.25pt;mso-position-horizontal:center;mso-position-horizontal-relative:text">
                <v:textbox inset="0in,0in,0in,0in">
                  <w:txbxContent>
                    <w:p>
                      <w:pPr>
                        <w:pStyle w:val="Figura"/>
                        <w:spacing w:before="120" w:after="120"/>
                        <w:rPr/>
                      </w:pPr>
                      <w:r>
                        <w:rPr/>
                        <w:drawing>
                          <wp:inline distT="0" distB="0" distL="0" distR="0">
                            <wp:extent cx="5081270" cy="2585085"/>
                            <wp:effectExtent l="0" t="0" r="0" b="0"/>
                            <wp:docPr id="2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8" descr=""/>
                                    <pic:cNvPicPr>
                                      <a:picLocks noChangeAspect="1" noChangeArrowheads="1"/>
                                    </pic:cNvPicPr>
                                  </pic:nvPicPr>
                                  <pic:blipFill>
                                    <a:blip r:embed="rId10"/>
                                    <a:stretch>
                                      <a:fillRect/>
                                    </a:stretch>
                                  </pic:blipFill>
                                  <pic:spPr bwMode="auto">
                                    <a:xfrm>
                                      <a:off x="0" y="0"/>
                                      <a:ext cx="5081270" cy="2585085"/>
                                    </a:xfrm>
                                    <a:prstGeom prst="rect">
                                      <a:avLst/>
                                    </a:prstGeom>
                                  </pic:spPr>
                                </pic:pic>
                              </a:graphicData>
                            </a:graphic>
                          </wp:inline>
                        </w:drawing>
                      </w:r>
                      <w:r>
                        <w:rPr/>
                        <w:br/>
                        <w:t xml:space="preserve">Figura </w:t>
                      </w:r>
                      <w:r>
                        <w:rPr/>
                        <w:fldChar w:fldCharType="begin"/>
                      </w:r>
                      <w:r>
                        <w:instrText> SEQ Figura \* ARABIC </w:instrText>
                      </w:r>
                      <w:r>
                        <w:fldChar w:fldCharType="separate"/>
                      </w:r>
                      <w:r>
                        <w:t>7</w:t>
                      </w:r>
                      <w:r>
                        <w:fldChar w:fldCharType="end"/>
                      </w:r>
                      <w:r>
                        <w:rPr/>
                        <w:t xml:space="preserve">: Ajuste de los datos de precipitación </w:t>
                      </w:r>
                      <w:r>
                        <w:rPr/>
                        <w:t>promediada</w:t>
                      </w:r>
                      <w:r>
                        <w:rPr/>
                        <w:t xml:space="preserve"> de la Fig. 2 a doce funciones de </w:t>
                      </w:r>
                      <w:r>
                        <w:rPr/>
                        <w:t xml:space="preserve">acumulativas </w:t>
                      </w:r>
                      <w:r>
                        <w:rPr/>
                        <w:t xml:space="preserve">distribución </w:t>
                      </w:r>
                      <w:r>
                        <w:rPr/>
                        <w:t>empíricas (ECDFs)</w:t>
                      </w:r>
                    </w:p>
                  </w:txbxContent>
                </v:textbox>
                <w10:wrap type="square" side="largest"/>
              </v:rect>
            </w:pict>
          </mc:Fallback>
        </mc:AlternateContent>
      </w:r>
    </w:p>
    <w:p>
      <w:pPr>
        <w:pStyle w:val="Cuerpodetexto"/>
        <w:jc w:val="both"/>
        <w:rPr>
          <w:i w:val="false"/>
          <w:i w:val="false"/>
          <w:iCs w:val="false"/>
        </w:rPr>
      </w:pPr>
      <w:r>
        <w:rPr>
          <w:i w:val="false"/>
          <w:iCs w:val="false"/>
        </w:rPr>
        <w:t xml:space="preserve">Es importante destacar que la implementación en el lenguaje R, desarrollada por Wheatley (2010), deriva de la implementación alternativa de Edwards y McKee (1977) que toma como base las funciones ECDF, y que la implementación desarrollada para el presente trabajo, a su vez, se fundamenta en </w:t>
      </w:r>
      <w:r>
        <w:rPr>
          <w:i w:val="false"/>
          <w:iCs w:val="false"/>
        </w:rPr>
        <w:t>esas</w:t>
      </w:r>
      <w:r>
        <w:rPr>
          <w:i w:val="false"/>
          <w:iCs w:val="false"/>
        </w:rPr>
        <w:t xml:space="preserve"> dos. Lo anterior obedece a la ventaja que tienen estas funciones al trabajar directamente con los datos, en vez de hacerlo con una aproximación de ellos. </w:t>
      </w:r>
      <w:r>
        <w:rPr>
          <w:i w:val="false"/>
          <w:iCs w:val="false"/>
        </w:rPr>
        <w:t xml:space="preserve">Una desventaja del uso de las funciones ECDF es que, en ellas, todas las precipitaciones máximas arrojan una probabilidad de 1 y, por consiguiente, éstos valores al ser mapeados mediante la inversa de la función normal estandarizada a sus correspondientes valores de SPI, dan un valor </w:t>
      </w:r>
      <w:r>
        <w:rPr>
          <w:i/>
          <w:iCs/>
        </w:rPr>
        <w:t>infinito</w:t>
      </w:r>
      <w:r>
        <w:rPr>
          <w:i w:val="false"/>
          <w:iCs w:val="false"/>
        </w:rPr>
        <w:t>. Para lidiar con este problema, se recurre a un procedimiento de optimización que reajusta, para esos valores de precipitación, valores de SPI que mantienen la distribución normal estandarizada, esto es, con media 0 y desviación estándar 1 (Wheatley, 2010).</w:t>
      </w:r>
    </w:p>
    <w:p>
      <w:pPr>
        <w:pStyle w:val="Encabezado1"/>
        <w:numPr>
          <w:ilvl w:val="0"/>
          <w:numId w:val="1"/>
        </w:numPr>
        <w:ind w:left="0" w:right="0" w:hanging="0"/>
        <w:jc w:val="center"/>
        <w:rPr/>
      </w:pPr>
      <w:r>
        <w:rPr/>
        <w:t>Interpretaciones del SPI</w:t>
      </w:r>
    </w:p>
    <w:p>
      <w:pPr>
        <w:pStyle w:val="Cuerpodetexto"/>
        <w:jc w:val="both"/>
        <w:rPr/>
      </w:pPr>
      <w:r>
        <w:rPr/>
        <w:t xml:space="preserve">Dadas las características de la construcción del SPI, que lo hacen desembocar en una distribución normal estandarizada, típicamente sus valores variarán de manera aproximada entre -3 y 3, </w:t>
      </w:r>
      <w:r>
        <w:rPr/>
        <w:t xml:space="preserve">de tal manera que, para el período total considerado, un valor de cero para este índice estaría indicando una precipitación alrededor de la </w:t>
      </w:r>
      <w:r>
        <w:rPr>
          <w:i/>
          <w:iCs/>
        </w:rPr>
        <w:t>mediana</w:t>
      </w:r>
      <w:r>
        <w:rPr/>
        <w:t xml:space="preserve">, un valor negativo indicaría un </w:t>
      </w:r>
      <w:r>
        <w:rPr>
          <w:i/>
          <w:iCs/>
        </w:rPr>
        <w:t>déficit</w:t>
      </w:r>
      <w:r>
        <w:rPr/>
        <w:t xml:space="preserve"> de precipitación y un valor positivo indicaría un </w:t>
      </w:r>
      <w:r>
        <w:rPr>
          <w:i/>
          <w:iCs/>
        </w:rPr>
        <w:t>superávit</w:t>
      </w:r>
      <w:r>
        <w:rPr/>
        <w:t>, con referencia a todo el período y a la región o punto geográfico considerados. La Organización Mundial de Meteorología (OMM) ha definido rangos de valores de los SPI para permitir la caracterización cualitativa de las precipitaciones (WMO, 2012). En el Tabla 1, se muestran los rangos definidos por la OMM.</w:t>
      </w:r>
    </w:p>
    <w:p>
      <w:pPr>
        <w:pStyle w:val="Cuerpodetexto"/>
        <w:jc w:val="both"/>
        <w:rPr/>
      </w:pPr>
      <w:r>
        <w:rPr/>
      </w:r>
    </w:p>
    <w:p>
      <w:pPr>
        <w:pStyle w:val="Normal"/>
        <w:jc w:val="center"/>
        <w:rPr/>
      </w:pPr>
      <w:r>
        <w:rPr>
          <w:lang w:val="en-US"/>
        </w:rPr>
        <w:t>Tabla</w:t>
      </w:r>
      <w:r>
        <w:rPr>
          <w:lang w:val="en-US"/>
        </w:rPr>
        <w:t xml:space="preserve"> 1. Valores y probabilidades de ocurrencia de los índices normalizados de precipitación.</w:t>
      </w:r>
    </w:p>
    <w:p>
      <w:pPr>
        <w:pStyle w:val="Normal"/>
        <w:jc w:val="center"/>
        <w:rPr>
          <w:lang w:val="en-US"/>
        </w:rPr>
      </w:pPr>
      <w:r>
        <w:rPr>
          <w:lang w:val="en-US"/>
        </w:rPr>
      </w:r>
    </w:p>
    <w:tbl>
      <w:tblPr>
        <w:tblW w:w="8504" w:type="dxa"/>
        <w:jc w:val="center"/>
        <w:tblInd w:w="0" w:type="dxa"/>
        <w:tblBorders>
          <w:top w:val="single" w:sz="8" w:space="0" w:color="000001"/>
          <w:bottom w:val="single" w:sz="8" w:space="0" w:color="000001"/>
          <w:insideH w:val="single" w:sz="8" w:space="0" w:color="000001"/>
        </w:tblBorders>
        <w:tblCellMar>
          <w:top w:w="15" w:type="dxa"/>
          <w:left w:w="15" w:type="dxa"/>
          <w:bottom w:w="15" w:type="dxa"/>
          <w:right w:w="15" w:type="dxa"/>
        </w:tblCellMar>
      </w:tblPr>
      <w:tblGrid>
        <w:gridCol w:w="2713"/>
        <w:gridCol w:w="3408"/>
        <w:gridCol w:w="2383"/>
      </w:tblGrid>
      <w:tr>
        <w:trPr/>
        <w:tc>
          <w:tcPr>
            <w:tcW w:w="2713" w:type="dxa"/>
            <w:tcBorders>
              <w:top w:val="single" w:sz="8" w:space="0" w:color="000001"/>
              <w:bottom w:val="single" w:sz="8" w:space="0" w:color="000001"/>
              <w:insideH w:val="single" w:sz="8" w:space="0" w:color="000001"/>
            </w:tcBorders>
            <w:shd w:fill="E5E5E5" w:val="clear"/>
            <w:vAlign w:val="center"/>
          </w:tcPr>
          <w:p>
            <w:pPr>
              <w:pStyle w:val="Normal"/>
              <w:spacing w:lineRule="auto" w:line="480"/>
              <w:jc w:val="center"/>
              <w:rPr>
                <w:rFonts w:ascii="Arial" w:hAnsi="Arial" w:cs="Arial"/>
                <w:sz w:val="24"/>
                <w:szCs w:val="24"/>
                <w:lang w:val="es-MX"/>
              </w:rPr>
            </w:pPr>
            <w:bookmarkStart w:id="1" w:name="table01"/>
            <w:bookmarkEnd w:id="1"/>
            <w:r>
              <w:rPr>
                <w:rFonts w:cs="Arial" w:ascii="Arial" w:hAnsi="Arial"/>
                <w:sz w:val="24"/>
                <w:szCs w:val="24"/>
                <w:lang w:val="es-MX"/>
              </w:rPr>
              <w:t>SPI</w:t>
            </w:r>
          </w:p>
        </w:tc>
        <w:tc>
          <w:tcPr>
            <w:tcW w:w="3408" w:type="dxa"/>
            <w:tcBorders>
              <w:top w:val="single" w:sz="8" w:space="0" w:color="000001"/>
              <w:bottom w:val="single" w:sz="8" w:space="0" w:color="000001"/>
              <w:insideH w:val="single" w:sz="8" w:space="0" w:color="000001"/>
            </w:tcBorders>
            <w:shd w:fill="E5E5E5" w:val="clear"/>
            <w:vAlign w:val="bottom"/>
          </w:tcPr>
          <w:p>
            <w:pPr>
              <w:pStyle w:val="Normal"/>
              <w:spacing w:lineRule="auto" w:line="480"/>
              <w:jc w:val="center"/>
              <w:rPr/>
            </w:pPr>
            <w:r>
              <w:rPr>
                <w:rFonts w:cs="Arial" w:ascii="Arial" w:hAnsi="Arial"/>
                <w:sz w:val="24"/>
                <w:szCs w:val="24"/>
                <w:lang w:val="es-MX"/>
              </w:rPr>
              <w:t>Categorí</w:t>
            </w:r>
            <w:r>
              <w:rPr>
                <w:rFonts w:cs="Arial" w:ascii="Arial" w:hAnsi="Arial"/>
                <w:sz w:val="24"/>
                <w:szCs w:val="24"/>
                <w:lang w:val="es-MX"/>
              </w:rPr>
              <w:t>a</w:t>
            </w:r>
          </w:p>
        </w:tc>
        <w:tc>
          <w:tcPr>
            <w:tcW w:w="2383" w:type="dxa"/>
            <w:tcBorders>
              <w:top w:val="single" w:sz="8" w:space="0" w:color="000001"/>
              <w:bottom w:val="single" w:sz="8" w:space="0" w:color="000001"/>
              <w:insideH w:val="single" w:sz="8" w:space="0" w:color="000001"/>
            </w:tcBorders>
            <w:shd w:fill="E5E5E5" w:val="clear"/>
            <w:vAlign w:val="bottom"/>
          </w:tcPr>
          <w:p>
            <w:pPr>
              <w:pStyle w:val="Normal"/>
              <w:spacing w:lineRule="auto" w:line="480"/>
              <w:jc w:val="center"/>
              <w:rPr/>
            </w:pPr>
            <w:r>
              <w:rPr>
                <w:rFonts w:cs="Arial" w:ascii="Arial" w:hAnsi="Arial"/>
                <w:sz w:val="24"/>
                <w:szCs w:val="24"/>
                <w:lang w:val="es-MX"/>
              </w:rPr>
              <w:t>Probabili</w:t>
            </w:r>
            <w:r>
              <w:rPr>
                <w:rFonts w:cs="Arial" w:ascii="Arial" w:hAnsi="Arial"/>
                <w:sz w:val="24"/>
                <w:szCs w:val="24"/>
                <w:lang w:val="es-MX"/>
              </w:rPr>
              <w:t>dad</w:t>
            </w:r>
          </w:p>
        </w:tc>
      </w:tr>
      <w:tr>
        <w:trPr/>
        <w:tc>
          <w:tcPr>
            <w:tcW w:w="2713" w:type="dxa"/>
            <w:tcBorders>
              <w:top w:val="single" w:sz="8" w:space="0" w:color="000001"/>
            </w:tcBorders>
            <w:shd w:fill="auto" w:val="clear"/>
            <w:vAlign w:val="bottom"/>
          </w:tcPr>
          <w:p>
            <w:pPr>
              <w:pStyle w:val="Normal"/>
              <w:spacing w:lineRule="auto" w:line="480"/>
              <w:jc w:val="center"/>
              <w:rPr>
                <w:rFonts w:ascii="Arial" w:hAnsi="Arial" w:cs="Arial"/>
                <w:sz w:val="24"/>
                <w:szCs w:val="24"/>
                <w:lang w:val="es-MX"/>
              </w:rPr>
            </w:pPr>
            <w:r>
              <w:rPr>
                <w:rFonts w:cs="Arial" w:ascii="Arial" w:hAnsi="Arial"/>
                <w:sz w:val="24"/>
                <w:szCs w:val="24"/>
                <w:lang w:val="es-MX"/>
              </w:rPr>
              <w:t xml:space="preserve">≥ </w:t>
            </w:r>
            <w:r>
              <w:rPr>
                <w:rFonts w:cs="Arial" w:ascii="Arial" w:hAnsi="Arial"/>
                <w:sz w:val="24"/>
                <w:szCs w:val="24"/>
                <w:lang w:val="es-MX"/>
              </w:rPr>
              <w:t>2.0</w:t>
            </w:r>
          </w:p>
        </w:tc>
        <w:tc>
          <w:tcPr>
            <w:tcW w:w="3408" w:type="dxa"/>
            <w:tcBorders>
              <w:top w:val="single" w:sz="8" w:space="0" w:color="000001"/>
            </w:tcBorders>
            <w:shd w:fill="auto" w:val="clear"/>
            <w:vAlign w:val="bottom"/>
          </w:tcPr>
          <w:p>
            <w:pPr>
              <w:pStyle w:val="Normal"/>
              <w:spacing w:lineRule="auto" w:line="480"/>
              <w:jc w:val="center"/>
              <w:rPr/>
            </w:pPr>
            <w:r>
              <w:rPr>
                <w:rFonts w:cs="Arial" w:ascii="Arial" w:hAnsi="Arial"/>
                <w:sz w:val="24"/>
                <w:szCs w:val="24"/>
                <w:lang w:val="es-MX"/>
              </w:rPr>
              <w:t>extrem</w:t>
            </w:r>
            <w:r>
              <w:rPr>
                <w:rFonts w:cs="Arial" w:ascii="Arial" w:hAnsi="Arial"/>
                <w:sz w:val="24"/>
                <w:szCs w:val="24"/>
                <w:lang w:val="es-MX"/>
              </w:rPr>
              <w:t>adamente</w:t>
            </w:r>
            <w:r>
              <w:rPr>
                <w:rFonts w:cs="Arial" w:ascii="Arial" w:hAnsi="Arial"/>
                <w:sz w:val="24"/>
                <w:szCs w:val="24"/>
                <w:lang w:val="es-MX"/>
              </w:rPr>
              <w:t xml:space="preserve"> </w:t>
            </w:r>
            <w:r>
              <w:rPr>
                <w:rFonts w:cs="Arial" w:ascii="Arial" w:hAnsi="Arial"/>
                <w:sz w:val="24"/>
                <w:szCs w:val="24"/>
                <w:lang w:val="es-MX"/>
              </w:rPr>
              <w:t>húmedo</w:t>
            </w:r>
            <w:r>
              <w:rPr>
                <w:rFonts w:cs="Arial" w:ascii="Arial" w:hAnsi="Arial"/>
                <w:sz w:val="24"/>
                <w:szCs w:val="24"/>
                <w:lang w:val="es-MX"/>
              </w:rPr>
              <w:t xml:space="preserve"> (e</w:t>
            </w:r>
            <w:r>
              <w:rPr>
                <w:rFonts w:cs="Arial" w:ascii="Arial" w:hAnsi="Arial"/>
                <w:sz w:val="24"/>
                <w:szCs w:val="24"/>
                <w:lang w:val="es-MX"/>
              </w:rPr>
              <w:t>h</w:t>
            </w:r>
            <w:r>
              <w:rPr>
                <w:rFonts w:cs="Arial" w:ascii="Arial" w:hAnsi="Arial"/>
                <w:sz w:val="24"/>
                <w:szCs w:val="24"/>
                <w:lang w:val="es-MX"/>
              </w:rPr>
              <w:t>)</w:t>
            </w:r>
          </w:p>
        </w:tc>
        <w:tc>
          <w:tcPr>
            <w:tcW w:w="2383" w:type="dxa"/>
            <w:tcBorders>
              <w:top w:val="single" w:sz="8" w:space="0" w:color="000001"/>
            </w:tcBorders>
            <w:shd w:fill="auto" w:val="clear"/>
            <w:vAlign w:val="bottom"/>
          </w:tcPr>
          <w:p>
            <w:pPr>
              <w:pStyle w:val="Normal"/>
              <w:spacing w:lineRule="auto" w:line="480"/>
              <w:jc w:val="center"/>
              <w:rPr>
                <w:rFonts w:ascii="Arial" w:hAnsi="Arial" w:cs="Arial"/>
                <w:sz w:val="24"/>
                <w:szCs w:val="24"/>
                <w:lang w:val="es-MX"/>
              </w:rPr>
            </w:pPr>
            <w:r>
              <w:rPr>
                <w:rFonts w:cs="Arial" w:ascii="Arial" w:hAnsi="Arial"/>
                <w:sz w:val="24"/>
                <w:szCs w:val="24"/>
                <w:lang w:val="es-MX"/>
              </w:rPr>
              <w:t>0.023</w:t>
            </w:r>
          </w:p>
        </w:tc>
      </w:tr>
      <w:tr>
        <w:trPr/>
        <w:tc>
          <w:tcPr>
            <w:tcW w:w="2713" w:type="dxa"/>
            <w:tcBorders/>
            <w:shd w:fill="auto" w:val="clear"/>
            <w:vAlign w:val="bottom"/>
          </w:tcPr>
          <w:p>
            <w:pPr>
              <w:pStyle w:val="Normal"/>
              <w:spacing w:lineRule="auto" w:line="480"/>
              <w:jc w:val="center"/>
              <w:rPr/>
            </w:pPr>
            <w:r>
              <w:rPr>
                <w:rFonts w:cs="Arial" w:ascii="Arial" w:hAnsi="Arial"/>
                <w:sz w:val="24"/>
                <w:szCs w:val="24"/>
                <w:lang w:val="es-MX"/>
              </w:rPr>
              <w:t xml:space="preserve">1.5 </w:t>
            </w:r>
            <w:r>
              <w:rPr>
                <w:rFonts w:cs="Arial" w:ascii="Arial" w:hAnsi="Arial"/>
                <w:sz w:val="24"/>
                <w:szCs w:val="24"/>
                <w:lang w:val="es-MX"/>
              </w:rPr>
              <w:t>a</w:t>
            </w:r>
            <w:r>
              <w:rPr>
                <w:rFonts w:cs="Arial" w:ascii="Arial" w:hAnsi="Arial"/>
                <w:sz w:val="24"/>
                <w:szCs w:val="24"/>
                <w:lang w:val="es-MX"/>
              </w:rPr>
              <w:t xml:space="preserve"> 1.99</w:t>
            </w:r>
          </w:p>
        </w:tc>
        <w:tc>
          <w:tcPr>
            <w:tcW w:w="3408" w:type="dxa"/>
            <w:tcBorders/>
            <w:shd w:fill="auto" w:val="clear"/>
            <w:vAlign w:val="bottom"/>
          </w:tcPr>
          <w:p>
            <w:pPr>
              <w:pStyle w:val="Normal"/>
              <w:spacing w:lineRule="auto" w:line="480"/>
              <w:jc w:val="center"/>
              <w:rPr/>
            </w:pPr>
            <w:r>
              <w:rPr>
                <w:rFonts w:cs="Arial" w:ascii="Arial" w:hAnsi="Arial"/>
                <w:sz w:val="24"/>
                <w:szCs w:val="24"/>
                <w:lang w:val="es-MX"/>
              </w:rPr>
              <w:t>severamente</w:t>
            </w:r>
            <w:r>
              <w:rPr>
                <w:rFonts w:cs="Arial" w:ascii="Arial" w:hAnsi="Arial"/>
                <w:sz w:val="24"/>
                <w:szCs w:val="24"/>
                <w:lang w:val="es-MX"/>
              </w:rPr>
              <w:t xml:space="preserve"> </w:t>
            </w:r>
            <w:r>
              <w:rPr>
                <w:rFonts w:cs="Arial" w:ascii="Arial" w:hAnsi="Arial"/>
                <w:sz w:val="24"/>
                <w:szCs w:val="24"/>
                <w:lang w:val="es-MX"/>
              </w:rPr>
              <w:t>húmedo</w:t>
            </w:r>
            <w:r>
              <w:rPr>
                <w:rFonts w:cs="Arial" w:ascii="Arial" w:hAnsi="Arial"/>
                <w:sz w:val="24"/>
                <w:szCs w:val="24"/>
                <w:lang w:val="es-MX"/>
              </w:rPr>
              <w:t xml:space="preserve"> (s</w:t>
            </w:r>
            <w:r>
              <w:rPr>
                <w:rFonts w:cs="Arial" w:ascii="Arial" w:hAnsi="Arial"/>
                <w:sz w:val="24"/>
                <w:szCs w:val="24"/>
                <w:lang w:val="es-MX"/>
              </w:rPr>
              <w:t>h</w:t>
            </w:r>
            <w:r>
              <w:rPr>
                <w:rFonts w:cs="Arial" w:ascii="Arial" w:hAnsi="Arial"/>
                <w:sz w:val="24"/>
                <w:szCs w:val="24"/>
                <w:lang w:val="es-MX"/>
              </w:rPr>
              <w:t>)</w:t>
            </w:r>
          </w:p>
        </w:tc>
        <w:tc>
          <w:tcPr>
            <w:tcW w:w="2383" w:type="dxa"/>
            <w:tcBorders/>
            <w:shd w:fill="auto" w:val="clear"/>
            <w:vAlign w:val="bottom"/>
          </w:tcPr>
          <w:p>
            <w:pPr>
              <w:pStyle w:val="Normal"/>
              <w:spacing w:lineRule="auto" w:line="480"/>
              <w:jc w:val="center"/>
              <w:rPr>
                <w:rFonts w:ascii="Arial" w:hAnsi="Arial" w:cs="Arial"/>
                <w:sz w:val="24"/>
                <w:szCs w:val="24"/>
                <w:lang w:val="es-MX"/>
              </w:rPr>
            </w:pPr>
            <w:r>
              <w:rPr>
                <w:rFonts w:cs="Arial" w:ascii="Arial" w:hAnsi="Arial"/>
                <w:sz w:val="24"/>
                <w:szCs w:val="24"/>
                <w:lang w:val="es-MX"/>
              </w:rPr>
              <w:t>0.044</w:t>
            </w:r>
          </w:p>
        </w:tc>
      </w:tr>
      <w:tr>
        <w:trPr/>
        <w:tc>
          <w:tcPr>
            <w:tcW w:w="2713" w:type="dxa"/>
            <w:tcBorders/>
            <w:shd w:fill="auto" w:val="clear"/>
            <w:vAlign w:val="bottom"/>
          </w:tcPr>
          <w:p>
            <w:pPr>
              <w:pStyle w:val="Normal"/>
              <w:spacing w:lineRule="auto" w:line="480"/>
              <w:jc w:val="center"/>
              <w:rPr/>
            </w:pPr>
            <w:r>
              <w:rPr>
                <w:rFonts w:cs="Arial" w:ascii="Arial" w:hAnsi="Arial"/>
                <w:sz w:val="24"/>
                <w:szCs w:val="24"/>
                <w:lang w:val="es-MX"/>
              </w:rPr>
              <w:t xml:space="preserve">1.0 </w:t>
            </w:r>
            <w:r>
              <w:rPr>
                <w:rFonts w:cs="Arial" w:ascii="Arial" w:hAnsi="Arial"/>
                <w:sz w:val="24"/>
                <w:szCs w:val="24"/>
                <w:lang w:val="es-MX"/>
              </w:rPr>
              <w:t>a</w:t>
            </w:r>
            <w:r>
              <w:rPr>
                <w:rFonts w:cs="Arial" w:ascii="Arial" w:hAnsi="Arial"/>
                <w:sz w:val="24"/>
                <w:szCs w:val="24"/>
                <w:lang w:val="es-MX"/>
              </w:rPr>
              <w:t xml:space="preserve"> 1.49</w:t>
            </w:r>
          </w:p>
        </w:tc>
        <w:tc>
          <w:tcPr>
            <w:tcW w:w="3408" w:type="dxa"/>
            <w:tcBorders/>
            <w:shd w:fill="auto" w:val="clear"/>
            <w:vAlign w:val="bottom"/>
          </w:tcPr>
          <w:p>
            <w:pPr>
              <w:pStyle w:val="Normal"/>
              <w:spacing w:lineRule="auto" w:line="480"/>
              <w:jc w:val="center"/>
              <w:rPr/>
            </w:pPr>
            <w:r>
              <w:rPr>
                <w:rFonts w:cs="Arial" w:ascii="Arial" w:hAnsi="Arial"/>
                <w:sz w:val="24"/>
                <w:szCs w:val="24"/>
                <w:lang w:val="es-MX"/>
              </w:rPr>
              <w:t>moderadamente</w:t>
            </w:r>
            <w:r>
              <w:rPr>
                <w:rFonts w:cs="Arial" w:ascii="Arial" w:hAnsi="Arial"/>
                <w:sz w:val="24"/>
                <w:szCs w:val="24"/>
                <w:lang w:val="es-MX"/>
              </w:rPr>
              <w:t xml:space="preserve"> </w:t>
            </w:r>
            <w:r>
              <w:rPr>
                <w:rFonts w:cs="Arial" w:ascii="Arial" w:hAnsi="Arial"/>
                <w:sz w:val="24"/>
                <w:szCs w:val="24"/>
                <w:lang w:val="es-MX"/>
              </w:rPr>
              <w:t>húmedo</w:t>
            </w:r>
            <w:r>
              <w:rPr>
                <w:rFonts w:cs="Arial" w:ascii="Arial" w:hAnsi="Arial"/>
                <w:sz w:val="24"/>
                <w:szCs w:val="24"/>
                <w:lang w:val="es-MX"/>
              </w:rPr>
              <w:t xml:space="preserve"> (m</w:t>
            </w:r>
            <w:r>
              <w:rPr>
                <w:rFonts w:cs="Arial" w:ascii="Arial" w:hAnsi="Arial"/>
                <w:sz w:val="24"/>
                <w:szCs w:val="24"/>
                <w:lang w:val="es-MX"/>
              </w:rPr>
              <w:t>h</w:t>
            </w:r>
            <w:r>
              <w:rPr>
                <w:rFonts w:cs="Arial" w:ascii="Arial" w:hAnsi="Arial"/>
                <w:sz w:val="24"/>
                <w:szCs w:val="24"/>
                <w:lang w:val="es-MX"/>
              </w:rPr>
              <w:t>)</w:t>
            </w:r>
          </w:p>
        </w:tc>
        <w:tc>
          <w:tcPr>
            <w:tcW w:w="2383" w:type="dxa"/>
            <w:tcBorders/>
            <w:shd w:fill="auto" w:val="clear"/>
            <w:vAlign w:val="bottom"/>
          </w:tcPr>
          <w:p>
            <w:pPr>
              <w:pStyle w:val="Normal"/>
              <w:spacing w:lineRule="auto" w:line="480"/>
              <w:jc w:val="center"/>
              <w:rPr>
                <w:rFonts w:ascii="Arial" w:hAnsi="Arial" w:cs="Arial"/>
                <w:sz w:val="24"/>
                <w:szCs w:val="24"/>
                <w:lang w:val="es-MX"/>
              </w:rPr>
            </w:pPr>
            <w:r>
              <w:rPr>
                <w:rFonts w:cs="Arial" w:ascii="Arial" w:hAnsi="Arial"/>
                <w:sz w:val="24"/>
                <w:szCs w:val="24"/>
                <w:lang w:val="es-MX"/>
              </w:rPr>
              <w:t>0.092</w:t>
            </w:r>
          </w:p>
        </w:tc>
      </w:tr>
      <w:tr>
        <w:trPr/>
        <w:tc>
          <w:tcPr>
            <w:tcW w:w="2713" w:type="dxa"/>
            <w:tcBorders/>
            <w:shd w:fill="auto" w:val="clear"/>
            <w:vAlign w:val="bottom"/>
          </w:tcPr>
          <w:p>
            <w:pPr>
              <w:pStyle w:val="Normal"/>
              <w:spacing w:lineRule="auto" w:line="480"/>
              <w:jc w:val="center"/>
              <w:rPr/>
            </w:pPr>
            <w:r>
              <w:rPr>
                <w:rFonts w:cs="Arial" w:ascii="Arial" w:hAnsi="Arial"/>
                <w:sz w:val="24"/>
                <w:szCs w:val="24"/>
                <w:lang w:val="es-MX"/>
              </w:rPr>
              <w:t xml:space="preserve">-0.99 </w:t>
            </w:r>
            <w:r>
              <w:rPr>
                <w:rFonts w:cs="Arial" w:ascii="Arial" w:hAnsi="Arial"/>
                <w:sz w:val="24"/>
                <w:szCs w:val="24"/>
                <w:lang w:val="es-MX"/>
              </w:rPr>
              <w:t>a</w:t>
            </w:r>
            <w:r>
              <w:rPr>
                <w:rFonts w:cs="Arial" w:ascii="Arial" w:hAnsi="Arial"/>
                <w:sz w:val="24"/>
                <w:szCs w:val="24"/>
                <w:lang w:val="es-MX"/>
              </w:rPr>
              <w:t xml:space="preserve"> 0.99</w:t>
            </w:r>
          </w:p>
        </w:tc>
        <w:tc>
          <w:tcPr>
            <w:tcW w:w="3408" w:type="dxa"/>
            <w:tcBorders/>
            <w:shd w:fill="auto" w:val="clear"/>
            <w:vAlign w:val="bottom"/>
          </w:tcPr>
          <w:p>
            <w:pPr>
              <w:pStyle w:val="Normal"/>
              <w:spacing w:lineRule="auto" w:line="480"/>
              <w:jc w:val="center"/>
              <w:rPr/>
            </w:pPr>
            <w:r>
              <w:rPr>
                <w:rFonts w:cs="Arial" w:ascii="Arial" w:hAnsi="Arial"/>
                <w:sz w:val="24"/>
                <w:szCs w:val="24"/>
                <w:lang w:val="es-MX"/>
              </w:rPr>
              <w:t>aproxima</w:t>
            </w:r>
            <w:r>
              <w:rPr>
                <w:rFonts w:cs="Arial" w:ascii="Arial" w:hAnsi="Arial"/>
                <w:sz w:val="24"/>
                <w:szCs w:val="24"/>
                <w:lang w:val="es-MX"/>
              </w:rPr>
              <w:t>damente</w:t>
            </w:r>
            <w:r>
              <w:rPr>
                <w:rFonts w:cs="Arial" w:ascii="Arial" w:hAnsi="Arial"/>
                <w:sz w:val="24"/>
                <w:szCs w:val="24"/>
                <w:lang w:val="es-MX"/>
              </w:rPr>
              <w:t xml:space="preserve"> normal (an) </w:t>
            </w:r>
          </w:p>
        </w:tc>
        <w:tc>
          <w:tcPr>
            <w:tcW w:w="2383" w:type="dxa"/>
            <w:tcBorders/>
            <w:shd w:fill="auto" w:val="clear"/>
            <w:vAlign w:val="bottom"/>
          </w:tcPr>
          <w:p>
            <w:pPr>
              <w:pStyle w:val="Normal"/>
              <w:spacing w:lineRule="auto" w:line="480"/>
              <w:jc w:val="center"/>
              <w:rPr>
                <w:rFonts w:ascii="Arial" w:hAnsi="Arial" w:cs="Arial"/>
                <w:sz w:val="24"/>
                <w:szCs w:val="24"/>
                <w:lang w:val="es-MX"/>
              </w:rPr>
            </w:pPr>
            <w:r>
              <w:rPr>
                <w:rFonts w:cs="Arial" w:ascii="Arial" w:hAnsi="Arial"/>
                <w:sz w:val="24"/>
                <w:szCs w:val="24"/>
                <w:lang w:val="es-MX"/>
              </w:rPr>
              <w:t>0.682</w:t>
            </w:r>
          </w:p>
        </w:tc>
      </w:tr>
      <w:tr>
        <w:trPr/>
        <w:tc>
          <w:tcPr>
            <w:tcW w:w="2713" w:type="dxa"/>
            <w:tcBorders/>
            <w:shd w:fill="auto" w:val="clear"/>
            <w:vAlign w:val="bottom"/>
          </w:tcPr>
          <w:p>
            <w:pPr>
              <w:pStyle w:val="Normal"/>
              <w:spacing w:lineRule="auto" w:line="480"/>
              <w:jc w:val="center"/>
              <w:rPr/>
            </w:pPr>
            <w:r>
              <w:rPr>
                <w:rFonts w:cs="Arial" w:ascii="Arial" w:hAnsi="Arial"/>
                <w:sz w:val="24"/>
                <w:szCs w:val="24"/>
                <w:lang w:val="es-MX"/>
              </w:rPr>
              <w:t xml:space="preserve">-1.0 </w:t>
            </w:r>
            <w:r>
              <w:rPr>
                <w:rFonts w:cs="Arial" w:ascii="Arial" w:hAnsi="Arial"/>
                <w:sz w:val="24"/>
                <w:szCs w:val="24"/>
                <w:lang w:val="es-MX"/>
              </w:rPr>
              <w:t>a</w:t>
            </w:r>
            <w:r>
              <w:rPr>
                <w:rFonts w:cs="Arial" w:ascii="Arial" w:hAnsi="Arial"/>
                <w:sz w:val="24"/>
                <w:szCs w:val="24"/>
                <w:lang w:val="es-MX"/>
              </w:rPr>
              <w:t xml:space="preserve"> -1.49</w:t>
            </w:r>
          </w:p>
        </w:tc>
        <w:tc>
          <w:tcPr>
            <w:tcW w:w="3408" w:type="dxa"/>
            <w:tcBorders/>
            <w:shd w:fill="auto" w:val="clear"/>
            <w:vAlign w:val="bottom"/>
          </w:tcPr>
          <w:p>
            <w:pPr>
              <w:pStyle w:val="Normal"/>
              <w:spacing w:lineRule="auto" w:line="480"/>
              <w:jc w:val="center"/>
              <w:rPr/>
            </w:pPr>
            <w:r>
              <w:rPr>
                <w:rFonts w:cs="Arial" w:ascii="Arial" w:hAnsi="Arial"/>
                <w:sz w:val="24"/>
                <w:szCs w:val="24"/>
                <w:lang w:val="es-MX"/>
              </w:rPr>
              <w:t>modera</w:t>
            </w:r>
            <w:r>
              <w:rPr>
                <w:rFonts w:cs="Arial" w:ascii="Arial" w:hAnsi="Arial"/>
                <w:sz w:val="24"/>
                <w:szCs w:val="24"/>
                <w:lang w:val="es-MX"/>
              </w:rPr>
              <w:t>damente</w:t>
            </w:r>
            <w:r>
              <w:rPr>
                <w:rFonts w:cs="Arial" w:ascii="Arial" w:hAnsi="Arial"/>
                <w:sz w:val="24"/>
                <w:szCs w:val="24"/>
                <w:lang w:val="es-MX"/>
              </w:rPr>
              <w:t xml:space="preserve"> </w:t>
            </w:r>
            <w:r>
              <w:rPr>
                <w:rFonts w:cs="Arial" w:ascii="Arial" w:hAnsi="Arial"/>
                <w:sz w:val="24"/>
                <w:szCs w:val="24"/>
                <w:lang w:val="es-MX"/>
              </w:rPr>
              <w:t>seco</w:t>
            </w:r>
            <w:r>
              <w:rPr>
                <w:rFonts w:cs="Arial" w:ascii="Arial" w:hAnsi="Arial"/>
                <w:sz w:val="24"/>
                <w:szCs w:val="24"/>
                <w:lang w:val="es-MX"/>
              </w:rPr>
              <w:t xml:space="preserve"> (m</w:t>
            </w:r>
            <w:r>
              <w:rPr>
                <w:rFonts w:cs="Arial" w:ascii="Arial" w:hAnsi="Arial"/>
                <w:sz w:val="24"/>
                <w:szCs w:val="24"/>
                <w:lang w:val="es-MX"/>
              </w:rPr>
              <w:t>s</w:t>
            </w:r>
            <w:r>
              <w:rPr>
                <w:rFonts w:cs="Arial" w:ascii="Arial" w:hAnsi="Arial"/>
                <w:sz w:val="24"/>
                <w:szCs w:val="24"/>
                <w:lang w:val="es-MX"/>
              </w:rPr>
              <w:t>)</w:t>
            </w:r>
          </w:p>
        </w:tc>
        <w:tc>
          <w:tcPr>
            <w:tcW w:w="2383" w:type="dxa"/>
            <w:tcBorders/>
            <w:shd w:fill="auto" w:val="clear"/>
            <w:vAlign w:val="bottom"/>
          </w:tcPr>
          <w:p>
            <w:pPr>
              <w:pStyle w:val="Normal"/>
              <w:spacing w:lineRule="auto" w:line="480"/>
              <w:jc w:val="center"/>
              <w:rPr>
                <w:rFonts w:ascii="Arial" w:hAnsi="Arial" w:cs="Arial"/>
                <w:sz w:val="24"/>
                <w:szCs w:val="24"/>
                <w:lang w:val="es-MX"/>
              </w:rPr>
            </w:pPr>
            <w:r>
              <w:rPr>
                <w:rFonts w:cs="Arial" w:ascii="Arial" w:hAnsi="Arial"/>
                <w:sz w:val="24"/>
                <w:szCs w:val="24"/>
                <w:lang w:val="es-MX"/>
              </w:rPr>
              <w:t>0.092</w:t>
            </w:r>
          </w:p>
        </w:tc>
      </w:tr>
      <w:tr>
        <w:trPr/>
        <w:tc>
          <w:tcPr>
            <w:tcW w:w="2713" w:type="dxa"/>
            <w:tcBorders/>
            <w:shd w:fill="auto" w:val="clear"/>
            <w:vAlign w:val="bottom"/>
          </w:tcPr>
          <w:p>
            <w:pPr>
              <w:pStyle w:val="Normal"/>
              <w:spacing w:lineRule="auto" w:line="480"/>
              <w:jc w:val="center"/>
              <w:rPr/>
            </w:pPr>
            <w:r>
              <w:rPr>
                <w:rFonts w:cs="Arial" w:ascii="Arial" w:hAnsi="Arial"/>
                <w:sz w:val="24"/>
                <w:szCs w:val="24"/>
                <w:lang w:val="es-MX"/>
              </w:rPr>
              <w:t xml:space="preserve">-1.5 </w:t>
            </w:r>
            <w:r>
              <w:rPr>
                <w:rFonts w:cs="Arial" w:ascii="Arial" w:hAnsi="Arial"/>
                <w:sz w:val="24"/>
                <w:szCs w:val="24"/>
                <w:lang w:val="es-MX"/>
              </w:rPr>
              <w:t>a</w:t>
            </w:r>
            <w:r>
              <w:rPr>
                <w:rFonts w:cs="Arial" w:ascii="Arial" w:hAnsi="Arial"/>
                <w:sz w:val="24"/>
                <w:szCs w:val="24"/>
                <w:lang w:val="es-MX"/>
              </w:rPr>
              <w:t xml:space="preserve"> -1.99</w:t>
            </w:r>
          </w:p>
        </w:tc>
        <w:tc>
          <w:tcPr>
            <w:tcW w:w="3408" w:type="dxa"/>
            <w:tcBorders/>
            <w:shd w:fill="auto" w:val="clear"/>
            <w:vAlign w:val="bottom"/>
          </w:tcPr>
          <w:p>
            <w:pPr>
              <w:pStyle w:val="Normal"/>
              <w:spacing w:lineRule="auto" w:line="480"/>
              <w:jc w:val="center"/>
              <w:rPr/>
            </w:pPr>
            <w:r>
              <w:rPr>
                <w:rFonts w:cs="Arial" w:ascii="Arial" w:hAnsi="Arial"/>
                <w:sz w:val="24"/>
                <w:szCs w:val="24"/>
                <w:lang w:val="es-MX"/>
              </w:rPr>
              <w:t>sever</w:t>
            </w:r>
            <w:r>
              <w:rPr>
                <w:rFonts w:cs="Arial" w:ascii="Arial" w:hAnsi="Arial"/>
                <w:sz w:val="24"/>
                <w:szCs w:val="24"/>
                <w:lang w:val="es-MX"/>
              </w:rPr>
              <w:t>amente</w:t>
            </w:r>
            <w:r>
              <w:rPr>
                <w:rFonts w:cs="Arial" w:ascii="Arial" w:hAnsi="Arial"/>
                <w:sz w:val="24"/>
                <w:szCs w:val="24"/>
                <w:lang w:val="es-MX"/>
              </w:rPr>
              <w:t xml:space="preserve"> </w:t>
            </w:r>
            <w:r>
              <w:rPr>
                <w:rFonts w:cs="Arial" w:ascii="Arial" w:hAnsi="Arial"/>
                <w:sz w:val="24"/>
                <w:szCs w:val="24"/>
                <w:lang w:val="es-MX"/>
              </w:rPr>
              <w:t>seco</w:t>
            </w:r>
            <w:r>
              <w:rPr>
                <w:rFonts w:cs="Arial" w:ascii="Arial" w:hAnsi="Arial"/>
                <w:sz w:val="24"/>
                <w:szCs w:val="24"/>
                <w:lang w:val="es-MX"/>
              </w:rPr>
              <w:t xml:space="preserve"> (s</w:t>
            </w:r>
            <w:r>
              <w:rPr>
                <w:rFonts w:cs="Arial" w:ascii="Arial" w:hAnsi="Arial"/>
                <w:sz w:val="24"/>
                <w:szCs w:val="24"/>
                <w:lang w:val="es-MX"/>
              </w:rPr>
              <w:t>s</w:t>
            </w:r>
            <w:r>
              <w:rPr>
                <w:rFonts w:cs="Arial" w:ascii="Arial" w:hAnsi="Arial"/>
                <w:sz w:val="24"/>
                <w:szCs w:val="24"/>
                <w:lang w:val="es-MX"/>
              </w:rPr>
              <w:t>)</w:t>
            </w:r>
          </w:p>
        </w:tc>
        <w:tc>
          <w:tcPr>
            <w:tcW w:w="2383" w:type="dxa"/>
            <w:tcBorders/>
            <w:shd w:fill="auto" w:val="clear"/>
            <w:vAlign w:val="bottom"/>
          </w:tcPr>
          <w:p>
            <w:pPr>
              <w:pStyle w:val="Normal"/>
              <w:spacing w:lineRule="auto" w:line="480"/>
              <w:jc w:val="center"/>
              <w:rPr>
                <w:rFonts w:ascii="Arial" w:hAnsi="Arial" w:cs="Arial"/>
                <w:sz w:val="24"/>
                <w:szCs w:val="24"/>
                <w:lang w:val="es-MX"/>
              </w:rPr>
            </w:pPr>
            <w:r>
              <w:rPr>
                <w:rFonts w:cs="Arial" w:ascii="Arial" w:hAnsi="Arial"/>
                <w:sz w:val="24"/>
                <w:szCs w:val="24"/>
                <w:lang w:val="es-MX"/>
              </w:rPr>
              <w:t>0.044</w:t>
            </w:r>
          </w:p>
        </w:tc>
      </w:tr>
      <w:tr>
        <w:trPr/>
        <w:tc>
          <w:tcPr>
            <w:tcW w:w="2713" w:type="dxa"/>
            <w:tcBorders>
              <w:bottom w:val="single" w:sz="8" w:space="0" w:color="000001"/>
              <w:insideH w:val="single" w:sz="8" w:space="0" w:color="000001"/>
            </w:tcBorders>
            <w:shd w:fill="auto" w:val="clear"/>
            <w:vAlign w:val="bottom"/>
          </w:tcPr>
          <w:p>
            <w:pPr>
              <w:pStyle w:val="Normal"/>
              <w:spacing w:lineRule="auto" w:line="480"/>
              <w:jc w:val="center"/>
              <w:rPr>
                <w:rFonts w:ascii="Arial" w:hAnsi="Arial" w:cs="Arial"/>
                <w:sz w:val="24"/>
                <w:szCs w:val="24"/>
                <w:lang w:val="es-MX"/>
              </w:rPr>
            </w:pPr>
            <w:r>
              <w:rPr>
                <w:rFonts w:cs="Arial" w:ascii="Arial" w:hAnsi="Arial"/>
                <w:sz w:val="24"/>
                <w:szCs w:val="24"/>
                <w:lang w:val="es-MX"/>
              </w:rPr>
              <w:t xml:space="preserve">≤ </w:t>
            </w:r>
            <w:r>
              <w:rPr>
                <w:rFonts w:cs="Arial" w:ascii="Arial" w:hAnsi="Arial"/>
                <w:sz w:val="24"/>
                <w:szCs w:val="24"/>
                <w:lang w:val="es-MX"/>
              </w:rPr>
              <w:t>-2</w:t>
            </w:r>
          </w:p>
        </w:tc>
        <w:tc>
          <w:tcPr>
            <w:tcW w:w="3408" w:type="dxa"/>
            <w:tcBorders>
              <w:bottom w:val="single" w:sz="8" w:space="0" w:color="000001"/>
              <w:insideH w:val="single" w:sz="8" w:space="0" w:color="000001"/>
            </w:tcBorders>
            <w:shd w:fill="auto" w:val="clear"/>
            <w:vAlign w:val="bottom"/>
          </w:tcPr>
          <w:p>
            <w:pPr>
              <w:pStyle w:val="Normal"/>
              <w:spacing w:lineRule="auto" w:line="480"/>
              <w:jc w:val="center"/>
              <w:rPr/>
            </w:pPr>
            <w:r>
              <w:rPr>
                <w:rFonts w:cs="Arial" w:ascii="Arial" w:hAnsi="Arial"/>
                <w:sz w:val="24"/>
                <w:szCs w:val="24"/>
                <w:lang w:val="es-MX"/>
              </w:rPr>
              <w:t>extrem</w:t>
            </w:r>
            <w:r>
              <w:rPr>
                <w:rFonts w:cs="Arial" w:ascii="Arial" w:hAnsi="Arial"/>
                <w:sz w:val="24"/>
                <w:szCs w:val="24"/>
                <w:lang w:val="es-MX"/>
              </w:rPr>
              <w:t>adamente</w:t>
            </w:r>
            <w:r>
              <w:rPr>
                <w:rFonts w:cs="Arial" w:ascii="Arial" w:hAnsi="Arial"/>
                <w:sz w:val="24"/>
                <w:szCs w:val="24"/>
                <w:lang w:val="es-MX"/>
              </w:rPr>
              <w:t xml:space="preserve"> </w:t>
            </w:r>
            <w:r>
              <w:rPr>
                <w:rFonts w:cs="Arial" w:ascii="Arial" w:hAnsi="Arial"/>
                <w:sz w:val="24"/>
                <w:szCs w:val="24"/>
                <w:lang w:val="es-MX"/>
              </w:rPr>
              <w:t>seco</w:t>
            </w:r>
            <w:r>
              <w:rPr>
                <w:rFonts w:cs="Arial" w:ascii="Arial" w:hAnsi="Arial"/>
                <w:sz w:val="24"/>
                <w:szCs w:val="24"/>
                <w:lang w:val="es-MX"/>
              </w:rPr>
              <w:t xml:space="preserve"> (e</w:t>
            </w:r>
            <w:r>
              <w:rPr>
                <w:rFonts w:cs="Arial" w:ascii="Arial" w:hAnsi="Arial"/>
                <w:sz w:val="24"/>
                <w:szCs w:val="24"/>
                <w:lang w:val="es-MX"/>
              </w:rPr>
              <w:t>s</w:t>
            </w:r>
            <w:r>
              <w:rPr>
                <w:rFonts w:cs="Arial" w:ascii="Arial" w:hAnsi="Arial"/>
                <w:sz w:val="24"/>
                <w:szCs w:val="24"/>
                <w:lang w:val="es-MX"/>
              </w:rPr>
              <w:t>)</w:t>
            </w:r>
          </w:p>
        </w:tc>
        <w:tc>
          <w:tcPr>
            <w:tcW w:w="2383" w:type="dxa"/>
            <w:tcBorders>
              <w:bottom w:val="single" w:sz="8" w:space="0" w:color="000001"/>
              <w:insideH w:val="single" w:sz="8" w:space="0" w:color="000001"/>
            </w:tcBorders>
            <w:shd w:fill="auto" w:val="clear"/>
            <w:vAlign w:val="bottom"/>
          </w:tcPr>
          <w:p>
            <w:pPr>
              <w:pStyle w:val="Normal"/>
              <w:spacing w:lineRule="auto" w:line="480"/>
              <w:jc w:val="center"/>
              <w:rPr>
                <w:rFonts w:ascii="Arial" w:hAnsi="Arial" w:cs="Arial"/>
                <w:sz w:val="24"/>
                <w:szCs w:val="24"/>
                <w:lang w:val="es-MX"/>
              </w:rPr>
            </w:pPr>
            <w:r>
              <w:rPr>
                <w:rFonts w:cs="Arial" w:ascii="Arial" w:hAnsi="Arial"/>
                <w:sz w:val="24"/>
                <w:szCs w:val="24"/>
                <w:lang w:val="es-MX"/>
              </w:rPr>
              <w:t>0.023</w:t>
            </w:r>
          </w:p>
        </w:tc>
      </w:tr>
    </w:tbl>
    <w:p>
      <w:pPr>
        <w:pStyle w:val="Normal"/>
        <w:jc w:val="center"/>
        <w:rPr/>
      </w:pPr>
      <w:r>
        <w:rPr/>
      </w:r>
    </w:p>
    <w:p>
      <w:pPr>
        <w:pStyle w:val="Encabezado2"/>
        <w:numPr>
          <w:ilvl w:val="1"/>
          <w:numId w:val="1"/>
        </w:numPr>
        <w:ind w:left="0" w:right="0" w:hanging="0"/>
        <w:rPr/>
      </w:pPr>
      <w:r>
        <w:rPr/>
        <w:t>Partición de la serie de índices SPI</w:t>
      </w:r>
    </w:p>
    <w:p>
      <w:pPr>
        <w:pStyle w:val="Normal"/>
        <w:jc w:val="both"/>
        <w:rPr/>
      </w:pPr>
      <w:r>
        <w:rPr/>
        <w:t xml:space="preserve">Si se utilizan los rangos definidos por la OMM, mostrados en la Tabla 1, para la construcción de un histograma de densidades de probabilidad a partir de los índices SPI </w:t>
      </w:r>
      <w:r>
        <w:rPr/>
        <w:t>d</w:t>
      </w:r>
      <w:r>
        <w:rPr/>
        <w:t xml:space="preserve">el gráfico inferior de la Fig. 6, se obtiene un gráfico semejante al mostrado en la Fig. 8. </w:t>
      </w:r>
      <w:r>
        <w:rPr/>
        <w:t>Debido a la forma de construir la serie de SPIs, el histograma resultante es simétrico y embona perfectamente con la curva descrita por la función normal estandarizada de densidad de probabilidades, que se muestra también superpuesta en la figura. Esto manifiesta que, lo que se ha hecho mediante la obtención de los índices SPI es clasificar los distintos promedios de precipitación ocurridos a lo largo de un período determinado, por encima o por debajo de uno de estos promedios que es la mediana de ellos. Esto, sin embargo, no tiene que ver con la distribución de los promedios a lo largo de la serie de tiempo. Por ejemplo, en el gráfico inferior de la Fig. 6, la línea punteada divide el período de la serie a la mitad, partiendolo en dos a los que se llamará subperíodos, y se puede apreciar de manera sensible que, la mayoría de los valores negativos del SPI se encuentran en el segundo subperíodo, esto es, en el más reciente, mientras que, por el contrario, la mayoría de los valores positivos se encuentran en el primero.</w:t>
      </w:r>
    </w:p>
    <w:p>
      <w:pPr>
        <w:pStyle w:val="Normal"/>
        <w:jc w:val="both"/>
        <w:rPr/>
      </w:pPr>
      <w:r>
        <w:rPr/>
      </w:r>
    </w:p>
    <w:p>
      <w:pPr>
        <w:pStyle w:val="Normal"/>
        <w:jc w:val="center"/>
        <w:rPr>
          <w:i w:val="false"/>
          <w:i w:val="false"/>
          <w:iCs w:val="false"/>
        </w:rPr>
      </w:pPr>
      <w:r>
        <w:rPr>
          <w:i w:val="false"/>
          <w:iCs w:val="false"/>
        </w:rPr>
      </w:r>
      <w:r>
        <mc:AlternateContent>
          <mc:Choice Requires="wps">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249420" cy="2811145"/>
                <wp:effectExtent l="0" t="0" r="0" b="0"/>
                <wp:wrapSquare wrapText="largest"/>
                <wp:docPr id="23" name="Marco8"/>
                <a:graphic xmlns:a="http://schemas.openxmlformats.org/drawingml/2006/main">
                  <a:graphicData uri="http://schemas.microsoft.com/office/word/2010/wordprocessingShape">
                    <wps:wsp>
                      <wps:cNvSpPr txBox="1"/>
                      <wps:spPr>
                        <a:xfrm>
                          <a:off x="0" y="0"/>
                          <a:ext cx="4249420" cy="2811145"/>
                        </a:xfrm>
                        <a:prstGeom prst="rect"/>
                      </wps:spPr>
                      <wps:txbx>
                        <w:txbxContent>
                          <w:p>
                            <w:pPr>
                              <w:pStyle w:val="Figura"/>
                              <w:spacing w:before="120" w:after="120"/>
                              <w:rPr/>
                            </w:pPr>
                            <w:r>
                              <w:rPr/>
                              <w:drawing>
                                <wp:inline distT="0" distB="0" distL="0" distR="0">
                                  <wp:extent cx="4249420" cy="2209165"/>
                                  <wp:effectExtent l="0" t="0" r="0" b="0"/>
                                  <wp:docPr id="2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9" descr=""/>
                                          <pic:cNvPicPr>
                                            <a:picLocks noChangeAspect="1" noChangeArrowheads="1"/>
                                          </pic:cNvPicPr>
                                        </pic:nvPicPr>
                                        <pic:blipFill>
                                          <a:blip r:embed="rId11"/>
                                          <a:stretch>
                                            <a:fillRect/>
                                          </a:stretch>
                                        </pic:blipFill>
                                        <pic:spPr bwMode="auto">
                                          <a:xfrm>
                                            <a:off x="0" y="0"/>
                                            <a:ext cx="4249420" cy="2209165"/>
                                          </a:xfrm>
                                          <a:prstGeom prst="rect">
                                            <a:avLst/>
                                          </a:prstGeom>
                                        </pic:spPr>
                                      </pic:pic>
                                    </a:graphicData>
                                  </a:graphic>
                                </wp:inline>
                              </w:drawing>
                            </w:r>
                            <w:r>
                              <w:rPr/>
                              <w:br/>
                              <w:t xml:space="preserve">Figura </w:t>
                            </w:r>
                            <w:r>
                              <w:rPr/>
                              <w:fldChar w:fldCharType="begin"/>
                            </w:r>
                            <w:r>
                              <w:instrText> SEQ Figura \* ARABIC </w:instrText>
                            </w:r>
                            <w:r>
                              <w:fldChar w:fldCharType="separate"/>
                            </w:r>
                            <w:r>
                              <w:t>8</w:t>
                            </w:r>
                            <w:r>
                              <w:fldChar w:fldCharType="end"/>
                            </w:r>
                            <w:r>
                              <w:rPr/>
                              <w:t xml:space="preserve">: Histograma de densidad de probabilidades para la serie SPI mostrada en el gráfico inferior de la Fig. 6, con una curva </w:t>
                            </w:r>
                            <w:r>
                              <w:rPr/>
                              <w:t>de densidad normal estandarizada superpuesta.</w:t>
                            </w:r>
                            <w:r>
                              <w:rPr/>
                              <w:t xml:space="preserve"> </w:t>
                            </w:r>
                          </w:p>
                        </w:txbxContent>
                      </wps:txbx>
                      <wps:bodyPr anchor="t" lIns="0" tIns="0" rIns="0" bIns="0">
                        <a:noAutofit/>
                      </wps:bodyPr>
                    </wps:wsp>
                  </a:graphicData>
                </a:graphic>
              </wp:anchor>
            </w:drawing>
          </mc:Choice>
          <mc:Fallback>
            <w:pict>
              <v:rect style="position:absolute;rotation:0;width:334.6pt;height:221.35pt;mso-wrap-distance-left:0pt;mso-wrap-distance-right:0pt;mso-wrap-distance-top:0pt;mso-wrap-distance-bottom:0pt;margin-top:0pt;mso-position-vertical:top;mso-position-vertical-relative:text;margin-left:82pt;mso-position-horizontal:center;mso-position-horizontal-relative:text">
                <v:textbox inset="0in,0in,0in,0in">
                  <w:txbxContent>
                    <w:p>
                      <w:pPr>
                        <w:pStyle w:val="Figura"/>
                        <w:spacing w:before="120" w:after="120"/>
                        <w:rPr/>
                      </w:pPr>
                      <w:r>
                        <w:rPr/>
                        <w:drawing>
                          <wp:inline distT="0" distB="0" distL="0" distR="0">
                            <wp:extent cx="4249420" cy="2209165"/>
                            <wp:effectExtent l="0" t="0" r="0" b="0"/>
                            <wp:docPr id="2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9" descr=""/>
                                    <pic:cNvPicPr>
                                      <a:picLocks noChangeAspect="1" noChangeArrowheads="1"/>
                                    </pic:cNvPicPr>
                                  </pic:nvPicPr>
                                  <pic:blipFill>
                                    <a:blip r:embed="rId11"/>
                                    <a:stretch>
                                      <a:fillRect/>
                                    </a:stretch>
                                  </pic:blipFill>
                                  <pic:spPr bwMode="auto">
                                    <a:xfrm>
                                      <a:off x="0" y="0"/>
                                      <a:ext cx="4249420" cy="2209165"/>
                                    </a:xfrm>
                                    <a:prstGeom prst="rect">
                                      <a:avLst/>
                                    </a:prstGeom>
                                  </pic:spPr>
                                </pic:pic>
                              </a:graphicData>
                            </a:graphic>
                          </wp:inline>
                        </w:drawing>
                      </w:r>
                      <w:r>
                        <w:rPr/>
                        <w:br/>
                        <w:t xml:space="preserve">Figura </w:t>
                      </w:r>
                      <w:r>
                        <w:rPr/>
                        <w:fldChar w:fldCharType="begin"/>
                      </w:r>
                      <w:r>
                        <w:instrText> SEQ Figura \* ARABIC </w:instrText>
                      </w:r>
                      <w:r>
                        <w:fldChar w:fldCharType="separate"/>
                      </w:r>
                      <w:r>
                        <w:t>8</w:t>
                      </w:r>
                      <w:r>
                        <w:fldChar w:fldCharType="end"/>
                      </w:r>
                      <w:r>
                        <w:rPr/>
                        <w:t xml:space="preserve">: Histograma de densidad de probabilidades para la serie SPI mostrada en el gráfico inferior de la Fig. 6, con una curva </w:t>
                      </w:r>
                      <w:r>
                        <w:rPr/>
                        <w:t>de densidad normal estandarizada superpuesta.</w:t>
                      </w:r>
                      <w:r>
                        <w:rPr/>
                        <w:t xml:space="preserve"> </w:t>
                      </w:r>
                    </w:p>
                  </w:txbxContent>
                </v:textbox>
                <w10:wrap type="square" side="largest"/>
              </v:rect>
            </w:pict>
          </mc:Fallback>
        </mc:AlternateContent>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both"/>
        <w:rPr>
          <w:i w:val="false"/>
          <w:i w:val="false"/>
          <w:iCs w:val="false"/>
        </w:rPr>
      </w:pPr>
      <w:r>
        <w:rPr>
          <w:i w:val="false"/>
          <w:iCs w:val="false"/>
        </w:rPr>
        <w:t xml:space="preserve">De la observación anterior, </w:t>
      </w:r>
      <w:r>
        <w:rPr>
          <w:i w:val="false"/>
          <w:iCs w:val="false"/>
        </w:rPr>
        <w:t>surge la idea de construir dos histogramas: uno para cada subperíodo. Estos histogramas se muestran en la Fig. 9, a manera de espejo para hacer comparaciones entre ellos.</w:t>
      </w:r>
    </w:p>
    <w:p>
      <w:pPr>
        <w:pStyle w:val="Normal"/>
        <w:jc w:val="both"/>
        <w:rPr>
          <w:i w:val="false"/>
          <w:i w:val="false"/>
          <w:iCs w:val="false"/>
        </w:rPr>
      </w:pPr>
      <w:r>
        <w:rPr>
          <w:i w:val="false"/>
          <w:iCs w:val="false"/>
        </w:rPr>
      </w:r>
    </w:p>
    <w:p>
      <w:pPr>
        <w:pStyle w:val="Normal"/>
        <w:jc w:val="both"/>
        <w:rPr>
          <w:i w:val="false"/>
          <w:i w:val="false"/>
          <w:iCs w:val="false"/>
        </w:rPr>
      </w:pPr>
      <w:r>
        <w:rPr>
          <w:i w:val="false"/>
          <w:iCs w:val="false"/>
        </w:rPr>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769360" cy="4417695"/>
                <wp:effectExtent l="0" t="0" r="0" b="0"/>
                <wp:wrapSquare wrapText="largest"/>
                <wp:docPr id="26" name="Marco9"/>
                <a:graphic xmlns:a="http://schemas.openxmlformats.org/drawingml/2006/main">
                  <a:graphicData uri="http://schemas.microsoft.com/office/word/2010/wordprocessingShape">
                    <wps:wsp>
                      <wps:cNvSpPr txBox="1"/>
                      <wps:spPr>
                        <a:xfrm>
                          <a:off x="0" y="0"/>
                          <a:ext cx="3769360" cy="4417695"/>
                        </a:xfrm>
                        <a:prstGeom prst="rect"/>
                      </wps:spPr>
                      <wps:txbx>
                        <w:txbxContent>
                          <w:p>
                            <w:pPr>
                              <w:pStyle w:val="Figura"/>
                              <w:spacing w:before="120" w:after="120"/>
                              <w:rPr/>
                            </w:pPr>
                            <w:r>
                              <w:rPr/>
                              <w:drawing>
                                <wp:inline distT="0" distB="0" distL="0" distR="0">
                                  <wp:extent cx="3769360" cy="3289935"/>
                                  <wp:effectExtent l="0" t="0" r="0" b="0"/>
                                  <wp:docPr id="2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0" descr=""/>
                                          <pic:cNvPicPr>
                                            <a:picLocks noChangeAspect="1" noChangeArrowheads="1"/>
                                          </pic:cNvPicPr>
                                        </pic:nvPicPr>
                                        <pic:blipFill>
                                          <a:blip r:embed="rId12"/>
                                          <a:stretch>
                                            <a:fillRect/>
                                          </a:stretch>
                                        </pic:blipFill>
                                        <pic:spPr bwMode="auto">
                                          <a:xfrm>
                                            <a:off x="0" y="0"/>
                                            <a:ext cx="3769360" cy="3289935"/>
                                          </a:xfrm>
                                          <a:prstGeom prst="rect">
                                            <a:avLst/>
                                          </a:prstGeom>
                                        </pic:spPr>
                                      </pic:pic>
                                    </a:graphicData>
                                  </a:graphic>
                                </wp:inline>
                              </w:drawing>
                            </w:r>
                            <w:r>
                              <w:rPr/>
                              <w:br/>
                              <w:t xml:space="preserve">Figura </w:t>
                            </w:r>
                            <w:r>
                              <w:rPr/>
                              <w:fldChar w:fldCharType="begin"/>
                            </w:r>
                            <w:r>
                              <w:instrText> SEQ Figura \* ARABIC </w:instrText>
                            </w:r>
                            <w:r>
                              <w:fldChar w:fldCharType="separate"/>
                            </w:r>
                            <w:r>
                              <w:t>9</w:t>
                            </w:r>
                            <w:r>
                              <w:fldChar w:fldCharType="end"/>
                            </w:r>
                            <w:r>
                              <w:rPr/>
                              <w:t xml:space="preserve">: Histogramas comparativos de los dos subperíodos. </w:t>
                            </w:r>
                            <w:r>
                              <w:rPr/>
                              <w:t>El ancho de las barras no se muestra gráficamente; en vez de ello se han indicado los intervalos y la densidad de probabilidades se muestra en la cabeza de cada barra. Se muestra el índice comparativo, r, para cada intervalo o barras apareadas.</w:t>
                            </w:r>
                          </w:p>
                        </w:txbxContent>
                      </wps:txbx>
                      <wps:bodyPr anchor="t" lIns="0" tIns="0" rIns="0" bIns="0">
                        <a:noAutofit/>
                      </wps:bodyPr>
                    </wps:wsp>
                  </a:graphicData>
                </a:graphic>
              </wp:anchor>
            </w:drawing>
          </mc:Choice>
          <mc:Fallback>
            <w:pict>
              <v:rect style="position:absolute;rotation:0;width:296.8pt;height:347.85pt;mso-wrap-distance-left:0pt;mso-wrap-distance-right:0pt;mso-wrap-distance-top:0pt;mso-wrap-distance-bottom:0pt;margin-top:0pt;mso-position-vertical:top;mso-position-vertical-relative:text;margin-left:100.9pt;mso-position-horizontal:center;mso-position-horizontal-relative:text">
                <v:textbox inset="0in,0in,0in,0in">
                  <w:txbxContent>
                    <w:p>
                      <w:pPr>
                        <w:pStyle w:val="Figura"/>
                        <w:spacing w:before="120" w:after="120"/>
                        <w:rPr/>
                      </w:pPr>
                      <w:r>
                        <w:rPr/>
                        <w:drawing>
                          <wp:inline distT="0" distB="0" distL="0" distR="0">
                            <wp:extent cx="3769360" cy="3289935"/>
                            <wp:effectExtent l="0" t="0" r="0" b="0"/>
                            <wp:docPr id="2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0" descr=""/>
                                    <pic:cNvPicPr>
                                      <a:picLocks noChangeAspect="1" noChangeArrowheads="1"/>
                                    </pic:cNvPicPr>
                                  </pic:nvPicPr>
                                  <pic:blipFill>
                                    <a:blip r:embed="rId12"/>
                                    <a:stretch>
                                      <a:fillRect/>
                                    </a:stretch>
                                  </pic:blipFill>
                                  <pic:spPr bwMode="auto">
                                    <a:xfrm>
                                      <a:off x="0" y="0"/>
                                      <a:ext cx="3769360" cy="3289935"/>
                                    </a:xfrm>
                                    <a:prstGeom prst="rect">
                                      <a:avLst/>
                                    </a:prstGeom>
                                  </pic:spPr>
                                </pic:pic>
                              </a:graphicData>
                            </a:graphic>
                          </wp:inline>
                        </w:drawing>
                      </w:r>
                      <w:r>
                        <w:rPr/>
                        <w:br/>
                        <w:t xml:space="preserve">Figura </w:t>
                      </w:r>
                      <w:r>
                        <w:rPr/>
                        <w:fldChar w:fldCharType="begin"/>
                      </w:r>
                      <w:r>
                        <w:instrText> SEQ Figura \* ARABIC </w:instrText>
                      </w:r>
                      <w:r>
                        <w:fldChar w:fldCharType="separate"/>
                      </w:r>
                      <w:r>
                        <w:t>9</w:t>
                      </w:r>
                      <w:r>
                        <w:fldChar w:fldCharType="end"/>
                      </w:r>
                      <w:r>
                        <w:rPr/>
                        <w:t xml:space="preserve">: Histogramas comparativos de los dos subperíodos. </w:t>
                      </w:r>
                      <w:r>
                        <w:rPr/>
                        <w:t>El ancho de las barras no se muestra gráficamente; en vez de ello se han indicado los intervalos y la densidad de probabilidades se muestra en la cabeza de cada barra. Se muestra el índice comparativo, r, para cada intervalo o barras apareadas.</w:t>
                      </w:r>
                    </w:p>
                  </w:txbxContent>
                </v:textbox>
                <w10:wrap type="square" side="largest"/>
              </v:rect>
            </w:pict>
          </mc:Fallback>
        </mc:AlternateContent>
      </w:r>
    </w:p>
    <w:p>
      <w:pPr>
        <w:pStyle w:val="Cuerpodetexto"/>
        <w:jc w:val="both"/>
        <w:rPr>
          <w:i w:val="false"/>
          <w:i w:val="false"/>
          <w:iCs w:val="false"/>
        </w:rPr>
      </w:pPr>
      <w:r>
        <w:rPr>
          <w:i w:val="false"/>
          <w:iCs w:val="false"/>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Encabezado2"/>
        <w:numPr>
          <w:ilvl w:val="1"/>
          <w:numId w:val="1"/>
        </w:numPr>
        <w:ind w:left="0" w:right="0" w:hanging="0"/>
        <w:rPr/>
      </w:pPr>
      <w:r>
        <w:rPr/>
        <w:t>Índice comparativo del SPI</w:t>
      </w:r>
    </w:p>
    <w:p>
      <w:pPr>
        <w:pStyle w:val="Cuerpodetexto"/>
        <w:jc w:val="both"/>
        <w:rPr/>
      </w:pPr>
      <w:r>
        <w:rPr/>
        <w:t xml:space="preserve">Nótese que, </w:t>
      </w:r>
      <w:r>
        <w:rPr/>
        <w:t>en la Fig. 9, al promediar la altura, o densidad, de cada dos barras apareadas por el mismo intervalo, el resultado coincide con la densidad o altura, para ese intervalo en el histograma de todo el período, presentado en la Fig. 8. Por ejemplo, para el intervalo (1, 1.5], el promedio de 0.347 y 0.069 es: (0.347+0.069)/2 = 0.208, que es la altura de la barra correspondiente a ese intervalo en la Fig. 8. Esta propiedad, derivada de la forma de construir los histogramas, indica que para cada par de histogramas de subperíodos provenientes de un período total, independientemente de la distribución que se presente en el histograma particular, la suma de las alturas de las dos barras correspondientes a un intervalo, siempre será la misma. De aquí se puede definir un índice comparativo entre los dos subperíodos que forman el período, de la siguiente manera:</w:t>
      </w:r>
    </w:p>
    <w:p>
      <w:pPr>
        <w:pStyle w:val="Cuerpodetexto"/>
        <w:jc w:val="center"/>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1139825" cy="469265"/>
            <wp:effectExtent l="0" t="0" r="0" b="0"/>
            <wp:wrapSquare wrapText="largest"/>
            <wp:docPr id="2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1" descr=""/>
                    <pic:cNvPicPr>
                      <a:picLocks noChangeAspect="1" noChangeArrowheads="1"/>
                    </pic:cNvPicPr>
                  </pic:nvPicPr>
                  <pic:blipFill>
                    <a:blip r:embed="rId13"/>
                    <a:stretch>
                      <a:fillRect/>
                    </a:stretch>
                  </pic:blipFill>
                  <pic:spPr bwMode="auto">
                    <a:xfrm>
                      <a:off x="0" y="0"/>
                      <a:ext cx="1139825" cy="469265"/>
                    </a:xfrm>
                    <a:prstGeom prst="rect">
                      <a:avLst/>
                    </a:prstGeom>
                  </pic:spPr>
                </pic:pic>
              </a:graphicData>
            </a:graphic>
          </wp:anchor>
        </w:drawing>
      </w:r>
    </w:p>
    <w:p>
      <w:pPr>
        <w:pStyle w:val="Cuerpodetexto"/>
        <w:jc w:val="both"/>
        <w:rPr/>
      </w:pPr>
      <w:r>
        <w:rPr/>
      </w:r>
    </w:p>
    <w:p>
      <w:pPr>
        <w:pStyle w:val="Cuerpodetexto"/>
        <w:jc w:val="both"/>
        <w:rPr/>
      </w:pPr>
      <w:r>
        <w:rPr/>
        <w:t xml:space="preserve">donde, </w:t>
      </w:r>
      <w:r>
        <w:rPr>
          <w:i/>
          <w:iCs/>
        </w:rPr>
        <w:t>r</w:t>
      </w:r>
      <w:r>
        <w:rPr/>
        <w:t xml:space="preserve"> es el índice comparativo, en porcentaje, </w:t>
      </w:r>
      <w:r>
        <w:rPr>
          <w:i/>
          <w:iCs/>
        </w:rPr>
        <w:t>h</w:t>
      </w:r>
      <w:r>
        <w:rPr>
          <w:vertAlign w:val="subscript"/>
        </w:rPr>
        <w:t>0</w:t>
      </w:r>
      <w:r>
        <w:rPr/>
        <w:t xml:space="preserve"> es la </w:t>
      </w:r>
      <w:r>
        <w:rPr>
          <w:i/>
          <w:iCs/>
        </w:rPr>
        <w:t>altura</w:t>
      </w:r>
      <w:r>
        <w:rPr/>
        <w:t xml:space="preserve"> de la barra del primer subperíodo y </w:t>
      </w:r>
      <w:r>
        <w:rPr>
          <w:i/>
          <w:iCs/>
        </w:rPr>
        <w:t>h</w:t>
      </w:r>
      <w:r>
        <w:rPr>
          <w:vertAlign w:val="subscript"/>
        </w:rPr>
        <w:t>1</w:t>
      </w:r>
      <w:r>
        <w:rPr/>
        <w:t xml:space="preserve"> es la </w:t>
      </w:r>
      <w:r>
        <w:rPr>
          <w:i/>
          <w:iCs/>
        </w:rPr>
        <w:t>altura</w:t>
      </w:r>
      <w:r>
        <w:rPr/>
        <w:t xml:space="preserve"> de la barra del segundo subperíodo. Las etiquetas centrales de la Fig. </w:t>
      </w:r>
      <w:r>
        <w:rPr/>
        <w:t xml:space="preserve">9 muestran, además del intervalo, los valores calculados para el índice </w:t>
      </w:r>
      <w:r>
        <w:rPr>
          <w:i/>
          <w:iCs/>
        </w:rPr>
        <w:t>r</w:t>
      </w:r>
      <w:r>
        <w:rPr/>
        <w:t xml:space="preserve"> correspondiente al intervalo. Claramente, el índice </w:t>
      </w:r>
      <w:r>
        <w:rPr>
          <w:i/>
          <w:iCs/>
        </w:rPr>
        <w:t>r</w:t>
      </w:r>
      <w:r>
        <w:rPr/>
        <w:t xml:space="preserve"> varía entre -100 y 100. Un valor negativo de </w:t>
      </w:r>
      <w:r>
        <w:rPr>
          <w:i/>
          <w:iCs/>
        </w:rPr>
        <w:t>r</w:t>
      </w:r>
      <w:r>
        <w:rPr/>
        <w:t xml:space="preserve"> indica la </w:t>
      </w:r>
      <w:r>
        <w:rPr>
          <w:i/>
          <w:iCs/>
        </w:rPr>
        <w:t>preponderancia</w:t>
      </w:r>
      <w:r>
        <w:rPr/>
        <w:t xml:space="preserve"> del primer subperíodo sobre el segundo, un valor positivo indica que el segundo subperíodo es </w:t>
      </w:r>
      <w:r>
        <w:rPr>
          <w:i/>
          <w:iCs/>
        </w:rPr>
        <w:t xml:space="preserve">preponderante </w:t>
      </w:r>
      <w:r>
        <w:rPr>
          <w:i w:val="false"/>
          <w:iCs w:val="false"/>
        </w:rPr>
        <w:t xml:space="preserve">sobre el primero y un valor cero, indica un equilibrio o igualdad  en ambos subperíodos. Por  ejemplo,  para   el   intervalo   (1, 1.5], </w:t>
      </w:r>
      <w:r>
        <w:rPr>
          <w:i/>
          <w:iCs/>
        </w:rPr>
        <w:t>r</w:t>
      </w:r>
      <w:r>
        <w:rPr>
          <w:i w:val="false"/>
          <w:iCs w:val="false"/>
        </w:rPr>
        <w:t xml:space="preserve"> = - 66.5, lo que indica que </w:t>
      </w:r>
      <w:r>
        <w:rPr>
          <w:i w:val="false"/>
          <w:iCs w:val="false"/>
        </w:rPr>
        <w:t xml:space="preserve">el </w:t>
      </w:r>
      <w:r>
        <w:rPr>
          <w:i w:val="false"/>
          <w:iCs w:val="false"/>
        </w:rPr>
        <w:t>cambio en los</w:t>
      </w:r>
      <w:r>
        <w:rPr>
          <w:i w:val="false"/>
          <w:iCs w:val="false"/>
        </w:rPr>
        <w:t xml:space="preserve"> SPIs categorizados como </w:t>
      </w:r>
      <w:r>
        <w:rPr>
          <w:i/>
          <w:iCs/>
        </w:rPr>
        <w:t>moderadamente húmedos</w:t>
      </w:r>
      <w:r>
        <w:rPr>
          <w:i w:val="false"/>
          <w:iCs w:val="false"/>
        </w:rPr>
        <w:t xml:space="preserve"> </w:t>
      </w:r>
      <w:r>
        <w:rPr>
          <w:i w:val="false"/>
          <w:iCs w:val="false"/>
        </w:rPr>
        <w:t>fue de un 66.5% hacia el</w:t>
      </w:r>
      <w:r>
        <w:rPr>
          <w:i w:val="false"/>
          <w:iCs w:val="false"/>
        </w:rPr>
        <w:t xml:space="preserve"> primer subperíodo, y para el intervalo (-2, -1.5], </w:t>
      </w:r>
      <w:r>
        <w:rPr>
          <w:i/>
          <w:iCs/>
        </w:rPr>
        <w:t>r</w:t>
      </w:r>
      <w:r>
        <w:rPr>
          <w:i w:val="false"/>
          <w:iCs w:val="false"/>
        </w:rPr>
        <w:t xml:space="preserve"> = </w:t>
      </w:r>
      <w:r>
        <w:rPr>
          <w:i w:val="false"/>
          <w:iCs w:val="false"/>
        </w:rPr>
        <w:t xml:space="preserve">50.0, lo que indica que el cambio en los SPIs categorizados como </w:t>
      </w:r>
      <w:r>
        <w:rPr>
          <w:i/>
          <w:iCs/>
        </w:rPr>
        <w:t>severamente secos</w:t>
      </w:r>
      <w:r>
        <w:rPr>
          <w:i w:val="false"/>
          <w:iCs w:val="false"/>
        </w:rPr>
        <w:t xml:space="preserve">, fue de un 50% hacia el segundo subperíodo. Es decir, las sequías severas ocurrieron </w:t>
      </w:r>
      <w:r>
        <w:rPr>
          <w:i/>
          <w:iCs/>
        </w:rPr>
        <w:t>más</w:t>
      </w:r>
      <w:r>
        <w:rPr>
          <w:i w:val="false"/>
          <w:iCs w:val="false"/>
        </w:rPr>
        <w:t xml:space="preserve"> en el segundo subperíodo.</w:t>
      </w:r>
    </w:p>
    <w:p>
      <w:pPr>
        <w:pStyle w:val="Cuerpodetexto"/>
        <w:jc w:val="both"/>
        <w:rPr>
          <w:i w:val="false"/>
          <w:i w:val="false"/>
          <w:iCs w:val="false"/>
        </w:rPr>
      </w:pPr>
      <w:r>
        <w:rPr>
          <w:i w:val="false"/>
          <w:iCs w:val="false"/>
        </w:rPr>
      </w:r>
    </w:p>
    <w:p>
      <w:pPr>
        <w:pStyle w:val="Encabezado1"/>
        <w:numPr>
          <w:ilvl w:val="0"/>
          <w:numId w:val="1"/>
        </w:numPr>
        <w:ind w:left="0" w:right="0" w:hanging="0"/>
        <w:jc w:val="center"/>
        <w:rPr/>
      </w:pPr>
      <w:r>
        <w:rPr/>
        <w:t>Comparaciones geográficas de los índices SPI</w:t>
      </w:r>
    </w:p>
    <w:p>
      <w:pPr>
        <w:pStyle w:val="Cuerpodetexto"/>
        <w:jc w:val="both"/>
        <w:rPr/>
      </w:pPr>
      <w:r>
        <w:rPr/>
        <w:t xml:space="preserve">Una de las ventajas del índice comparativo </w:t>
      </w:r>
      <w:r>
        <w:rPr>
          <w:i/>
          <w:iCs/>
        </w:rPr>
        <w:t xml:space="preserve">r </w:t>
      </w:r>
      <w:r>
        <w:rPr>
          <w:i w:val="false"/>
          <w:iCs w:val="false"/>
        </w:rPr>
        <w:t xml:space="preserve">propuesto, es que permite visualizar </w:t>
      </w:r>
      <w:r>
        <w:rPr>
          <w:i w:val="false"/>
          <w:iCs w:val="false"/>
        </w:rPr>
        <w:t>sobre</w:t>
      </w:r>
      <w:r>
        <w:rPr>
          <w:i w:val="false"/>
          <w:iCs w:val="false"/>
        </w:rPr>
        <w:t xml:space="preserve"> la descripción geográfica de alguna región, el comportamiento de los índices SPI asociados a puntos definidos en </w:t>
      </w:r>
      <w:r>
        <w:rPr>
          <w:i w:val="false"/>
          <w:iCs w:val="false"/>
        </w:rPr>
        <w:t>ella</w:t>
      </w:r>
      <w:r>
        <w:rPr>
          <w:i w:val="false"/>
          <w:iCs w:val="false"/>
        </w:rPr>
        <w:t xml:space="preserve">. </w:t>
      </w:r>
      <w:r>
        <w:rPr>
          <w:i w:val="false"/>
          <w:iCs w:val="false"/>
        </w:rPr>
        <w:t xml:space="preserve">Para revisar este asunto, se presenta primeramente el patrón de </w:t>
      </w:r>
      <w:r>
        <w:rPr>
          <w:i w:val="false"/>
          <w:iCs w:val="false"/>
        </w:rPr>
        <w:t>precipitaciones</w:t>
      </w:r>
      <w:r>
        <w:rPr>
          <w:i w:val="false"/>
          <w:iCs w:val="false"/>
        </w:rPr>
        <w:t xml:space="preserve"> promedio de la cuenca del Río Usumacinta en la Fig. 10.</w:t>
      </w:r>
    </w:p>
    <w:p>
      <w:pPr>
        <w:pStyle w:val="Cuerpodetexto"/>
        <w:jc w:val="both"/>
        <w:rPr>
          <w:i w:val="false"/>
          <w:i w:val="false"/>
          <w:iCs w:val="false"/>
        </w:rPr>
      </w:pPr>
      <w:r>
        <w:rPr/>
      </w:r>
    </w:p>
    <w:p>
      <w:pPr>
        <w:pStyle w:val="Cuerpodetexto"/>
        <w:jc w:val="center"/>
        <w:rPr>
          <w:i w:val="false"/>
          <w:i w:val="false"/>
          <w:iCs w:val="false"/>
        </w:rPr>
      </w:pPr>
      <w:r>
        <w:rPr/>
      </w:r>
      <w:r>
        <mc:AlternateContent>
          <mc:Choice Requires="wps">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083560" cy="3510280"/>
                <wp:effectExtent l="0" t="0" r="0" b="0"/>
                <wp:wrapSquare wrapText="largest"/>
                <wp:docPr id="30" name="Marco10"/>
                <a:graphic xmlns:a="http://schemas.openxmlformats.org/drawingml/2006/main">
                  <a:graphicData uri="http://schemas.microsoft.com/office/word/2010/wordprocessingShape">
                    <wps:wsp>
                      <wps:cNvSpPr txBox="1"/>
                      <wps:spPr>
                        <a:xfrm>
                          <a:off x="0" y="0"/>
                          <a:ext cx="3083560" cy="3510280"/>
                        </a:xfrm>
                        <a:prstGeom prst="rect"/>
                      </wps:spPr>
                      <wps:txbx>
                        <w:txbxContent>
                          <w:p>
                            <w:pPr>
                              <w:pStyle w:val="Figura"/>
                              <w:spacing w:before="120" w:after="120"/>
                              <w:rPr/>
                            </w:pPr>
                            <w:r>
                              <w:rPr/>
                              <w:drawing>
                                <wp:inline distT="0" distB="0" distL="0" distR="0">
                                  <wp:extent cx="3083560" cy="3083560"/>
                                  <wp:effectExtent l="0" t="0" r="0" b="0"/>
                                  <wp:docPr id="3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2" descr=""/>
                                          <pic:cNvPicPr>
                                            <a:picLocks noChangeAspect="1" noChangeArrowheads="1"/>
                                          </pic:cNvPicPr>
                                        </pic:nvPicPr>
                                        <pic:blipFill>
                                          <a:blip r:embed="rId14"/>
                                          <a:stretch>
                                            <a:fillRect/>
                                          </a:stretch>
                                        </pic:blipFill>
                                        <pic:spPr bwMode="auto">
                                          <a:xfrm>
                                            <a:off x="0" y="0"/>
                                            <a:ext cx="3083560" cy="3083560"/>
                                          </a:xfrm>
                                          <a:prstGeom prst="rect">
                                            <a:avLst/>
                                          </a:prstGeom>
                                        </pic:spPr>
                                      </pic:pic>
                                    </a:graphicData>
                                  </a:graphic>
                                </wp:inline>
                              </w:drawing>
                            </w:r>
                            <w:r>
                              <w:rPr/>
                              <w:br/>
                              <w:t xml:space="preserve">Figura </w:t>
                            </w:r>
                            <w:r>
                              <w:rPr/>
                              <w:fldChar w:fldCharType="begin"/>
                            </w:r>
                            <w:r>
                              <w:instrText> SEQ Figura \* ARABIC </w:instrText>
                            </w:r>
                            <w:r>
                              <w:fldChar w:fldCharType="separate"/>
                            </w:r>
                            <w:r>
                              <w:t>10</w:t>
                            </w:r>
                            <w:r>
                              <w:fldChar w:fldCharType="end"/>
                            </w:r>
                            <w:r>
                              <w:rPr/>
                              <w:t xml:space="preserve">: Patrón anual de </w:t>
                            </w:r>
                            <w:r>
                              <w:rPr/>
                              <w:t>precipitación</w:t>
                            </w:r>
                            <w:r>
                              <w:rPr/>
                              <w:t xml:space="preserve"> de la cuenca del Usumacinta </w:t>
                            </w:r>
                            <w:r>
                              <w:rPr/>
                              <w:t>(mm)</w:t>
                            </w:r>
                          </w:p>
                        </w:txbxContent>
                      </wps:txbx>
                      <wps:bodyPr anchor="t" lIns="0" tIns="0" rIns="0" bIns="0">
                        <a:noAutofit/>
                      </wps:bodyPr>
                    </wps:wsp>
                  </a:graphicData>
                </a:graphic>
              </wp:anchor>
            </w:drawing>
          </mc:Choice>
          <mc:Fallback>
            <w:pict>
              <v:rect style="position:absolute;rotation:0;width:242.8pt;height:276.4pt;mso-wrap-distance-left:0pt;mso-wrap-distance-right:0pt;mso-wrap-distance-top:0pt;mso-wrap-distance-bottom:0pt;margin-top:0pt;mso-position-vertical:top;mso-position-vertical-relative:text;margin-left:127.9pt;mso-position-horizontal:center;mso-position-horizontal-relative:text">
                <v:textbox inset="0in,0in,0in,0in">
                  <w:txbxContent>
                    <w:p>
                      <w:pPr>
                        <w:pStyle w:val="Figura"/>
                        <w:spacing w:before="120" w:after="120"/>
                        <w:rPr/>
                      </w:pPr>
                      <w:r>
                        <w:rPr/>
                        <w:drawing>
                          <wp:inline distT="0" distB="0" distL="0" distR="0">
                            <wp:extent cx="3083560" cy="3083560"/>
                            <wp:effectExtent l="0" t="0" r="0" b="0"/>
                            <wp:docPr id="3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2" descr=""/>
                                    <pic:cNvPicPr>
                                      <a:picLocks noChangeAspect="1" noChangeArrowheads="1"/>
                                    </pic:cNvPicPr>
                                  </pic:nvPicPr>
                                  <pic:blipFill>
                                    <a:blip r:embed="rId14"/>
                                    <a:stretch>
                                      <a:fillRect/>
                                    </a:stretch>
                                  </pic:blipFill>
                                  <pic:spPr bwMode="auto">
                                    <a:xfrm>
                                      <a:off x="0" y="0"/>
                                      <a:ext cx="3083560" cy="3083560"/>
                                    </a:xfrm>
                                    <a:prstGeom prst="rect">
                                      <a:avLst/>
                                    </a:prstGeom>
                                  </pic:spPr>
                                </pic:pic>
                              </a:graphicData>
                            </a:graphic>
                          </wp:inline>
                        </w:drawing>
                      </w:r>
                      <w:r>
                        <w:rPr/>
                        <w:br/>
                        <w:t xml:space="preserve">Figura </w:t>
                      </w:r>
                      <w:r>
                        <w:rPr/>
                        <w:fldChar w:fldCharType="begin"/>
                      </w:r>
                      <w:r>
                        <w:instrText> SEQ Figura \* ARABIC </w:instrText>
                      </w:r>
                      <w:r>
                        <w:fldChar w:fldCharType="separate"/>
                      </w:r>
                      <w:r>
                        <w:t>10</w:t>
                      </w:r>
                      <w:r>
                        <w:fldChar w:fldCharType="end"/>
                      </w:r>
                      <w:r>
                        <w:rPr/>
                        <w:t xml:space="preserve">: Patrón anual de </w:t>
                      </w:r>
                      <w:r>
                        <w:rPr/>
                        <w:t>precipitación</w:t>
                      </w:r>
                      <w:r>
                        <w:rPr/>
                        <w:t xml:space="preserve"> de la cuenca del Usumacinta </w:t>
                      </w:r>
                      <w:r>
                        <w:rPr/>
                        <w:t>(mm)</w:t>
                      </w:r>
                    </w:p>
                  </w:txbxContent>
                </v:textbox>
                <w10:wrap type="square" side="largest"/>
              </v:rect>
            </w:pict>
          </mc:Fallback>
        </mc:AlternateContent>
      </w:r>
    </w:p>
    <w:p>
      <w:pPr>
        <w:pStyle w:val="Cuerpodetexto"/>
        <w:jc w:val="center"/>
        <w:rPr>
          <w:i w:val="false"/>
          <w:i w:val="false"/>
          <w:iCs w:val="false"/>
        </w:rPr>
      </w:pPr>
      <w:r>
        <w:rPr/>
      </w:r>
    </w:p>
    <w:p>
      <w:pPr>
        <w:pStyle w:val="Cuerpodetexto"/>
        <w:jc w:val="center"/>
        <w:rPr>
          <w:i w:val="false"/>
          <w:i w:val="false"/>
          <w:iCs w:val="false"/>
        </w:rPr>
      </w:pPr>
      <w:r>
        <w:rPr/>
      </w:r>
    </w:p>
    <w:p>
      <w:pPr>
        <w:pStyle w:val="Cuerpodetexto"/>
        <w:jc w:val="center"/>
        <w:rPr>
          <w:i w:val="false"/>
          <w:i w:val="false"/>
          <w:iCs w:val="false"/>
        </w:rPr>
      </w:pPr>
      <w:r>
        <w:rPr/>
      </w:r>
    </w:p>
    <w:p>
      <w:pPr>
        <w:pStyle w:val="Cuerpodetexto"/>
        <w:jc w:val="center"/>
        <w:rPr>
          <w:i w:val="false"/>
          <w:i w:val="false"/>
          <w:iCs w:val="false"/>
        </w:rPr>
      </w:pPr>
      <w:r>
        <w:rPr/>
      </w:r>
    </w:p>
    <w:p>
      <w:pPr>
        <w:pStyle w:val="Cuerpodetexto"/>
        <w:jc w:val="center"/>
        <w:rPr>
          <w:i w:val="false"/>
          <w:i w:val="false"/>
          <w:iCs w:val="false"/>
        </w:rPr>
      </w:pPr>
      <w:r>
        <w:rPr/>
      </w:r>
    </w:p>
    <w:p>
      <w:pPr>
        <w:pStyle w:val="Cuerpodetexto"/>
        <w:jc w:val="center"/>
        <w:rPr>
          <w:i w:val="false"/>
          <w:i w:val="false"/>
          <w:iCs w:val="false"/>
        </w:rPr>
      </w:pPr>
      <w:r>
        <w:rPr/>
      </w:r>
    </w:p>
    <w:p>
      <w:pPr>
        <w:pStyle w:val="Cuerpodetexto"/>
        <w:jc w:val="center"/>
        <w:rPr>
          <w:i w:val="false"/>
          <w:i w:val="false"/>
          <w:iCs w:val="false"/>
        </w:rPr>
      </w:pPr>
      <w:r>
        <w:rPr/>
      </w:r>
    </w:p>
    <w:p>
      <w:pPr>
        <w:pStyle w:val="Cuerpodetexto"/>
        <w:jc w:val="center"/>
        <w:rPr>
          <w:i w:val="false"/>
          <w:i w:val="false"/>
          <w:iCs w:val="false"/>
        </w:rPr>
      </w:pPr>
      <w:r>
        <w:rPr/>
      </w:r>
    </w:p>
    <w:p>
      <w:pPr>
        <w:pStyle w:val="Cuerpodetexto"/>
        <w:jc w:val="center"/>
        <w:rPr>
          <w:i w:val="false"/>
          <w:i w:val="false"/>
          <w:iCs w:val="false"/>
        </w:rPr>
      </w:pPr>
      <w:r>
        <w:rPr/>
      </w:r>
    </w:p>
    <w:p>
      <w:pPr>
        <w:pStyle w:val="Cuerpodetexto"/>
        <w:jc w:val="center"/>
        <w:rPr/>
      </w:pPr>
      <w:r>
        <w:rPr>
          <w:i w:val="false"/>
          <w:iCs w:val="false"/>
        </w:rPr>
        <w:t xml:space="preserve"> </w:t>
      </w:r>
    </w:p>
    <w:p>
      <w:pPr>
        <w:pStyle w:val="Cuerpodetexto"/>
        <w:jc w:val="both"/>
        <w:rPr>
          <w:i w:val="false"/>
          <w:i w:val="false"/>
          <w:iCs w:val="false"/>
        </w:rPr>
      </w:pPr>
      <w:r>
        <w:rPr>
          <w:i w:val="false"/>
          <w:iCs w:val="false"/>
        </w:rPr>
      </w:r>
    </w:p>
    <w:p>
      <w:pPr>
        <w:pStyle w:val="Cuerpodetexto"/>
        <w:rPr/>
      </w:pPr>
      <w:r>
        <w:rPr/>
      </w:r>
    </w:p>
    <w:p>
      <w:pPr>
        <w:pStyle w:val="Cuerpodetexto"/>
        <w:jc w:val="both"/>
        <w:rPr/>
      </w:pPr>
      <w:r>
        <w:rPr/>
        <w:t xml:space="preserve">La estrategia para la determinación de un índice comparativo </w:t>
      </w:r>
      <w:r>
        <w:rPr>
          <w:i/>
          <w:iCs/>
        </w:rPr>
        <w:t>visible</w:t>
      </w:r>
      <w:r>
        <w:rPr>
          <w:i w:val="false"/>
          <w:iCs w:val="false"/>
        </w:rPr>
        <w:t xml:space="preserve"> geográficamente,</w:t>
      </w:r>
      <w:r>
        <w:rPr/>
        <w:t xml:space="preserve"> parte del hecho de que se tiene un conjunto de puntos en malla en el interior de la cuenca, cada uno de los cuales tiene asociada una serie de tiempo de precipitaciones para el período considerado. Si bien, la series, tanto de precipitaciones como de promedios hacia atrás a 12 meses mostradas en la Fig. 2 corresponden a la totalidad de la cuenca, para cada uno de los puntos de malla de la cuenca se dispone y se pueden calcular series semejantes. A partir de la serie de promedios de precipitación se desarrolla todo el proceso descrito anteriormente, pero ahora para cada uno de los puntos de malla de la cuenca, hasta llegar a la obtención de los índices comparativos </w:t>
      </w:r>
      <w:r>
        <w:rPr>
          <w:i/>
          <w:iCs/>
        </w:rPr>
        <w:t>r</w:t>
      </w:r>
      <w:r>
        <w:rPr/>
        <w:t xml:space="preserve">, para cada uno de los intervalos de histograma asociados con las condiciones o categorías climáticas mostradas en la Tabla 1. Es decir, cada punto de malla contará con siete índices comparativos </w:t>
      </w:r>
      <w:r>
        <w:rPr>
          <w:i/>
          <w:iCs/>
        </w:rPr>
        <w:t xml:space="preserve">r; </w:t>
      </w:r>
      <w:r>
        <w:rPr>
          <w:i w:val="false"/>
          <w:iCs w:val="false"/>
        </w:rPr>
        <w:t xml:space="preserve">uno para cada intervalo. </w:t>
      </w:r>
      <w:r>
        <w:rPr>
          <w:i w:val="false"/>
          <w:iCs w:val="false"/>
        </w:rPr>
        <w:t xml:space="preserve">A partir de esta información, se pueden construir siete mapas, uno para cada intervalo, en los que se muestren las variaciones del índice comparativo </w:t>
      </w:r>
      <w:r>
        <w:rPr>
          <w:i/>
          <w:iCs/>
        </w:rPr>
        <w:t>r</w:t>
      </w:r>
      <w:r>
        <w:rPr>
          <w:i w:val="false"/>
          <w:iCs w:val="false"/>
        </w:rPr>
        <w:t>, punto por punto.</w:t>
      </w:r>
    </w:p>
    <w:p>
      <w:pPr>
        <w:pStyle w:val="Cuerpodetexto"/>
        <w:jc w:val="both"/>
        <w:rPr/>
      </w:pPr>
      <w:r>
        <w:rPr>
          <w:i w:val="false"/>
          <w:iCs w:val="false"/>
        </w:rPr>
        <w:t>L</w:t>
      </w:r>
      <w:r>
        <w:rPr>
          <w:i w:val="false"/>
          <w:iCs w:val="false"/>
        </w:rPr>
        <w:t xml:space="preserve">a Fig. 11 muestra los </w:t>
      </w:r>
      <w:r>
        <w:rPr>
          <w:i w:val="false"/>
          <w:iCs w:val="false"/>
        </w:rPr>
        <w:t xml:space="preserve">siete </w:t>
      </w:r>
      <w:r>
        <w:rPr>
          <w:i w:val="false"/>
          <w:iCs w:val="false"/>
        </w:rPr>
        <w:t xml:space="preserve">mapas del índice comparativo </w:t>
      </w:r>
      <w:r>
        <w:rPr>
          <w:i/>
          <w:iCs/>
        </w:rPr>
        <w:t>r</w:t>
      </w:r>
      <w:r>
        <w:rPr>
          <w:i w:val="false"/>
          <w:iCs w:val="false"/>
        </w:rPr>
        <w:t xml:space="preserve"> </w:t>
      </w:r>
      <w:r>
        <w:rPr>
          <w:i w:val="false"/>
          <w:iCs w:val="false"/>
        </w:rPr>
        <w:t xml:space="preserve">de índices SPI, con una ventana de observación de 12 meses, </w:t>
      </w:r>
      <w:r>
        <w:rPr>
          <w:i w:val="false"/>
          <w:iCs w:val="false"/>
        </w:rPr>
        <w:t xml:space="preserve">para </w:t>
      </w:r>
      <w:r>
        <w:rPr>
          <w:i w:val="false"/>
          <w:iCs w:val="false"/>
        </w:rPr>
        <w:t>la cuenca del Río Usumacinta, y para el período considerado que comprende los años de 1961 a 2008.</w:t>
      </w:r>
    </w:p>
    <w:p>
      <w:pPr>
        <w:pStyle w:val="Encabezado1"/>
        <w:numPr>
          <w:ilvl w:val="0"/>
          <w:numId w:val="1"/>
        </w:numPr>
        <w:ind w:left="0" w:right="0" w:hanging="0"/>
        <w:jc w:val="center"/>
        <w:rPr/>
      </w:pPr>
      <w:r>
        <w:rPr/>
      </w:r>
      <w:r>
        <mc:AlternateContent>
          <mc:Choice Requires="wps">
            <w:drawing>
              <wp:anchor behindDoc="0" distT="0" distB="0" distL="0" distR="0" simplePos="0" locked="0" layoutInCell="1" allowOverlap="1" relativeHeight="24">
                <wp:simplePos x="0" y="0"/>
                <wp:positionH relativeFrom="column">
                  <wp:posOffset>1043940</wp:posOffset>
                </wp:positionH>
                <wp:positionV relativeFrom="paragraph">
                  <wp:posOffset>147320</wp:posOffset>
                </wp:positionV>
                <wp:extent cx="3817620" cy="8062595"/>
                <wp:effectExtent l="0" t="0" r="0" b="0"/>
                <wp:wrapSquare wrapText="largest"/>
                <wp:docPr id="33" name="Marco11"/>
                <a:graphic xmlns:a="http://schemas.openxmlformats.org/drawingml/2006/main">
                  <a:graphicData uri="http://schemas.microsoft.com/office/word/2010/wordprocessingShape">
                    <wps:wsp>
                      <wps:cNvSpPr txBox="1"/>
                      <wps:spPr>
                        <a:xfrm>
                          <a:off x="0" y="0"/>
                          <a:ext cx="3817620" cy="8062595"/>
                        </a:xfrm>
                        <a:prstGeom prst="rect"/>
                      </wps:spPr>
                      <wps:txbx>
                        <w:txbxContent>
                          <w:p>
                            <w:pPr>
                              <w:pStyle w:val="Figura"/>
                              <w:spacing w:before="120" w:after="120"/>
                              <w:rPr/>
                            </w:pPr>
                            <w:r>
                              <w:rPr/>
                              <w:drawing>
                                <wp:inline distT="0" distB="0" distL="0" distR="0">
                                  <wp:extent cx="3817620" cy="7635875"/>
                                  <wp:effectExtent l="0" t="0" r="0" b="0"/>
                                  <wp:docPr id="3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3" descr=""/>
                                          <pic:cNvPicPr>
                                            <a:picLocks noChangeAspect="1" noChangeArrowheads="1"/>
                                          </pic:cNvPicPr>
                                        </pic:nvPicPr>
                                        <pic:blipFill>
                                          <a:blip r:embed="rId15"/>
                                          <a:stretch>
                                            <a:fillRect/>
                                          </a:stretch>
                                        </pic:blipFill>
                                        <pic:spPr bwMode="auto">
                                          <a:xfrm>
                                            <a:off x="0" y="0"/>
                                            <a:ext cx="3817620" cy="7635875"/>
                                          </a:xfrm>
                                          <a:prstGeom prst="rect">
                                            <a:avLst/>
                                          </a:prstGeom>
                                        </pic:spPr>
                                      </pic:pic>
                                    </a:graphicData>
                                  </a:graphic>
                                </wp:inline>
                              </w:drawing>
                            </w:r>
                            <w:r>
                              <w:rPr/>
                              <w:br/>
                              <w:t xml:space="preserve">Figura </w:t>
                            </w:r>
                            <w:r>
                              <w:rPr/>
                              <w:fldChar w:fldCharType="begin"/>
                            </w:r>
                            <w:r>
                              <w:instrText> SEQ Figura \* ARABIC </w:instrText>
                            </w:r>
                            <w:r>
                              <w:fldChar w:fldCharType="separate"/>
                            </w:r>
                            <w:r>
                              <w:t>11</w:t>
                            </w:r>
                            <w:r>
                              <w:fldChar w:fldCharType="end"/>
                            </w:r>
                            <w:r>
                              <w:rPr/>
                              <w:t>: Mapas del índice comparativo r para los siete intervalos</w:t>
                            </w:r>
                          </w:p>
                        </w:txbxContent>
                      </wps:txbx>
                      <wps:bodyPr anchor="t" lIns="0" tIns="0" rIns="0" bIns="0">
                        <a:noAutofit/>
                      </wps:bodyPr>
                    </wps:wsp>
                  </a:graphicData>
                </a:graphic>
              </wp:anchor>
            </w:drawing>
          </mc:Choice>
          <mc:Fallback>
            <w:pict>
              <v:rect style="position:absolute;rotation:0;width:300.6pt;height:634.85pt;mso-wrap-distance-left:0pt;mso-wrap-distance-right:0pt;mso-wrap-distance-top:0pt;mso-wrap-distance-bottom:0pt;margin-top:11.6pt;mso-position-vertical-relative:text;margin-left:82.2pt;mso-position-horizontal-relative:text">
                <v:textbox inset="0in,0in,0in,0in">
                  <w:txbxContent>
                    <w:p>
                      <w:pPr>
                        <w:pStyle w:val="Figura"/>
                        <w:spacing w:before="120" w:after="120"/>
                        <w:rPr/>
                      </w:pPr>
                      <w:r>
                        <w:rPr/>
                        <w:drawing>
                          <wp:inline distT="0" distB="0" distL="0" distR="0">
                            <wp:extent cx="3817620" cy="7635875"/>
                            <wp:effectExtent l="0" t="0" r="0" b="0"/>
                            <wp:docPr id="3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3" descr=""/>
                                    <pic:cNvPicPr>
                                      <a:picLocks noChangeAspect="1" noChangeArrowheads="1"/>
                                    </pic:cNvPicPr>
                                  </pic:nvPicPr>
                                  <pic:blipFill>
                                    <a:blip r:embed="rId15"/>
                                    <a:stretch>
                                      <a:fillRect/>
                                    </a:stretch>
                                  </pic:blipFill>
                                  <pic:spPr bwMode="auto">
                                    <a:xfrm>
                                      <a:off x="0" y="0"/>
                                      <a:ext cx="3817620" cy="7635875"/>
                                    </a:xfrm>
                                    <a:prstGeom prst="rect">
                                      <a:avLst/>
                                    </a:prstGeom>
                                  </pic:spPr>
                                </pic:pic>
                              </a:graphicData>
                            </a:graphic>
                          </wp:inline>
                        </w:drawing>
                      </w:r>
                      <w:r>
                        <w:rPr/>
                        <w:br/>
                        <w:t xml:space="preserve">Figura </w:t>
                      </w:r>
                      <w:r>
                        <w:rPr/>
                        <w:fldChar w:fldCharType="begin"/>
                      </w:r>
                      <w:r>
                        <w:instrText> SEQ Figura \* ARABIC </w:instrText>
                      </w:r>
                      <w:r>
                        <w:fldChar w:fldCharType="separate"/>
                      </w:r>
                      <w:r>
                        <w:t>11</w:t>
                      </w:r>
                      <w:r>
                        <w:fldChar w:fldCharType="end"/>
                      </w:r>
                      <w:r>
                        <w:rPr/>
                        <w:t>: Mapas del índice comparativo r para los siete intervalos</w:t>
                      </w:r>
                    </w:p>
                  </w:txbxContent>
                </v:textbox>
                <w10:wrap type="square" side="largest"/>
              </v:rect>
            </w:pict>
          </mc:Fallback>
        </mc:AlternateContent>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r>
    </w:p>
    <w:p>
      <w:pPr>
        <w:pStyle w:val="Encabezado1"/>
        <w:numPr>
          <w:ilvl w:val="0"/>
          <w:numId w:val="1"/>
        </w:numPr>
        <w:ind w:left="0" w:right="0" w:hanging="0"/>
        <w:jc w:val="center"/>
        <w:rPr/>
      </w:pPr>
      <w:r>
        <w:rPr/>
        <w:t>Referencias</w:t>
      </w:r>
    </w:p>
    <w:p>
      <w:pPr>
        <w:pStyle w:val="Cuerpodetexto"/>
        <w:numPr>
          <w:ilvl w:val="0"/>
          <w:numId w:val="0"/>
        </w:numPr>
        <w:ind w:left="720" w:hanging="0"/>
        <w:jc w:val="both"/>
        <w:rPr/>
      </w:pPr>
      <w:r>
        <w:rPr/>
      </w:r>
    </w:p>
    <w:p>
      <w:pPr>
        <w:pStyle w:val="Cuerpodetexto"/>
        <w:numPr>
          <w:ilvl w:val="0"/>
          <w:numId w:val="2"/>
        </w:numPr>
        <w:jc w:val="both"/>
        <w:rPr/>
      </w:pPr>
      <w:r>
        <w:rPr/>
        <w:t xml:space="preserve">Edwards, D. C. and McKee T. B.,1997. Characteristics of 20th century drought in the United States at multiple time scales. Climatology report 97-2. Atmospheric science paper No. 634. Colorado State University, Department of Atmospheric Science. URI: http://hdl.handle.net/10217/170176. May, 1997.  Implementation notes and code of this work can be found in URI: </w:t>
      </w:r>
      <w:hyperlink r:id="rId16">
        <w:r>
          <w:rPr>
            <w:rStyle w:val="EnlacedeInternet"/>
          </w:rPr>
          <w:t>http://ccc.atmos.colostate.edu/standardizedprecipitation.php</w:t>
        </w:r>
      </w:hyperlink>
      <w:r>
        <w:rPr/>
        <w:t>.</w:t>
      </w:r>
    </w:p>
    <w:p>
      <w:pPr>
        <w:pStyle w:val="Cuerpodetexto"/>
        <w:numPr>
          <w:ilvl w:val="0"/>
          <w:numId w:val="2"/>
        </w:numPr>
        <w:jc w:val="both"/>
        <w:rPr/>
      </w:pPr>
      <w:r>
        <w:rPr/>
        <w:t xml:space="preserve">Gentle, </w:t>
      </w:r>
      <w:r>
        <w:rPr/>
        <w:t xml:space="preserve">J.E., 2009. </w:t>
      </w:r>
      <w:r>
        <w:rPr>
          <w:i/>
          <w:iCs/>
        </w:rPr>
        <w:t>Computational Statistics</w:t>
      </w:r>
      <w:r>
        <w:rPr/>
        <w:t>. Statistics and Computing Series, Springer-Verlag, New York, April 2009. ISBN 978-0-387-98143-7, DOI 10.1007/978-0-387-98144-4.</w:t>
      </w:r>
    </w:p>
    <w:p>
      <w:pPr>
        <w:pStyle w:val="Cuerpodetexto"/>
        <w:numPr>
          <w:ilvl w:val="0"/>
          <w:numId w:val="2"/>
        </w:numPr>
        <w:jc w:val="both"/>
        <w:rPr/>
      </w:pPr>
      <w:r>
        <w:rPr/>
        <w:t xml:space="preserve">Guttman, N. B., 1999. </w:t>
      </w:r>
      <w:r>
        <w:rPr>
          <w:i/>
          <w:iCs/>
        </w:rPr>
        <w:t>Accepting the Standardized Precipitation Index: a calculation algorithm</w:t>
      </w:r>
      <w:r>
        <w:rPr/>
        <w:t xml:space="preserve">. JAWRA Journal of The American Water Resources Association 35(2), 311-322. April, 1999. </w:t>
      </w:r>
    </w:p>
    <w:p>
      <w:pPr>
        <w:pStyle w:val="Cuerpodetexto"/>
        <w:numPr>
          <w:ilvl w:val="0"/>
          <w:numId w:val="2"/>
        </w:numPr>
        <w:jc w:val="both"/>
        <w:rPr/>
      </w:pPr>
      <w:r>
        <w:rPr/>
        <w:t xml:space="preserve">Hanson, L.S., Vogel, R. </w:t>
      </w:r>
      <w:r>
        <w:rPr>
          <w:b w:val="false"/>
          <w:i w:val="false"/>
          <w:caps w:val="false"/>
          <w:smallCaps w:val="false"/>
          <w:color w:val="333333"/>
          <w:spacing w:val="0"/>
          <w:sz w:val="24"/>
          <w:szCs w:val="24"/>
        </w:rPr>
        <w:t xml:space="preserve">The Probability Distribution of Daily Rainfall in the United States.  </w:t>
      </w:r>
      <w:r>
        <w:rPr>
          <w:b w:val="false"/>
          <w:i/>
          <w:iCs/>
          <w:caps w:val="false"/>
          <w:smallCaps w:val="false"/>
          <w:color w:val="333333"/>
          <w:spacing w:val="0"/>
          <w:sz w:val="24"/>
          <w:szCs w:val="24"/>
        </w:rPr>
        <w:t>World Environmental and Water Resources Congress 2008</w:t>
      </w:r>
      <w:r>
        <w:rPr>
          <w:b w:val="false"/>
          <w:i w:val="false"/>
          <w:caps w:val="false"/>
          <w:smallCaps w:val="false"/>
          <w:color w:val="333333"/>
          <w:spacing w:val="0"/>
          <w:sz w:val="24"/>
          <w:szCs w:val="24"/>
        </w:rPr>
        <w:t>. American Socity of Civil Engineers. Published online: April 26, 2012. DOI: 10.1061/40976(316)585.</w:t>
      </w:r>
    </w:p>
    <w:p>
      <w:pPr>
        <w:pStyle w:val="Normal"/>
        <w:numPr>
          <w:ilvl w:val="0"/>
          <w:numId w:val="2"/>
        </w:numPr>
        <w:jc w:val="both"/>
        <w:rPr>
          <w:rFonts w:ascii="Liberation Serif" w:hAnsi="Liberation Serif"/>
        </w:rPr>
      </w:pPr>
      <w:r>
        <w:rPr>
          <w:rFonts w:cs="Arial"/>
          <w:sz w:val="24"/>
          <w:szCs w:val="24"/>
          <w:lang w:val="en-US"/>
        </w:rPr>
        <w:t xml:space="preserve">McKee, T. B., Doesken, N. J., &amp; Kleist, J. (1993, January). The relationship of drought frequency and duration to time scales. In </w:t>
      </w:r>
      <w:r>
        <w:rPr>
          <w:rFonts w:cs="Arial"/>
          <w:i/>
          <w:iCs/>
          <w:sz w:val="24"/>
          <w:szCs w:val="24"/>
          <w:lang w:val="en-US"/>
        </w:rPr>
        <w:t xml:space="preserve">Proceedings of the 8th Conference on Applied Climatology </w:t>
      </w:r>
      <w:r>
        <w:rPr>
          <w:rFonts w:cs="Arial"/>
          <w:sz w:val="24"/>
          <w:szCs w:val="24"/>
          <w:lang w:val="en-US"/>
        </w:rPr>
        <w:t xml:space="preserve">(Vol. 17, No. 22, pp. 179-183). </w:t>
      </w:r>
      <w:r>
        <w:rPr>
          <w:rFonts w:cs="Arial"/>
          <w:sz w:val="24"/>
          <w:szCs w:val="24"/>
          <w:lang w:val="es-MX"/>
        </w:rPr>
        <w:t>Boston, MA: American Meteorological Society.</w:t>
      </w:r>
    </w:p>
    <w:p>
      <w:pPr>
        <w:pStyle w:val="Normal"/>
        <w:numPr>
          <w:ilvl w:val="0"/>
          <w:numId w:val="0"/>
        </w:numPr>
        <w:ind w:left="720" w:hanging="0"/>
        <w:rPr>
          <w:rFonts w:ascii="Liberation Serif" w:hAnsi="Liberation Serif" w:cs="Arial"/>
          <w:sz w:val="24"/>
          <w:szCs w:val="24"/>
          <w:lang w:val="es-MX"/>
        </w:rPr>
      </w:pPr>
      <w:r>
        <w:rPr>
          <w:rFonts w:cs="Arial"/>
          <w:sz w:val="24"/>
          <w:szCs w:val="24"/>
          <w:lang w:val="es-MX"/>
        </w:rPr>
      </w:r>
    </w:p>
    <w:p>
      <w:pPr>
        <w:pStyle w:val="Normal"/>
        <w:numPr>
          <w:ilvl w:val="0"/>
          <w:numId w:val="2"/>
        </w:numPr>
        <w:jc w:val="both"/>
        <w:rPr>
          <w:rFonts w:ascii="Liberation Serif" w:hAnsi="Liberation Serif"/>
        </w:rPr>
      </w:pPr>
      <w:r>
        <w:rPr>
          <w:rFonts w:cs="Arial"/>
          <w:sz w:val="24"/>
          <w:szCs w:val="24"/>
          <w:lang w:val="es-MX"/>
        </w:rPr>
        <w:t xml:space="preserve">Muñoz-Arriola, F., R. Avissar, C. Zhu, D. P. Lettenmaier, (2009). </w:t>
      </w:r>
      <w:r>
        <w:rPr>
          <w:rFonts w:cs="Arial"/>
          <w:sz w:val="24"/>
          <w:szCs w:val="24"/>
          <w:lang w:val="en-US"/>
        </w:rPr>
        <w:t xml:space="preserve">Sensitivity of the water resources of Rio Yaqui Basin, Mexico, to agriculture extensification under multiscale climate conditions. </w:t>
      </w:r>
      <w:r>
        <w:rPr>
          <w:rFonts w:cs="Arial"/>
          <w:i/>
          <w:sz w:val="24"/>
          <w:szCs w:val="24"/>
          <w:lang w:val="es-MX"/>
        </w:rPr>
        <w:t>Wat. Res. Res.</w:t>
      </w:r>
      <w:r>
        <w:rPr>
          <w:rFonts w:cs="Arial"/>
          <w:sz w:val="24"/>
          <w:szCs w:val="24"/>
          <w:lang w:val="es-MX"/>
        </w:rPr>
        <w:t xml:space="preserve"> Vol. 45 (11), DOI: 10.1029/2007WR006783.</w:t>
      </w:r>
    </w:p>
    <w:p>
      <w:pPr>
        <w:pStyle w:val="Normal"/>
        <w:numPr>
          <w:ilvl w:val="0"/>
          <w:numId w:val="0"/>
        </w:numPr>
        <w:ind w:left="720" w:hanging="0"/>
        <w:jc w:val="both"/>
        <w:rPr>
          <w:rFonts w:ascii="Liberation Serif" w:hAnsi="Liberation Serif" w:cs="Arial"/>
          <w:sz w:val="24"/>
          <w:szCs w:val="24"/>
          <w:lang w:val="es-MX"/>
        </w:rPr>
      </w:pPr>
      <w:r>
        <w:rPr>
          <w:rFonts w:cs="Arial"/>
          <w:sz w:val="24"/>
          <w:szCs w:val="24"/>
          <w:lang w:val="es-MX"/>
        </w:rPr>
      </w:r>
    </w:p>
    <w:p>
      <w:pPr>
        <w:pStyle w:val="Normal"/>
        <w:numPr>
          <w:ilvl w:val="0"/>
          <w:numId w:val="2"/>
        </w:numPr>
        <w:jc w:val="both"/>
        <w:rPr>
          <w:rFonts w:ascii="Liberation Serif" w:hAnsi="Liberation Serif"/>
        </w:rPr>
      </w:pPr>
      <w:r>
        <w:rPr>
          <w:rFonts w:cs="Arial"/>
          <w:sz w:val="24"/>
          <w:szCs w:val="24"/>
          <w:lang w:val="es-MX"/>
        </w:rPr>
        <w:t xml:space="preserve">Santana, J.S., Mateos-Farfán, E. </w:t>
      </w:r>
      <w:r>
        <w:rPr>
          <w:rFonts w:cs="Arial"/>
          <w:i/>
          <w:iCs/>
          <w:sz w:val="24"/>
          <w:szCs w:val="24"/>
          <w:lang w:val="es-MX"/>
        </w:rPr>
        <w:t>El arte de programar en R: Un lenguaje para la estadística</w:t>
      </w:r>
      <w:r>
        <w:rPr>
          <w:rFonts w:cs="Arial"/>
          <w:i w:val="false"/>
          <w:iCs w:val="false"/>
          <w:sz w:val="24"/>
          <w:szCs w:val="24"/>
          <w:lang w:val="es-MX"/>
        </w:rPr>
        <w:t>. Instituto Mexicano de Tecnología del Agua. 1</w:t>
      </w:r>
      <w:r>
        <w:rPr>
          <w:rFonts w:cs="Arial"/>
          <w:i w:val="false"/>
          <w:iCs w:val="false"/>
          <w:sz w:val="24"/>
          <w:szCs w:val="24"/>
          <w:vertAlign w:val="superscript"/>
          <w:lang w:val="es-MX"/>
        </w:rPr>
        <w:t>a</w:t>
      </w:r>
      <w:r>
        <w:rPr>
          <w:rFonts w:cs="Arial"/>
          <w:i w:val="false"/>
          <w:iCs w:val="false"/>
          <w:sz w:val="24"/>
          <w:szCs w:val="24"/>
          <w:lang w:val="es-MX"/>
        </w:rPr>
        <w:t xml:space="preserve"> Edición </w:t>
      </w:r>
      <w:r>
        <w:rPr>
          <w:rFonts w:cs="Arial"/>
          <w:i w:val="false"/>
          <w:iCs w:val="false"/>
          <w:sz w:val="24"/>
          <w:szCs w:val="24"/>
          <w:lang w:val="es-MX"/>
        </w:rPr>
        <w:t xml:space="preserve">digital, 2014. ISBN: 978-607-9368-15-9. Disponible en: </w:t>
      </w:r>
      <w:hyperlink r:id="rId17">
        <w:r>
          <w:rPr>
            <w:rStyle w:val="EnlacedeInternet"/>
          </w:rPr>
          <w:t>https://www.imta.gob.mx/biblioteca/libros_html/el-arte-de-programar-en-r/</w:t>
        </w:r>
      </w:hyperlink>
      <w:r>
        <w:rPr>
          <w:rFonts w:cs="Arial"/>
          <w:i w:val="false"/>
          <w:iCs w:val="false"/>
          <w:sz w:val="24"/>
          <w:szCs w:val="24"/>
          <w:lang w:val="es-MX"/>
        </w:rPr>
        <w:t>.</w:t>
      </w:r>
    </w:p>
    <w:p>
      <w:pPr>
        <w:pStyle w:val="Normal"/>
        <w:numPr>
          <w:ilvl w:val="0"/>
          <w:numId w:val="0"/>
        </w:numPr>
        <w:ind w:left="720" w:hanging="0"/>
        <w:rPr>
          <w:rFonts w:ascii="Liberation Serif" w:hAnsi="Liberation Serif" w:cs="Arial"/>
          <w:sz w:val="24"/>
          <w:szCs w:val="24"/>
          <w:lang w:val="es-MX"/>
        </w:rPr>
      </w:pPr>
      <w:r>
        <w:rPr>
          <w:rFonts w:cs="Arial"/>
          <w:sz w:val="24"/>
          <w:szCs w:val="24"/>
          <w:lang w:val="es-MX"/>
        </w:rPr>
      </w:r>
    </w:p>
    <w:p>
      <w:pPr>
        <w:pStyle w:val="Normal"/>
        <w:numPr>
          <w:ilvl w:val="0"/>
          <w:numId w:val="2"/>
        </w:numPr>
        <w:jc w:val="both"/>
        <w:rPr>
          <w:rFonts w:ascii="Liberation Serif" w:hAnsi="Liberation Serif" w:cs="Arial"/>
          <w:sz w:val="24"/>
          <w:szCs w:val="24"/>
          <w:lang w:val="en-US"/>
        </w:rPr>
      </w:pPr>
      <w:r>
        <w:rPr>
          <w:rFonts w:cs="Arial"/>
          <w:sz w:val="24"/>
          <w:szCs w:val="24"/>
          <w:lang w:val="en-US"/>
        </w:rPr>
        <w:t>Shepard, D. S., (1984). Computer mapping: The SYMAP interpolation algorithm. Spatial Statistics and Models, G. L. Gaile and C. J. Willmott, Eds., D. Reidel, 133–145.</w:t>
      </w:r>
    </w:p>
    <w:p>
      <w:pPr>
        <w:pStyle w:val="Normal"/>
        <w:numPr>
          <w:ilvl w:val="0"/>
          <w:numId w:val="0"/>
        </w:numPr>
        <w:ind w:left="720" w:hanging="0"/>
        <w:jc w:val="both"/>
        <w:rPr>
          <w:rFonts w:ascii="Liberation Serif" w:hAnsi="Liberation Serif" w:cs="Arial"/>
          <w:i w:val="false"/>
          <w:i w:val="false"/>
          <w:iCs w:val="false"/>
          <w:sz w:val="24"/>
          <w:szCs w:val="24"/>
          <w:lang w:val="en-US"/>
        </w:rPr>
      </w:pPr>
      <w:r>
        <w:rPr>
          <w:rFonts w:cs="Arial"/>
          <w:i w:val="false"/>
          <w:iCs w:val="false"/>
          <w:sz w:val="24"/>
          <w:szCs w:val="24"/>
          <w:lang w:val="en-US"/>
        </w:rPr>
      </w:r>
    </w:p>
    <w:p>
      <w:pPr>
        <w:pStyle w:val="Normal"/>
        <w:numPr>
          <w:ilvl w:val="0"/>
          <w:numId w:val="2"/>
        </w:numPr>
        <w:jc w:val="both"/>
        <w:rPr>
          <w:rFonts w:ascii="Liberation Serif" w:hAnsi="Liberation Serif" w:cs="Arial"/>
          <w:sz w:val="24"/>
          <w:szCs w:val="24"/>
          <w:lang w:val="en-US"/>
        </w:rPr>
      </w:pPr>
      <w:r>
        <w:rPr>
          <w:rFonts w:cs="Arial"/>
          <w:sz w:val="24"/>
          <w:szCs w:val="24"/>
          <w:lang w:val="en-US"/>
        </w:rPr>
        <w:t xml:space="preserve">Vaart A. W. van der, 1998. </w:t>
      </w:r>
      <w:r>
        <w:rPr>
          <w:rFonts w:cs="Arial"/>
          <w:i/>
          <w:iCs/>
          <w:sz w:val="24"/>
          <w:szCs w:val="24"/>
          <w:lang w:val="en-US"/>
        </w:rPr>
        <w:t>Asymptotic statistics</w:t>
      </w:r>
      <w:r>
        <w:rPr>
          <w:rFonts w:cs="Arial"/>
          <w:sz w:val="24"/>
          <w:szCs w:val="24"/>
          <w:lang w:val="en-US"/>
        </w:rPr>
        <w:t>. Cambridge University Press, ISBN 0-521-78450-6. The Edinburgh Building, Cambridge CB2 2RU, UK, 1998.</w:t>
      </w:r>
    </w:p>
    <w:p>
      <w:pPr>
        <w:pStyle w:val="Normal"/>
        <w:numPr>
          <w:ilvl w:val="0"/>
          <w:numId w:val="0"/>
        </w:numPr>
        <w:ind w:left="720" w:hanging="0"/>
        <w:jc w:val="both"/>
        <w:rPr>
          <w:rFonts w:ascii="Liberation Serif" w:hAnsi="Liberation Serif" w:cs="Arial"/>
          <w:sz w:val="24"/>
          <w:szCs w:val="24"/>
          <w:lang w:val="en-US"/>
        </w:rPr>
      </w:pPr>
      <w:r>
        <w:rPr>
          <w:rFonts w:cs="Arial"/>
          <w:sz w:val="24"/>
          <w:szCs w:val="24"/>
          <w:lang w:val="en-US"/>
        </w:rPr>
      </w:r>
    </w:p>
    <w:p>
      <w:pPr>
        <w:pStyle w:val="Normal"/>
        <w:numPr>
          <w:ilvl w:val="0"/>
          <w:numId w:val="2"/>
        </w:numPr>
        <w:jc w:val="both"/>
        <w:rPr>
          <w:rFonts w:ascii="Liberation Serif" w:hAnsi="Liberation Serif" w:cs="Arial"/>
          <w:sz w:val="24"/>
          <w:szCs w:val="24"/>
          <w:lang w:val="en-US"/>
        </w:rPr>
      </w:pPr>
      <w:r>
        <w:rPr>
          <w:rFonts w:cs="Arial"/>
          <w:sz w:val="24"/>
          <w:szCs w:val="24"/>
          <w:lang w:val="en-US"/>
        </w:rPr>
        <w:t xml:space="preserve">Venables, W.N., Ripley, B.D. </w:t>
      </w:r>
      <w:r>
        <w:rPr>
          <w:rFonts w:cs="Arial"/>
          <w:i/>
          <w:iCs/>
          <w:sz w:val="24"/>
          <w:szCs w:val="24"/>
          <w:lang w:val="en-US"/>
        </w:rPr>
        <w:t>Modern Applied Statistics with S</w:t>
      </w:r>
      <w:r>
        <w:rPr>
          <w:rFonts w:cs="Arial"/>
          <w:i w:val="false"/>
          <w:iCs w:val="false"/>
          <w:sz w:val="24"/>
          <w:szCs w:val="24"/>
          <w:lang w:val="en-US"/>
        </w:rPr>
        <w:t>. Springer, New York, NY, 4</w:t>
      </w:r>
      <w:r>
        <w:rPr>
          <w:rFonts w:cs="Arial"/>
          <w:i w:val="false"/>
          <w:iCs w:val="false"/>
          <w:sz w:val="24"/>
          <w:szCs w:val="24"/>
          <w:vertAlign w:val="superscript"/>
          <w:lang w:val="en-US"/>
        </w:rPr>
        <w:t>th</w:t>
      </w:r>
      <w:r>
        <w:rPr>
          <w:rFonts w:cs="Arial"/>
          <w:i w:val="false"/>
          <w:iCs w:val="false"/>
          <w:sz w:val="24"/>
          <w:szCs w:val="24"/>
          <w:lang w:val="en-US"/>
        </w:rPr>
        <w:t xml:space="preserve"> edition, 2002. URL </w:t>
      </w:r>
      <w:hyperlink r:id="rId18">
        <w:r>
          <w:rPr>
            <w:rStyle w:val="EnlacedeInternet"/>
            <w:rFonts w:cs="Arial"/>
            <w:i w:val="false"/>
            <w:iCs w:val="false"/>
            <w:sz w:val="24"/>
            <w:szCs w:val="24"/>
            <w:lang w:val="en-US"/>
          </w:rPr>
          <w:t>http://www.stats.ox.ac.uk/pub/MASS4</w:t>
        </w:r>
      </w:hyperlink>
      <w:r>
        <w:rPr>
          <w:rFonts w:cs="Arial"/>
          <w:i w:val="false"/>
          <w:iCs w:val="false"/>
          <w:sz w:val="24"/>
          <w:szCs w:val="24"/>
          <w:lang w:val="en-US"/>
        </w:rPr>
        <w:t>. ISBN 0-387-95457-0.</w:t>
      </w:r>
    </w:p>
    <w:p>
      <w:pPr>
        <w:pStyle w:val="Normal"/>
        <w:numPr>
          <w:ilvl w:val="0"/>
          <w:numId w:val="0"/>
        </w:numPr>
        <w:ind w:left="720" w:hanging="0"/>
        <w:jc w:val="both"/>
        <w:rPr>
          <w:rFonts w:ascii="Liberation Serif" w:hAnsi="Liberation Serif" w:cs="Arial"/>
          <w:sz w:val="24"/>
          <w:szCs w:val="24"/>
          <w:lang w:val="en-US"/>
        </w:rPr>
      </w:pPr>
      <w:r>
        <w:rPr>
          <w:rFonts w:cs="Arial"/>
          <w:sz w:val="24"/>
          <w:szCs w:val="24"/>
          <w:lang w:val="en-US"/>
        </w:rPr>
      </w:r>
    </w:p>
    <w:p>
      <w:pPr>
        <w:pStyle w:val="Normal"/>
        <w:numPr>
          <w:ilvl w:val="0"/>
          <w:numId w:val="2"/>
        </w:numPr>
        <w:jc w:val="both"/>
        <w:rPr>
          <w:rFonts w:ascii="Liberation Serif" w:hAnsi="Liberation Serif" w:cs="Arial"/>
          <w:sz w:val="24"/>
          <w:szCs w:val="24"/>
          <w:lang w:val="en-US"/>
        </w:rPr>
      </w:pPr>
      <w:r>
        <w:rPr>
          <w:rFonts w:cs="Arial"/>
          <w:sz w:val="24"/>
          <w:szCs w:val="24"/>
          <w:lang w:val="en-US"/>
        </w:rPr>
        <w:t xml:space="preserve">Walpole, R.E., Myers, R.H., Myers, S.H., Ye, K. </w:t>
      </w:r>
      <w:r>
        <w:rPr>
          <w:rFonts w:cs="Arial"/>
          <w:i/>
          <w:iCs/>
          <w:sz w:val="24"/>
          <w:szCs w:val="24"/>
          <w:lang w:val="en-US"/>
        </w:rPr>
        <w:t>Probability &amp; Statistics ofr Engineers &amp; Scientists</w:t>
      </w:r>
      <w:r>
        <w:rPr>
          <w:rFonts w:cs="Arial"/>
          <w:i w:val="false"/>
          <w:iCs w:val="false"/>
          <w:sz w:val="24"/>
          <w:szCs w:val="24"/>
          <w:lang w:val="en-US"/>
        </w:rPr>
        <w:t>. Prentice Hall / Pearson Education, Inc., Boston, MA, 9</w:t>
      </w:r>
      <w:r>
        <w:rPr>
          <w:rFonts w:cs="Arial"/>
          <w:i w:val="false"/>
          <w:iCs w:val="false"/>
          <w:sz w:val="24"/>
          <w:szCs w:val="24"/>
          <w:vertAlign w:val="superscript"/>
          <w:lang w:val="en-US"/>
        </w:rPr>
        <w:t>th</w:t>
      </w:r>
      <w:r>
        <w:rPr>
          <w:rFonts w:cs="Arial"/>
          <w:i w:val="false"/>
          <w:iCs w:val="false"/>
          <w:sz w:val="24"/>
          <w:szCs w:val="24"/>
          <w:lang w:val="en-US"/>
        </w:rPr>
        <w:t xml:space="preserve"> edition, 2012. ISBN 10: 0-321-62911-6.</w:t>
      </w:r>
    </w:p>
    <w:p>
      <w:pPr>
        <w:pStyle w:val="Normal"/>
        <w:numPr>
          <w:ilvl w:val="0"/>
          <w:numId w:val="0"/>
        </w:numPr>
        <w:ind w:left="720" w:hanging="0"/>
        <w:jc w:val="both"/>
        <w:rPr>
          <w:rFonts w:ascii="Liberation Serif" w:hAnsi="Liberation Serif" w:cs="Arial"/>
          <w:i w:val="false"/>
          <w:i w:val="false"/>
          <w:iCs w:val="false"/>
          <w:sz w:val="24"/>
          <w:szCs w:val="24"/>
          <w:lang w:val="en-US"/>
        </w:rPr>
      </w:pPr>
      <w:r>
        <w:rPr>
          <w:rFonts w:cs="Arial"/>
          <w:i w:val="false"/>
          <w:iCs w:val="false"/>
          <w:sz w:val="24"/>
          <w:szCs w:val="24"/>
          <w:lang w:val="en-US"/>
        </w:rPr>
      </w:r>
    </w:p>
    <w:p>
      <w:pPr>
        <w:pStyle w:val="Normal"/>
        <w:numPr>
          <w:ilvl w:val="0"/>
          <w:numId w:val="2"/>
        </w:numPr>
        <w:jc w:val="both"/>
        <w:rPr>
          <w:rFonts w:ascii="Liberation Serif" w:hAnsi="Liberation Serif" w:cs="Arial"/>
          <w:i w:val="false"/>
          <w:i w:val="false"/>
          <w:iCs w:val="false"/>
          <w:sz w:val="24"/>
          <w:szCs w:val="24"/>
          <w:lang w:val="en-US"/>
        </w:rPr>
      </w:pPr>
      <w:r>
        <w:rPr>
          <w:rFonts w:cs="Arial"/>
          <w:i w:val="false"/>
          <w:iCs w:val="false"/>
          <w:sz w:val="24"/>
          <w:szCs w:val="24"/>
          <w:lang w:val="en-US"/>
        </w:rPr>
        <w:t>Wheatley J., 2010. Standardized Precipitation Index Code. Descripción y código disponible en  URI: https://joewheatley.net/2010/03/.</w:t>
      </w:r>
    </w:p>
    <w:p>
      <w:pPr>
        <w:pStyle w:val="Normal"/>
        <w:numPr>
          <w:ilvl w:val="0"/>
          <w:numId w:val="0"/>
        </w:numPr>
        <w:ind w:left="720" w:hanging="0"/>
        <w:rPr>
          <w:rFonts w:ascii="Liberation Serif" w:hAnsi="Liberation Serif" w:cs="Arial"/>
          <w:sz w:val="24"/>
          <w:szCs w:val="24"/>
          <w:lang w:val="es-MX"/>
        </w:rPr>
      </w:pPr>
      <w:r>
        <w:rPr>
          <w:rFonts w:cs="Arial"/>
          <w:sz w:val="24"/>
          <w:szCs w:val="24"/>
          <w:lang w:val="es-MX"/>
        </w:rPr>
      </w:r>
    </w:p>
    <w:p>
      <w:pPr>
        <w:pStyle w:val="Cuerpodetexto"/>
        <w:numPr>
          <w:ilvl w:val="0"/>
          <w:numId w:val="2"/>
        </w:numPr>
        <w:jc w:val="both"/>
        <w:rPr>
          <w:rFonts w:ascii="Liberation Serif" w:hAnsi="Liberation Serif"/>
        </w:rPr>
      </w:pPr>
      <w:r>
        <w:rPr>
          <w:rFonts w:cs="Arial"/>
          <w:sz w:val="24"/>
          <w:szCs w:val="24"/>
          <w:lang w:val="es-MX"/>
        </w:rPr>
        <w:t xml:space="preserve">World Meteorological Organization. </w:t>
      </w:r>
      <w:r>
        <w:rPr>
          <w:rFonts w:cs="Arial"/>
          <w:i/>
          <w:iCs/>
          <w:sz w:val="24"/>
          <w:szCs w:val="24"/>
          <w:lang w:val="es-MX"/>
        </w:rPr>
        <w:t>Standarized Precipitation Index: User Guide</w:t>
      </w:r>
      <w:r>
        <w:rPr>
          <w:rFonts w:cs="Arial"/>
          <w:sz w:val="24"/>
          <w:szCs w:val="24"/>
          <w:lang w:val="es-MX"/>
        </w:rPr>
        <w:t>. WMO-No. 1090. World Meteorological Organization, 2012.</w:t>
      </w:r>
    </w:p>
    <w:p>
      <w:pPr>
        <w:pStyle w:val="Normal"/>
        <w:numPr>
          <w:ilvl w:val="0"/>
          <w:numId w:val="2"/>
        </w:numPr>
        <w:jc w:val="both"/>
        <w:rPr>
          <w:rFonts w:ascii="Liberation Serif" w:hAnsi="Liberation Serif"/>
        </w:rPr>
      </w:pPr>
      <w:r>
        <w:rPr>
          <w:rFonts w:cs="Arial"/>
          <w:sz w:val="24"/>
          <w:szCs w:val="24"/>
          <w:lang w:val="en-US"/>
        </w:rPr>
        <w:t xml:space="preserve">Zhu, Chunmei, Dennis P. Lettenmaier, 2007: Long-Term Climate and Derived Surface Hydrology and Energy Flux Data for Mexico: 1925–2004. </w:t>
      </w:r>
      <w:r>
        <w:rPr>
          <w:rFonts w:cs="Arial"/>
          <w:i/>
          <w:sz w:val="24"/>
          <w:szCs w:val="24"/>
          <w:lang w:val="es-MX"/>
        </w:rPr>
        <w:t>J. Climate</w:t>
      </w:r>
      <w:r>
        <w:rPr>
          <w:rFonts w:cs="Arial"/>
          <w:sz w:val="24"/>
          <w:szCs w:val="24"/>
          <w:lang w:val="es-MX"/>
        </w:rPr>
        <w:t>, 20, 1936–1946.</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Liberation Serif">
    <w:altName w:val="Times New Roman"/>
    <w:charset w:val="01"/>
    <w:family w:val="roman"/>
    <w:pitch w:val="default"/>
  </w:font>
  <w:font w:name="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Encabezado1"/>
      <w:numFmt w:val="none"/>
      <w:suff w:val="nothing"/>
      <w:lvlText w:val=""/>
      <w:lvlJc w:val="left"/>
      <w:pPr>
        <w:tabs>
          <w:tab w:val="num" w:pos="432"/>
        </w:tabs>
        <w:ind w:left="432" w:hanging="432"/>
      </w:pPr>
    </w:lvl>
    <w:lvl w:ilvl="1">
      <w:start w:val="1"/>
      <w:pStyle w:val="Encabezado2"/>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172"/>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s-MX"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s-MX" w:eastAsia="zh-CN" w:bidi="hi-IN"/>
    </w:rPr>
  </w:style>
  <w:style w:type="paragraph" w:styleId="Encabezado1">
    <w:name w:val="Heading 1"/>
    <w:basedOn w:val="Encabezado"/>
    <w:next w:val="Cuerpodetexto"/>
    <w:qFormat/>
    <w:pPr>
      <w:numPr>
        <w:ilvl w:val="0"/>
        <w:numId w:val="1"/>
      </w:numPr>
      <w:spacing w:before="240" w:after="120"/>
      <w:ind w:left="0" w:right="0" w:hanging="0"/>
      <w:outlineLvl w:val="0"/>
      <w:outlineLvl w:val="0"/>
    </w:pPr>
    <w:rPr>
      <w:b/>
      <w:bCs/>
      <w:sz w:val="36"/>
      <w:szCs w:val="36"/>
    </w:rPr>
  </w:style>
  <w:style w:type="paragraph" w:styleId="Encabezado2">
    <w:name w:val="Heading 2"/>
    <w:basedOn w:val="Encabezado"/>
    <w:next w:val="Cuerpodetexto"/>
    <w:qFormat/>
    <w:pPr>
      <w:numPr>
        <w:ilvl w:val="1"/>
        <w:numId w:val="1"/>
      </w:numPr>
      <w:spacing w:before="200" w:after="120"/>
      <w:ind w:left="0" w:right="0" w:hanging="0"/>
      <w:outlineLvl w:val="1"/>
      <w:outlineLvl w:val="1"/>
    </w:pPr>
    <w:rPr>
      <w:b/>
      <w:bCs/>
      <w:sz w:val="32"/>
      <w:szCs w:val="32"/>
    </w:rPr>
  </w:style>
  <w:style w:type="character" w:styleId="EnlacedeInternet">
    <w:name w:val="Enlace de Internet"/>
    <w:rPr>
      <w:color w:val="000080"/>
      <w:u w:val="single"/>
      <w:lang w:val="zxx" w:eastAsia="zxx" w:bidi="zxx"/>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tulo">
    <w:name w:val="Title"/>
    <w:basedOn w:val="Encabezado"/>
    <w:next w:val="Cuerpodetexto"/>
    <w:qFormat/>
    <w:pPr>
      <w:jc w:val="center"/>
    </w:pPr>
    <w:rPr>
      <w:b/>
      <w:bCs/>
      <w:sz w:val="56"/>
      <w:szCs w:val="56"/>
    </w:rPr>
  </w:style>
  <w:style w:type="paragraph" w:styleId="Subttulo">
    <w:name w:val="Subtitle"/>
    <w:basedOn w:val="Encabezado"/>
    <w:next w:val="Cuerpodetexto"/>
    <w:qFormat/>
    <w:pPr>
      <w:spacing w:before="60" w:after="120"/>
      <w:jc w:val="center"/>
    </w:pPr>
    <w:rPr>
      <w:sz w:val="36"/>
      <w:szCs w:val="36"/>
    </w:rPr>
  </w:style>
  <w:style w:type="paragraph" w:styleId="Figura">
    <w:name w:val="Figura"/>
    <w:basedOn w:val="Leyenda"/>
    <w:qFormat/>
    <w:pPr/>
    <w:rPr/>
  </w:style>
  <w:style w:type="paragraph" w:styleId="Contenidodelmarco">
    <w:name w:val="Contenido del marco"/>
    <w:basedOn w:val="Normal"/>
    <w:qFormat/>
    <w:pPr/>
    <w:rPr/>
  </w:style>
  <w:style w:type="paragraph" w:styleId="Textopreformateado">
    <w:name w:val="Texto preformateado"/>
    <w:basedOn w:val="Normal"/>
    <w:qFormat/>
    <w:pPr>
      <w:spacing w:before="0" w:after="0"/>
    </w:pPr>
    <w:rPr>
      <w:rFonts w:ascii="Liberation Mono" w:hAnsi="Liberation Mono" w:eastAsia="Nimbus Mono L" w:cs="Liberation Mono"/>
      <w:sz w:val="20"/>
      <w:szCs w:val="20"/>
    </w:rPr>
  </w:style>
  <w:style w:type="paragraph" w:styleId="Contenidodelatabla">
    <w:name w:val="Contenido de la tabla"/>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clicom-mex.cicese.mx/malla"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ccc.atmos.colostate.edu/standardizedprecipitation.php" TargetMode="External"/><Relationship Id="rId17" Type="http://schemas.openxmlformats.org/officeDocument/2006/relationships/hyperlink" Target="https://www.imta.gob.mx/biblioteca/libros_html/el-arte-de-programar-en-r/" TargetMode="External"/><Relationship Id="rId18" Type="http://schemas.openxmlformats.org/officeDocument/2006/relationships/hyperlink" Target="http://www.stats.ox.ac.uk/pub/MASS4"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1478</TotalTime>
  <Application>LibreOffice/5.1.6.2$Linux_X86_64 LibreOffice_project/10m0$Build-2</Application>
  <Pages>15</Pages>
  <Words>3677</Words>
  <Characters>19251</Characters>
  <CharactersWithSpaces>22844</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2017-02-24T15:36:07Z</dcterms:created>
  <dc:creator/>
  <dc:description/>
  <dc:language>es-MX</dc:language>
  <cp:lastModifiedBy/>
  <dcterms:modified xsi:type="dcterms:W3CDTF">2017-04-28T17:09:30Z</dcterms:modified>
  <cp:revision>107</cp:revision>
  <dc:subject/>
  <dc:title/>
</cp:coreProperties>
</file>