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UNIVERSIDAD TÉCNICA PARTICULAR DE LOJA</w:t>
      </w:r>
    </w:p>
    <w:p>
      <w:pPr>
        <w:spacing w:after="3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Vicerrectorado Académico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DOCUMENTO DE VISIÓN DEL PRODUCTO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SAMR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Sistema de Atención Médica Remota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Transformado mediante IA e Interfaces Conversacionales</w:t>
      </w:r>
    </w:p>
    <w:p>
      <w:pPr>
        <w:spacing w:after="1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Versión 3.2  |  Mayo 2026</w:t>
      </w:r>
    </w:p>
    <w:p>
      <w:pPr>
        <w:spacing w:after="1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Integrantes del equipo: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Julio Maldonado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Administrador de Base de Datos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Antonela Parra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Desarrollador Backend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Paula López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Desarrollador Frontend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Leydi Robalino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Arquitecto de Software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Alisson Condoy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Especialista en Seguridad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David León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Analista de Requisitos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Control de Cambios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4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15/04/2026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de Trabajo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Borrador inicial: conceptualización preliminar.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Descartado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11/05/2026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con 10 módulos bajo ISO/IEC 25010.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19/05/2026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Transformación con IA y bots conversacionales.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24/05/2026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Reestructuración a 5 módulos esenciales.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27/05/2026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Reducción a 8 stakeholders esenciales. Actualización en cascada de RF, RNF, riesgos, criterios de éxito y trazabilidad.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Superado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29/05/2026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Incorporación de Med-Gemini como motor clínico de IA. Actualización en cascada de módulos 8.2, RF, RNF, ST07 y riesgos.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Vigente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Aprobaciones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4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/ Cargo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LLdE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Analistas de Requisitos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UTPL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27/05/2026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Docente de Ingeniería de Requisitos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Revisor y aprobador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UTPL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27/05/2026</w:t>
            </w:r>
          </w:p>
        </w:tc>
        <w:tc>
          <w:tcPr>
            <w:tcW w:type="dxa" w:w="1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Introducción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Propósito del documento</w:t>
      </w:r>
    </w:p>
    <w:p>
      <w:pPr>
        <w:spacing w:after="110"/>
        <w:jc w:val="both"/>
      </w:pPr>
      <w:r>
        <w:rPr>
          <w:rFonts w:ascii="Arial" w:cs="Arial" w:eastAsia="Arial" w:hAnsi="Arial"/>
          <w:sz w:val="20"/>
          <w:szCs w:val="20"/>
        </w:rPr>
        <w:t xml:space="preserve">El presente documento define la visión de negocio, el alcance y los objetivos estratégicos del Sistema de Atención Médica Remota (SAMR), transformado mediante Inteligencia Artificial e interfaces conversacionales. Sirve como fundamento para el proceso de elicitación y análisis de requisitos, alineando a todos los interesados con la dirección del proyecto conforme a las guías del IEEE BABOK v3 y el estándar ISO/IEC 25010.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Alcance del documento</w:t>
      </w:r>
    </w:p>
    <w:p>
      <w:pPr>
        <w:spacing w:after="110"/>
        <w:jc w:val="both"/>
      </w:pPr>
      <w:r>
        <w:rPr>
          <w:rFonts w:ascii="Arial" w:cs="Arial" w:eastAsia="Arial" w:hAnsi="Arial"/>
          <w:sz w:val="20"/>
          <w:szCs w:val="20"/>
        </w:rPr>
        <w:t xml:space="preserve">Este documento cubre la visión, objetivos, stakeholders, alcance del producto y la identificación de requerimientos funcionales y no funcionales del sistema SAMR en su versión v3.1 con arquitectura de 5 módulos esenciales y 8 stakeholders clave. No incluye especificaciones técnicas detalladas ni requisitos de bajo nivel.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Definiciones, acrónimos y abreviaturas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Atención Médica Remota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 Funcional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 No Funcional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Ministerio de Salud Pública del Ecuador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IESS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Instituto Ecuatoriano de Seguridad Social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LOPDP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Ley Orgánica de Protección de Datos Personales del Ecuador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EKG / ECG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Electrocardiograma — registra la actividad eléctrica del corazón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EEG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Electroencefalograma — registra la actividad eléctrica del cerebro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HL7/FHIR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Estándares internacionales de interoperabilidad para intercambio de información clínica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NLP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Language Processing — Procesamiento de Lenguaje Natural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XAI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Explainable AI — capacidad del sistema de explicar sus decisiones automatizadas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conversacional automatizada (chatbot de texto o voicebot de voz)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MLOps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Prácticas de operaciones para el ciclo de vida de modelos de machine learning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Multi-Factor Authentication — Autenticación de múltiples factores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Level Agreement — Acuerdo de Nivel de Servicio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RTO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Time Objective — tiempo máximo para restablecer el sistema tras una falla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de Inteligencia Artificial multimodal de Google, específicamente entrenado en datos clínicos. Actúa como motor de razonamiento médico del sistema SAMR para triaje, detección predictiva de anomalías biométricas y soporte diagnóstico en teleconsulta con explicabilidad (XAI).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auditoría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inmutable de cada acción realizada en el sistema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Declaración del Problema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 problema de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carencia de un sistema estructurado para el monitoreo continuo y la atención remota de pacientes domiciliarios, que dificulta la detección oportuna de anomalías clínicas y la gestión eficiente de emergencias médicas a distancia.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Afecta a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Pacientes con enfermedades crónicas o en seguimiento domiciliario (ST01)
• Médicos y centros de asistencia que brindan atención remota (ST02, ST04)
• Ministerio de Salud Pública como ente regulador (ST05)
• Oficial de Protección de Datos responsable del cumplimiento legal (ST06)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 impacto es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Pérdida de visibilidad clínica entre consultas · Diagnósticos remotos sin historial integrado · Riesgos de privacidad en transmisión de datos médicos · Ansiedad del paciente sin retroalimentación en tiempo real · Decisiones médicas sin soporte predictivo ni explicable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Una solución exitosa permitiría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Monitoreo continuo predictivo con alertas tempranas y explicables · Bot conversacional como primera línea accesible · Teleconsulta con historial integrado y soporte de IA · Interoperabilidad con IESS/MSP bajo HL7/FHIR · Seguridad y auditoría bajo LOPDP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Enunciado de Visión del Producto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Pacientes con enfermedades crónicas o en seguimiento domiciliario · Médicos y profesionales de la salud que realizan teleconsultas · Centros de asistencia del consorcio médico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Quién(es)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Requieren monitoreo continuo con alertas predictivas y explicables · Necesitan acceso al historial clínico con soporte de IA durante la teleconsulta · Deben garantizar seguridad, privacidad y trazabilidad bajo la LOPDP y el MSP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 producto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SAMR — Sistema de Atención Médica Remota con IA e Interfaces Conversacionales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Ofrece un bot conversacional como primera línea de interacción natural para el paciente · Realiza triaje automatizado con NLP y clasificación de riesgo explicable · Monitorea signos vitales con modelos predictivos y alertas proactivas · Brinda teleconsulta con historial integrado y sugerencias de IA con XAI · Garantiza trazabilidad regulatoria completa ante el MSP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 diferencia de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sistemas actuales que no ofrecen monitoreo predictivo, no cuentan con interfaces conversacionales accesibles, no explican sus decisiones automatizadas y no mantienen registro auditable para el MSP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 aplicación garantiza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 confiable 24/7 · Explicabilidad de todas las decisiones de IA para pacientes y reguladores · Protección de datos con cifrado y consentimiento explícito bajo la LOPDP · Repositorio persistente y logs de auditoría inmutables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Objetivos de Negocio (SMART)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400"/>
        <w:gridCol w:w="13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(SMART)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de éxito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OB-01</w:t>
            </w:r>
          </w:p>
        </w:tc>
        <w:tc>
          <w:tcPr>
            <w:tcW w:type="dxa" w:w="4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Atender el 95% de las solicitudes de urgencia domiciliaria dentro de 10 minutos desde la recepción, con soporte del bot conversacional para guía inicial. (M2)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respuesta ≤ 10 min en el 95% de los casos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meses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OB-02</w:t>
            </w:r>
          </w:p>
        </w:tc>
        <w:tc>
          <w:tcPr>
            <w:tcW w:type="dxa" w:w="4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Monitorear continuamente al 99% de los pacientes domiciliarios activos y detectar anomalías biométricas con precisión ≥ 98% mediante modelos predictivos con alertas explicables. (M3)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de detección ≥ 98% con falsos positivos ≤ 2%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meses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OB-03</w:t>
            </w:r>
          </w:p>
        </w:tc>
        <w:tc>
          <w:tcPr>
            <w:tcW w:type="dxa" w:w="4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Garantizar disponibilidad del servicio 24/7 durante los primeros 6 meses de operación productiva. (M1–M5)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actividad ≥ 99.5%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meses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OB-04</w:t>
            </w:r>
          </w:p>
        </w:tc>
        <w:tc>
          <w:tcPr>
            <w:tcW w:type="dxa" w:w="4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Garantizar que el 100% de las interacciones con el bot y decisiones de IA queden registradas en el log de auditoría inmutable, cumpliendo la LOPDP y el MSP. (M5)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 regulatoria sin observaciones en el primer ciclo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meses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Análisis de Interesados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Registro de interesados</w:t>
      </w:r>
    </w:p>
    <w:p>
      <w:pPr>
        <w:spacing w:after="110"/>
        <w:jc w:val="both"/>
      </w:pPr>
      <w:r>
        <w:rPr>
          <w:rFonts w:ascii="Arial" w:cs="Arial" w:eastAsia="Arial" w:hAnsi="Arial"/>
          <w:sz w:val="20"/>
          <w:szCs w:val="20"/>
        </w:rPr>
        <w:t xml:space="preserve">Los siguientes 8 stakeholders fueron identificados como esenciales para el funcionamiento del sistema SAMR. Cada uno tiene responsabilidad directa sobre al menos un módulo o requisito del sistema.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800"/>
        <w:gridCol w:w="8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/ Grupo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Poder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principal y beneficiario directo. Interactúa con el bot y la app para solicitar atención y recibir monitoreo.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Mantener informado y satisfecho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ST02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Médico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 teleconsultas (M4), diagnostica, valida sugerencias de IA y recibe alertas biométricas del monitoreo (M3).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Colaborar activamente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Administrativo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diario del sistema: gestiona solicitudes, asigna recursos y supervisa el panel de estados (M2).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Colaborar activamente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ST04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 de Asistencia / Consorcio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Institución que recibe y responde solicitudes de atención. Opera los módulos M2, M3 y M4.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de cerca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ST05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Ministerio de Salud Pública (MSP)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 regulador: certifica y audita el sistema completo incluyendo IA, bot y logs de auditoría (M5).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de cerca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ST06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Oficial de Protección de Datos (DPO)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Garantiza cumplimiento de la LOPDP en IA, bot, historial clínico y gestión del consentimiento (M5).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de cerca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MLOps / Med-Gemini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 el ciclo de vida de Med-Gemini en el sistema SAMR: integración, configuración clínica, monitoreo de precisión, reentrenamiento y auditoría de equidad. Responsable de M2 y M3.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Colaborar activamente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ST08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Patrocinador — Ing. Armando Cabrera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 el proyecto, aprueba el presupuesto y el alcance estratégico. Responsable de la viabilidad del sistema.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de cerca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Mapa de poder / interés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Cuadrante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4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Poder / Alto Interés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ST04, ST05, ST06, ST08</w:t>
            </w:r>
          </w:p>
        </w:tc>
        <w:tc>
          <w:tcPr>
            <w:tcW w:type="dxa" w:w="4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de cerca. Reuniones frecuentes, validación constante de requisitos y acceso prioritario a decisiones del proyecto.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 Poder / Alto Interés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ST02, ST03, ST07</w:t>
            </w:r>
          </w:p>
        </w:tc>
        <w:tc>
          <w:tcPr>
            <w:tcW w:type="dxa" w:w="4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Colaborar activamente. Participación en elicitación, talleres y validación de prototipos.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 Poder / Alto Interés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</w:t>
            </w:r>
          </w:p>
        </w:tc>
        <w:tc>
          <w:tcPr>
            <w:tcW w:type="dxa" w:w="4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Mantener informado y satisfecho. Pruebas de usuario y encuestas de satisfacción.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Perfil de usuarios clave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técnico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de uso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Necesidad principal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(ST01)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Básico — medio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 según estado de salud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Interactuar con el bot para reportar síntomas, solicitar ayuda y recibir guía comprensible en situaciones de emergencia.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Médico (ST02)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 — alto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Diaria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Acceder al historial clínico completo, recibir alertas con XAI y realizar teleconsultas con soporte diagnóstico de IA.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Administrativo (ST03)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Diaria intensiva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solicitudes entrantes, asignar recursos y supervisar el panel de estados del sistema.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 / Auditor (ST05)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Periódica — auditorías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Acceder a logs inmutables con decisiones de IA y conversaciones con bot para certificación regulatoria.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MLOps / Med-Gemini (ST07)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Continua</w:t>
            </w:r>
          </w:p>
        </w:tc>
        <w:tc>
          <w:tcPr>
            <w:tcW w:type="dxa" w:w="4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Gestionar la integración y operación de Med-Gemini en SAMR. Monitorear precisión clínica, equidad algorítmica y explicabilidad de las decisiones del modelo.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Alcance del Producto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Declaración de alcance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280"/>
      </w:tblGrid>
      <w:tr>
        <w:trPr>
          <w:tblHeader/>
        </w:trP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DENTRO del alcance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 del alcance (esta versión)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Gestión de Usuarios y Acceso: Registro, login y perfiles con roles diferenciados (paciente, médico, administrativo). Autenticación MFA. Validación automatizada de elegibilidad en el IESS/MSP. Registro de consentimiento LOPDP.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pagos, cobros y pasarelas financieras. Facturación electrónica o flujos de reembolso.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Inteligente y Gestión de Solicitudes: Bot conversacional (chatbot y voicebot) como primera línea de interacción. Motor NLP con clasificación de riesgo y XAI. Fallback seguro bot → humano. Procesamiento asíncrono de solicitudes. Motor de matching inteligente. Panel dinámico de estados en tiempo real.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Implementación de modelos NLP avanzados en producción (Fase 1 usa reglas; modelos reales en Fase 2). Logística física de ambulancias.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Monitoreo Biométrico Predictivo: Captura de flujos IoT continuos (EKG, EEG, oxímetro). Modelos ML para detección de patrones precursores de eventos críticos. Alertas proactivas multicanal con explicación vía bot (XAI).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automatizado definitivo — el sistema alerta y explica, pero la decisión médica final es humana. Calibración o mantenimiento físico de dispositivos.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Teleconsulta y Atención Médica: Canal de video/audio de baja latencia. Historial clínico completo integrado con datos del IESS/MSP bajo HL7/FHIR. Sugerencias diagnósticas de IA con XAI. Emisión de recetas digitales con firma electrónica. Derivación de emergencia presencial.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agendamiento presencial de citas en consultorios. Gestión contable interna del consorcio.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Seguridad, Auditoría y Cumplimiento: Cifrado AES-256 en reposo y TLS 1.3 en tránsito. Consentimiento explícito LOPDP. Repositorio centralizado con retención regulada. Logs de auditoría inmutables con hash criptográfico que incluyen decisiones de IA y conversaciones con bot, listos para inspección del MSP.</w:t>
            </w:r>
          </w:p>
        </w:tc>
        <w:tc>
          <w:tcPr>
            <w:tcW w:type="dxa" w:w="4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 física perimetral de servidores. Validación de veracidad médica de datos introducidos por error humano.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Características principales del sistema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100"/>
        <w:gridCol w:w="3300"/>
        <w:gridCol w:w="760"/>
      </w:tblGrid>
      <w:tr>
        <w:trPr>
          <w:tblHeader/>
        </w:trP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M01-C01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Gestión de Usuarios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y gestión de perfiles con roles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Registro, login y perfiles con roles: paciente, médico y administrativo, con autenticación MFA obligatoria.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M01-C02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Gestión de Usuarios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elegibilidad en línea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automatizada al IESS/MSP para verificar la cobertura del paciente antes de activar servicios.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y Solicitudes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conversacional de primera línea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texto y voicebot que guía al paciente en el reporte natural de síntomas con fallback seguro a humano cuando el bot no puede resolver la situación.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y Solicitudes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— Motor de triaje clínico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analiza la descripción de síntomas recibida por el bot, aplica razonamiento clínico especializado y clasifica la solicitud por nivel de prioridad médica con explicación XAI comprensible para el paciente y el médico.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y Solicitudes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 asíncrono de solicitudes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solicitudes manuales (vía bot) y automáticas (alertas IoT) sin bloqueo del sistema.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M02-C04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y Solicitudes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matching inteligente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 que asigna cada caso al centro y médico más idóneo según especialidad, disponibilidad, ubicación y tiempo estimado de respuesta.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M02-C05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Triaje y Solicitudes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dinámico de estados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Tablero en tiempo real del ciclo de vida del auxilio: Recibido → Asignado → En Atención → Atendido.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Monitoreo Biométrico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continua de flujos IoT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Recepción y procesamiento de datos biométricos en tiempo real desde dispositivos del paciente (EKG, EEG, oxímetro).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Monitoreo Biométrico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— Detección predictiva de anomalías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analiza los flujos biométricos continuos (EKG, EEG, oxímetro), identifica patrones precursores de eventos críticos con anticipación y genera alertas proactivas con explicación clínica del riesgo detectado.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Monitoreo Biométrico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Explicación de alertas vía bot (XAI)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bot explica al paciente en lenguaje comprensible las razones de cada alerta generada por el modelo predictivo.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Teleconsulta y Atención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Teleconsulta con Med-Gemini y XAI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de videollamada de baja latencia con historial clínico completo. Med-Gemini genera sugerencias diagnósticas basadas en el contexto clínico del paciente con explicación XAI visible para el médico en tiempo real.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Teleconsulta y Atención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Emisión de recetas digitales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y firma electrónica de recetas e instrucciones médicas durante la teleconsulta.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Teleconsulta y Atención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Derivación de emergencia presencial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Botón de atención inmediata para solicitar despacho de emergencia cuando el médico determina un caso crítico.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Seguridad y Auditoría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Cifrado de datos en reposo y tránsito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 en reposo y TLS 1.3 en tránsito para todas las comunicaciones y datos, incluyendo conversaciones con bot.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Seguridad y Auditoría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Consentimiento explícito LOPDP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del consentimiento del paciente para acceso al historial y uso de conversaciones con bot para reentrenamiento de modelos.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Seguridad y Auditoría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centralizado persistente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 centralizado con retención regulada del historial clínico, solicitudes y conversaciones con bot.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M05-C04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Seguridad y Auditoría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de auditoría inmutables con IA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con hash criptográfico que incluyen decisiones de IA y conversaciones con bot, listos para el MSP.</w:t>
            </w:r>
          </w:p>
        </w:tc>
        <w:tc>
          <w:tcPr>
            <w:tcW w:type="dxa" w:w="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Restricciones, Suposiciones y Dependencias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Restricciones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760"/>
      </w:tblGrid>
      <w:tr>
        <w:trPr>
          <w:tblHeader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R-01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requiere que el paciente cuente con acceso a Internet para el monitoreo, la teleconsulta y la interacción con el bot.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Normativa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cumplir con la LOPDP, la Ley Orgánica de Salud del Ecuador, las regulaciones del MSP y los estándares HL7/FHIR.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Normativa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validez legal de las recetas digitales y las decisiones de IA está condicionada al marco regulatorio vigente del MSP en Ecuador.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R-04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precisión del monitoreo biométrico depende de la calidad y calibración de los dispositivos del paciente, externos al sistema.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APIs del IESS y la Red de Salud Pública deben estar disponibles y accesibles para el sistema.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Ética / IA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modelos de IA y el bot deben ser auditables, explicables y libres de sesgos discriminatorios verificables por el ST07 (MLOps).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R-07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IA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consentimiento explícito del paciente (ST01) es obligatorio antes de usar sus conversaciones con el bot para reentrenamiento de modelos (ST07).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Suposiciones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160"/>
      </w:tblGrid>
      <w:tr>
        <w:trPr>
          <w:tblHeader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Suposición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SA-01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pacientes (ST01) cuentan con al menos un dispositivo con acceso a Internet para interactuar con el sistema y el bot.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SA-02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APIs del IESS y la Red de Salud Pública estarán disponibles y técnicamente accesibles para integración bajo HL7/FHIR.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SA-03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proveedores de infraestructura cloud garantizarán disponibilidad mínima del 99.5% conforme al SLA del proyecto.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SA-04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personal médico (ST02) y administrativo (ST03) recibirán capacitación básica antes de la puesta en producción.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SA-05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umbrales clínicos para el triaje y los modelos predictivos serán proporcionados y avalados por médicos especialistas del consorcio (ST04) antes del diseño.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SA-06</w:t>
            </w:r>
          </w:p>
        </w:tc>
        <w:tc>
          <w:tcPr>
            <w:tcW w:type="dxa" w:w="8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equipo MLOps (ST07) dispondrá de datos de entrenamiento suficientes y etiquetados para construir los modelos iniciales de triaje y detección de anomalías.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Dependencias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100"/>
        <w:gridCol w:w="23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si no se cumple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D-01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el IESS (API externa)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podrá validar la elegibilidad del paciente ni importar historial externo.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ST04 — Equipo TI del consorcio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D-02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la Red de Salud Pública (HL7/FHIR)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historial médico del paciente estará incompleto durante la teleconsulta.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ST05 MSP / Proveedor de red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D-03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cloud (AWS / Azure / GCP)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disponibilidad 24/7 y la escalabilidad del sistema no podrán garantizarse.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 externo (no stakeholder)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D-04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Dispositivos médicos del paciente (EKG, EEG, oxímetro)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módulo M3 de monitoreo biométrico y los modelos predictivos no funcionarán.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 Paciente / ST04 Centro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operativo e integrado al sistema</w:t>
            </w:r>
          </w:p>
        </w:tc>
        <w:tc>
          <w:tcPr>
            <w:tcW w:type="dxa" w:w="3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triaje clínico (M2), la detección predictiva (M3) y el soporte diagnóstico (M4) no estarán disponibles. El sistema operaría en modo básico reactivo sin capacidades de IA.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ST07 Equipo MLOps / Med-Gemini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Estrategia de Mitigación de Riesgos de Requisitos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700"/>
        <w:gridCol w:w="800"/>
        <w:gridCol w:w="800"/>
        <w:gridCol w:w="33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 de mitigación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RR-01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 adopción por resistencia al cambio del personal médico (ST02) y administrativo (ST03).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Sesiones de capacitación previas al despliegue. Involucrar médicos referentes como champions del sistema junto con ST04.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RR-02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Umbrales clínicos de Med-Gemini ambiguos para alertas biométricas — ¿qué patrón activa la alerta?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umbrales clínicos con ST02 y ST04 antes de configurar Med-Gemini. Validar la precisión del modelo en un entorno controlado antes del despliegue productivo.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RR-03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 de APIs externas no disponibles (IESS, Red de Salud Pública).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Acordar SLA con proveedores (D-01, D-02) antes del inicio del desarrollo. Implementar modo degradado sin validación de elegibilidad.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RR-04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Problemas de conectividad en zonas rurales que afecten calidad del monitoreo y teleconsulta.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mecanismos de tolerancia a fallos y comunicación alternativa (SMS, almacenamiento temporal local).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RR-05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Sesgo o inequidad en Med-Gemini que perjudique a grupos de pacientes (ST01) por factores demográficos.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Auditorías de equidad de Med-Gemini ejecutadas por ST07 con supervisión del ST06 (DPO). Validar que los datos de configuración del modelo representen adecuadamente la población ecuatoriana.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RR-06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Explicabilidad de Med-Gemini insuficiente para satisfacer los criterios de aprobación regulatoria del MSP (ST05).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criterios de XAI aceptables con ST05 y ST06 desde la Fase 1. Validar que las explicaciones de Med-Gemini sean comprensibles para el personal médico (ST02) y los auditores del MSP.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Criterios de Éxito del Proyecto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8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éxito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 de medición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CE-01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95% de las solicitudes de urgencia son atendidas dentro de los 10 minutos posteriores a su recepción, incluyendo las iniciadas por el bot (M2).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del sistema — tiempo entre creación de solicitud y confirmación de asignación de médico.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CE-02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tasa de detección de anomalías biométricas del módulo M3 alcanza ≥ 98% con falsos positivos ≤ 2%.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clínica cruzada con datos reales durante las pruebas del módulo M3, supervisada por ST02 y ST07.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CE-03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mantiene disponibilidad ≥ 99.5% durante los primeros 6 meses de operación productiva.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infraestructura con métricas de uptime en tiempo real.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CE-04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MSP (ST05) valida los logs de auditoría del módulo M5 — incluyendo conversaciones con bot y decisiones de IA — como suficientes para la certificación regulatoria.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 formal del ST05 de al menos un ciclo completo de auditoría del sistema.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OB-04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CE-05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90% de los usuarios (ST01 y ST02) califica la usabilidad del sistema y del bot como satisfactoria o mejor.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Encuesta de satisfacción post-implementación aplicada a ST01 y ST02.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OB-01/OB-03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CE-06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100% de las decisiones automatizadas de IA incluyen explicación comprensible verificada por ST06 (DPO) y ST07 (MLOps).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 de muestra aleatoria de 100 decisiones del sistema por ST06 y ST07.</w:t>
            </w:r>
          </w:p>
        </w:tc>
        <w:tc>
          <w:tcPr>
            <w:tcW w:type="dxa" w:w="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OB-04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Requerimientos Funcionales y No Funcionales</w:t>
      </w:r>
    </w:p>
    <w:p>
      <w:pPr>
        <w:spacing w:after="110"/>
        <w:jc w:val="both"/>
      </w:pPr>
      <w:r>
        <w:rPr>
          <w:rFonts w:ascii="Arial" w:cs="Arial" w:eastAsia="Arial" w:hAnsi="Arial"/>
          <w:sz w:val="20"/>
          <w:szCs w:val="20"/>
        </w:rPr>
        <w:t xml:space="preserve">Los siguientes requerimientos fueron derivados directamente de las características del sistema definidas en la sección 8.2, manteniendo trazabilidad completa hacia los módulos y stakeholders que los originan.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Requerimientos Funcionales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300"/>
        <w:gridCol w:w="20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Requerimiento Funcional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Trazabilidad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permitirá el registro, inicio de sesión y gestión de perfiles con roles: paciente (ST01), médico (ST02) y administrativo (ST03), con autenticación MFA obligatoria.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M01-C01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validará automáticamente la elegibilidad del paciente en el IESS/MSP antes de activar los servicios ambulatorios.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M01-C02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ofrecerá un bot conversacional (chatbot de texto y voicebot) como primera línea de interacción para que el paciente (ST01) reporte síntomas de forma natural.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escalará automáticamente a un profesional humano (ST02) cuando el bot no pueda resolver la situación, manteniendo el contexto completo de la conversación.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utilizará Med-Gemini para analizar la descripción de síntomas reportada por el bot, aplicar razonamiento clínico especializado y clasificar la solicitud por nivel de prioridad médica con explicación XAI comprensible para el paciente (ST01) y el médico (ST02).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procesará de forma asíncrona las solicitudes de auxilio, tanto las manuales (vía bot) como las automáticas generadas por el monitoreo IoT.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ejecutará un motor de matching inteligente que asignará cada caso al centro (ST04) y médico (ST02) más idóneo según especialidad, disponibilidad, ubicación y tiempo de respuesta.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M02-C04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visualizará en un panel dinámico en tiempo real el estado de cada solicitud activa durante todo su ciclo de vida para ST01 y ST03.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M02-C05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capturará y procesará flujos biométricos continuos desde los dispositivos del paciente (ST01): EKG, EEG, oxímetro.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utilizará Med-Gemini para analizar los flujos biométricos continuos, detectar patrones precursores de eventos críticos con anticipación y generar alertas proactivas con explicación clínica del riesgo detectado.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explicará a través del bot, en lenguaje comprensible para el paciente (ST01), las razones de cada alerta biométrica generada por el modelo predictivo.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enviará alertas críticas de forma simultánea al paciente (ST01), al médico responsable (ST02) y al centro de asistencia asignado (ST04).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M03-C03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habilitará un canal de videollamada de baja latencia con historial clínico completo integrado. Med-Gemini generará sugerencias diagnósticas basadas en el contexto clínico del paciente con explicación XAI visible para el médico (ST02) en tiempo real.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permitirá al médico (ST02) emitir recetas digitales con firma electrónica durante la teleconsulta.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proveerá un mecanismo de derivación inmediata para solicitar el despacho de emergencia presencial cuando el médico (ST02) lo determine.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cifrará todos los datos almacenados y en tránsito (AES-256 en reposo, TLS 1.3 en tránsito) incluyendo conversaciones con bot, bajo supervisión del ST06 (DPO).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RF-17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registrará el consentimiento explícito del paciente (ST01) bajo la LOPDP antes de acceder al historial o usar conversaciones con bot para reentrenamiento de modelos (ST07).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RF-18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almacenará de forma persistente el historial clínico, solicitudes y conversaciones con bot en un repositorio centralizado con retención mínima de 5 años.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RF-19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generará logs de auditoría inmutables con hash criptográfico que incluyan decisiones de IA y conversaciones con bot, listos para inspecciones del MSP (ST05).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M05-C04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Requerimientos No Funcionales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600"/>
        <w:gridCol w:w="15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 ISO/IEC 25010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Métrica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Asociado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Trazabilidad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MFA y OAuth 2.0. Métrica: 0 accesos no autorizados en auditorías. Responsable: ST06.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RF-01, RF-02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Soportar 5.000 usuarios concurrentes sin degradación. Métrica: Tiempo de respuesta ≤ 3s bajo carga máxima.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SA-03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del paciente completable en máximo 3 pasos. Métrica: Tasa de error ST01 ≤ 10%.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RF-03, RF-08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CE-05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dinámico se refresca en ≤ 500ms. Métrica: Latencia de actualización ≤ 500ms.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M02-C05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 y asignación asíncrona en ≤ 5 segundos en el 99% de los casos.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OB-01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clasifica síntomas y genera la clasificación de riesgo con XAI en ≤ 2 segundos. Métrica: Tiempo de respuesta ≤ 2s. Responsable: ST07.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M02-C02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Latencia máxima de 1 segundo en procesamiento de flujos IoT en el 99.9999% de las muestras.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RF-09, RF-10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Fiabilidad (Precisión)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detecta anomalías biométricas con tasa ≥ 98% y falsos positivos ≤ 2%. Validada por ST07 con supervisión clínica de ST02.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RF-10, RF-11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Latencia en transmisión de video/audio en teleconsulta ≤ 200ms en el 95% de las sesiones.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M04-C01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Cumplimiento Legal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 del 100% de registros clínicos y conversaciones con bot. Supervisado por ST06.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RF-13, RF-14, RF-18, RF-19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CE-04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 garantizada ≥ 99.5%. Métrica: Tiempo de inactividad ≤ 4h/año.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RF-06, RF-07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OB-03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RNF-12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 de alertas críticas en ≤ 30 segundos en el 99.9999% de los eventos.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OB-01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RNF-13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Auditorías semestrales de seguridad ejecutadas por ST06. Métrica: 0 vulnerabilidades críticas sin mitigar.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RF-16, RF-17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R-02, R-06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RNF-14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 automáticos diarios con retención de 5 años. Métrica: RTO ≤ 4h, RPO ≤ 24h.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RF-18, RF-19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CE-04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RNF-15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Explicabilidad (XAI)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100% de las decisiones generadas por Med-Gemini (triaje, detección de anomalías, soporte diagnóstico) incluyen explicación comprensible para el paciente, el médico y el auditor. Verificado por ST06 y ST07.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RF-05, RF-10, RF-07, RF-11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CE-06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RNF-16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no presentará sesgos discriminatorios verificables en sus decisiones clínicas. Auditoría de equidad ejecutada por ST07 antes del despliegue y semestralmente. Métrica: 0 sesgos críticos.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RF-05, RF-10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R-06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RNF-17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 extensible que permite integrar nuevos modelos de IA (ST07) y dispositivos sin rediseño estructural.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1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Matriz de Trazabilidad Completa</w:t>
      </w:r>
    </w:p>
    <w:p>
      <w:pPr>
        <w:spacing w:after="110"/>
        <w:jc w:val="both"/>
      </w:pPr>
      <w:r>
        <w:rPr>
          <w:rFonts w:ascii="Arial" w:cs="Arial" w:eastAsia="Arial" w:hAnsi="Arial"/>
          <w:sz w:val="20"/>
          <w:szCs w:val="20"/>
        </w:rPr>
        <w:t xml:space="preserve">La siguiente tabla cierra la cadena de trazabilidad completa del sistema SAMR: desde el stakeholder que origina la necesidad, pasando por el módulo que la agrupa y la característica que la describe, hasta el RF que la especifica y el RNF que la califica. Ningún requisito existe sin un stakeholder que lo respalde.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1800"/>
        <w:gridCol w:w="2060"/>
      </w:tblGrid>
      <w:tr>
        <w:trPr>
          <w:tblHeader/>
        </w:trP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resumida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— Característica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 Asociado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 que origina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Registro, login, roles y MFA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M01-C01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RNF-01, RNF-02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elegibilidad IESS/MSP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M01-C02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ST05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conversacional primera línea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RNF-03, RNF-06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bot → humano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— triaje clínico con XAI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RNF-06, RNF-15, RNF-16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 asíncrono de solicitudes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RNF-05, RNF-11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matching inteligente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M02-C04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RNF-05, RNF-15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ST02, ST03, ST04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dinámico de estados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M02-C05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RNF-03, RNF-04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ST03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continua de flujos IoT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M03-C01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RNF-07, RNF-17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Med-Gemini — detección predictiva de anomalías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M03-C02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RNF-07, RNF-08, RNF-15, RNF-16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Explicación de alertas vía bot (XAI)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M03-C03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RNF-08, RNF-12, RNF-15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multicanal simultáneas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M03-C03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RNF-12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ST04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Teleconsulta con Med-Gemini y XAI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M04-C01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RNF-09, RNF-10, RNF-15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ST02, ST07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Recetas digitales con firma electrónica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M04-C02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RNF-10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Derivación de emergencia presencial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M04-C03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RNF-12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ST02, ST04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Cifrado AES-256 / TLS 1.3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M05-C01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RNF-13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ST05, ST06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RF-17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Consentimiento LOPDP para historial y bot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M05-C02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RNF-13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ST01, ST06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RF-18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centralizado persistente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M05-C03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RNF-14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ST05, ST06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RF-19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de auditoría inmutables con IA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M05-C04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RNF-14, RNF-10</w:t>
            </w:r>
          </w:p>
        </w:tc>
        <w:tc>
          <w:tcPr>
            <w:tcW w:type="dxa" w:w="20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ST05, ST06, ST07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UTPL — Ingeniería de Requisitos  |  Mayo 2026</w:t>
    </w:r>
    <w:r>
      <w:rPr>
        <w:rFonts w:ascii="Arial" w:cs="Arial" w:eastAsia="Arial" w:hAnsi="Arial"/>
        <w:color w:val="595959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SAMR — Documento de Visión v3.2</w:t>
    </w:r>
    <w:r>
      <w:rPr>
        <w:rFonts w:ascii="Arial" w:cs="Arial" w:eastAsia="Arial" w:hAnsi="Arial"/>
        <w:color w:val="595959"/>
        <w:sz w:val="16"/>
        <w:szCs w:val="16"/>
      </w:rPr>
      <w:t xml:space="preserve">  |  5 Módulos · 8 Stakeholders · Med-Gemini · Trazabilidad completa — Equipo LLdE — UTPL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2026-05-31T19:47:42.402Z</dcterms:created>
  <dcterms:modified xsi:type="dcterms:W3CDTF">2026-05-31T19:47:42.416Z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