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700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7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6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2"/>
          <w:szCs w:val="22"/>
          <w:rtl w:val="0"/>
        </w:rPr>
        <w:t xml:space="preserve">UNIVERSIDAD TÉCNICA PARTICULAR DE LOJA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320" w:lineRule="auto"/>
        <w:jc w:val="center"/>
        <w:rPr/>
      </w:pPr>
      <w:r w:rsidDel="00000000" w:rsidR="00000000" w:rsidRPr="00000000">
        <w:rPr>
          <w:rFonts w:ascii="Arial" w:cs="Arial" w:eastAsia="Arial" w:hAnsi="Arial"/>
          <w:color w:val="595959"/>
          <w:sz w:val="20"/>
          <w:szCs w:val="20"/>
          <w:rtl w:val="0"/>
        </w:rPr>
        <w:t xml:space="preserve">Vicerrectorado Académico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30"/>
          <w:szCs w:val="30"/>
          <w:rtl w:val="0"/>
        </w:rPr>
        <w:t xml:space="preserve">DOCUMENTO DE VISIÓN DEL PRODUCTO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8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52"/>
          <w:szCs w:val="52"/>
          <w:rtl w:val="0"/>
        </w:rPr>
        <w:t xml:space="preserve">SAMR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6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8"/>
          <w:szCs w:val="28"/>
          <w:rtl w:val="0"/>
        </w:rPr>
        <w:t xml:space="preserve">Sistema de Atención Médica Remota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60" w:lineRule="auto"/>
        <w:jc w:val="center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595959"/>
          <w:sz w:val="22"/>
          <w:szCs w:val="22"/>
          <w:rtl w:val="0"/>
        </w:rPr>
        <w:t xml:space="preserve">Transformado mediante IA e Interfaces Conversacionales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6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2"/>
          <w:szCs w:val="22"/>
          <w:rtl w:val="0"/>
        </w:rPr>
        <w:t xml:space="preserve">Versión 3.2  |  Mayo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6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0"/>
          <w:szCs w:val="20"/>
          <w:rtl w:val="0"/>
        </w:rPr>
        <w:t xml:space="preserve">Integrantes del equipo: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36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0"/>
          <w:szCs w:val="20"/>
          <w:rtl w:val="0"/>
        </w:rPr>
        <w:t xml:space="preserve">Julio Maldonado</w:t>
      </w:r>
      <w:r w:rsidDel="00000000" w:rsidR="00000000" w:rsidRPr="00000000">
        <w:rPr>
          <w:rFonts w:ascii="Arial" w:cs="Arial" w:eastAsia="Arial" w:hAnsi="Arial"/>
          <w:color w:val="595959"/>
          <w:sz w:val="20"/>
          <w:szCs w:val="20"/>
          <w:rtl w:val="0"/>
        </w:rPr>
        <w:t xml:space="preserve"> — Administrador de Base de Datos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36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0"/>
          <w:szCs w:val="20"/>
          <w:rtl w:val="0"/>
        </w:rPr>
        <w:t xml:space="preserve">Antonela Parra</w:t>
      </w:r>
      <w:r w:rsidDel="00000000" w:rsidR="00000000" w:rsidRPr="00000000">
        <w:rPr>
          <w:rFonts w:ascii="Arial" w:cs="Arial" w:eastAsia="Arial" w:hAnsi="Arial"/>
          <w:color w:val="595959"/>
          <w:sz w:val="20"/>
          <w:szCs w:val="20"/>
          <w:rtl w:val="0"/>
        </w:rPr>
        <w:t xml:space="preserve"> — Desarrollador Backend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36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0"/>
          <w:szCs w:val="20"/>
          <w:rtl w:val="0"/>
        </w:rPr>
        <w:t xml:space="preserve">Paula López</w:t>
      </w:r>
      <w:r w:rsidDel="00000000" w:rsidR="00000000" w:rsidRPr="00000000">
        <w:rPr>
          <w:rFonts w:ascii="Arial" w:cs="Arial" w:eastAsia="Arial" w:hAnsi="Arial"/>
          <w:color w:val="595959"/>
          <w:sz w:val="20"/>
          <w:szCs w:val="20"/>
          <w:rtl w:val="0"/>
        </w:rPr>
        <w:t xml:space="preserve"> — Desarrollador Frontend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36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0"/>
          <w:szCs w:val="20"/>
          <w:rtl w:val="0"/>
        </w:rPr>
        <w:t xml:space="preserve">Leydi Robalino</w:t>
      </w:r>
      <w:r w:rsidDel="00000000" w:rsidR="00000000" w:rsidRPr="00000000">
        <w:rPr>
          <w:rFonts w:ascii="Arial" w:cs="Arial" w:eastAsia="Arial" w:hAnsi="Arial"/>
          <w:color w:val="595959"/>
          <w:sz w:val="20"/>
          <w:szCs w:val="20"/>
          <w:rtl w:val="0"/>
        </w:rPr>
        <w:t xml:space="preserve"> — Arquitecto de Software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36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0"/>
          <w:szCs w:val="20"/>
          <w:rtl w:val="0"/>
        </w:rPr>
        <w:t xml:space="preserve">Alisson Condoy</w:t>
      </w:r>
      <w:r w:rsidDel="00000000" w:rsidR="00000000" w:rsidRPr="00000000">
        <w:rPr>
          <w:rFonts w:ascii="Arial" w:cs="Arial" w:eastAsia="Arial" w:hAnsi="Arial"/>
          <w:color w:val="595959"/>
          <w:sz w:val="20"/>
          <w:szCs w:val="20"/>
          <w:rtl w:val="0"/>
        </w:rPr>
        <w:t xml:space="preserve"> — Especialista en Seguridad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36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0"/>
          <w:szCs w:val="20"/>
          <w:rtl w:val="0"/>
        </w:rPr>
        <w:t xml:space="preserve">David León</w:t>
      </w:r>
      <w:r w:rsidDel="00000000" w:rsidR="00000000" w:rsidRPr="00000000">
        <w:rPr>
          <w:rFonts w:ascii="Arial" w:cs="Arial" w:eastAsia="Arial" w:hAnsi="Arial"/>
          <w:color w:val="595959"/>
          <w:sz w:val="20"/>
          <w:szCs w:val="20"/>
          <w:rtl w:val="0"/>
        </w:rPr>
        <w:t xml:space="preserve"> — Analista de Requisitos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1"/>
        <w:pBdr>
          <w:bottom w:color="2e75b6" w:space="4" w:sz="8" w:val="single"/>
        </w:pBdr>
        <w:spacing w:after="160" w:before="3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30"/>
          <w:szCs w:val="30"/>
          <w:rtl w:val="0"/>
        </w:rPr>
        <w:t xml:space="preserve">1. Control de Cambios</w:t>
      </w:r>
      <w:r w:rsidDel="00000000" w:rsidR="00000000" w:rsidRPr="00000000">
        <w:rPr>
          <w:rtl w:val="0"/>
        </w:rPr>
      </w:r>
    </w:p>
    <w:tbl>
      <w:tblPr>
        <w:tblStyle w:val="Table1"/>
        <w:tblW w:w="87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"/>
        <w:gridCol w:w="1000"/>
        <w:gridCol w:w="1400"/>
        <w:gridCol w:w="4000"/>
        <w:gridCol w:w="1460"/>
        <w:tblGridChange w:id="0">
          <w:tblGrid>
            <w:gridCol w:w="900"/>
            <w:gridCol w:w="1000"/>
            <w:gridCol w:w="1400"/>
            <w:gridCol w:w="4000"/>
            <w:gridCol w:w="14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1f4e79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1f4e79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1f4e79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1f4e79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1f4e79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15/04/2026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Equipo de Trabajo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Borrador inicial: conceptualización preliminar.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Descartado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11/05/2026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Equipo LLdE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Versión con 10 módulos bajo ISO/IEC 25010.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Superado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19/05/2026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Equipo LLdE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Transformación con IA y bots conversacionales.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Superado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24/05/2026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Equipo LLdE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Reestructuración a 5 módulos esenciales.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Superado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27/05/2026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Equipo LLdE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Reducción a 8 stakeholders esenciales. Actualización en cascada de RF, RNF, riesgos, criterios de éxito y trazabilidad.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Superado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29/05/2026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Equipo LLdE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Incorporación de Med-Gemini como motor clínico de IA. Actualización en cascada de módulos 8.2, RF, RNF, ST07 y riesgos.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Vigente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8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1"/>
        <w:pBdr>
          <w:bottom w:color="2e75b6" w:space="4" w:sz="8" w:val="single"/>
        </w:pBdr>
        <w:spacing w:after="160" w:before="3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30"/>
          <w:szCs w:val="30"/>
          <w:rtl w:val="0"/>
        </w:rPr>
        <w:t xml:space="preserve">2. Aprobaciones</w:t>
      </w:r>
      <w:r w:rsidDel="00000000" w:rsidR="00000000" w:rsidRPr="00000000">
        <w:rPr>
          <w:rtl w:val="0"/>
        </w:rPr>
      </w:r>
    </w:p>
    <w:tbl>
      <w:tblPr>
        <w:tblStyle w:val="Table2"/>
        <w:tblW w:w="87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200"/>
        <w:gridCol w:w="2200"/>
        <w:gridCol w:w="1500"/>
        <w:gridCol w:w="1400"/>
        <w:gridCol w:w="1460"/>
        <w:tblGridChange w:id="0">
          <w:tblGrid>
            <w:gridCol w:w="2200"/>
            <w:gridCol w:w="2200"/>
            <w:gridCol w:w="1500"/>
            <w:gridCol w:w="1400"/>
            <w:gridCol w:w="14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1f4e79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Nombre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1f4e79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Rol / Cargo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1f4e79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Organización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1f4e79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1f4e79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Firma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Equipo LLdE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Analistas de Requisitos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UTPL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27/05/2026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Docente de Ingeniería de Requisitos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Revisor y aprobador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UTPL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27/05/2026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9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1"/>
        <w:pBdr>
          <w:bottom w:color="2e75b6" w:space="4" w:sz="8" w:val="single"/>
        </w:pBdr>
        <w:spacing w:after="160" w:before="3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30"/>
          <w:szCs w:val="30"/>
          <w:rtl w:val="0"/>
        </w:rPr>
        <w:t xml:space="preserve">3. Introducción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2"/>
        <w:spacing w:after="10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4"/>
          <w:szCs w:val="24"/>
          <w:rtl w:val="0"/>
        </w:rPr>
        <w:t xml:space="preserve">3.1 Propósito del documento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1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El presente documento define la visión de negocio, el alcance y los objetivos estratégicos del Sistema de Atención Médica Remota (SAMR), transformado mediante Inteligencia Artificial e interfaces conversacionales. Sirve como fundamento para el proceso de elicitación y análisis de requisitos, alineando a todos los interesados con la dirección del proyecto conforme a las guías del IEEE BABOK v3 y el estándar ISO/IEC 25010.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2"/>
        <w:spacing w:after="10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4"/>
          <w:szCs w:val="24"/>
          <w:rtl w:val="0"/>
        </w:rPr>
        <w:t xml:space="preserve">3.2 Alcance del documento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1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Este documento cubre la visión, objetivos, stakeholders, alcance del producto y la identificación de requerimientos funcionales y no funcionales del sistema SAMR en su versión v3.1 con arquitectura de 5 módulos esenciales y 8 stakeholders clave. No incluye especificaciones técnicas detalladas ni requisitos de bajo nivel.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2"/>
        <w:spacing w:after="10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4"/>
          <w:szCs w:val="24"/>
          <w:rtl w:val="0"/>
        </w:rPr>
        <w:t xml:space="preserve">3.3 Definiciones, acrónimos y abreviaturas</w:t>
      </w:r>
      <w:r w:rsidDel="00000000" w:rsidR="00000000" w:rsidRPr="00000000">
        <w:rPr>
          <w:rtl w:val="0"/>
        </w:rPr>
      </w:r>
    </w:p>
    <w:tbl>
      <w:tblPr>
        <w:tblStyle w:val="Table3"/>
        <w:tblW w:w="89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800"/>
        <w:gridCol w:w="6160"/>
        <w:tblGridChange w:id="0">
          <w:tblGrid>
            <w:gridCol w:w="2800"/>
            <w:gridCol w:w="61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1f4e79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Término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1f4e79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Definición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SAMR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Sistema de Atención Médica Remota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Requisito Funcional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RNF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Requisito No Funcional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MSP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Ministerio de Salud Pública del Ecuador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IESS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Instituto Ecuatoriano de Seguridad Social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LOPDP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Ley Orgánica de Protección de Datos Personales del Ecuador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EKG / ECG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Electrocardiograma — registra la actividad eléctrica del corazón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EEG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Electroencefalograma — registra la actividad eléctrica del cerebro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HL7/FHIR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Estándares internacionales de interoperabilidad para intercambio de información clínica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NLP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Natural Language Processing — Procesamiento de Lenguaje Natural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XAI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Explainable AI — capacidad del sistema de explicar sus decisiones automatizadas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Bot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Interfaz conversacional automatizada (chatbot de texto o voicebot de voz)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MLOps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Prácticas de operaciones para el ciclo de vida de modelos de machine learning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MFA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Multi-Factor Authentication — Autenticación de múltiples factores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Service Level Agreement — Acuerdo de Nivel de Servicio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Recovery Time Objective — tiempo máximo para restablecer el sistema tras una falla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Med-Gemini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Modelo de Inteligencia Artificial multimodal de Google, específicamente entrenado en datos clínicos. Actúa como motor de razonamiento médico del sistema SAMR para triaje, detección predictiva de anomalías biométricas y soporte diagnóstico en teleconsulta con explicabilidad (XAI).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Log de auditoría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Registro inmutable de cada acción realizada en el sistema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9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pStyle w:val="Heading1"/>
        <w:pBdr>
          <w:bottom w:color="2e75b6" w:space="4" w:sz="8" w:val="single"/>
        </w:pBdr>
        <w:spacing w:after="160" w:before="3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30"/>
          <w:szCs w:val="30"/>
          <w:rtl w:val="0"/>
        </w:rPr>
        <w:t xml:space="preserve">4. Declaración del Problema</w:t>
      </w:r>
      <w:r w:rsidDel="00000000" w:rsidR="00000000" w:rsidRPr="00000000">
        <w:rPr>
          <w:rtl w:val="0"/>
        </w:rPr>
      </w:r>
    </w:p>
    <w:tbl>
      <w:tblPr>
        <w:tblStyle w:val="Table4"/>
        <w:tblW w:w="89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400"/>
        <w:gridCol w:w="6560"/>
        <w:tblGridChange w:id="0">
          <w:tblGrid>
            <w:gridCol w:w="2400"/>
            <w:gridCol w:w="65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El problema 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La carencia de un sistema estructurado para el monitoreo continuo y la atención remota de pacientes domiciliarios, que dificulta la detección oportuna de anomalías clínicas y la gestión eficiente de emergencias médicas a distancia.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Afecta 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• Pacientes con enfermedades crónicas o en seguimiento domiciliario (ST01)• Médicos y centros de asistencia que brindan atención remota (ST02, ST04)• Ministerio de Salud Pública como ente regulador (ST05)• Oficial de Protección de Datos responsable del cumplimiento legal (ST06)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El impacto 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Pérdida de visibilidad clínica entre consultas · Diagnósticos remotos sin historial integrado · Riesgos de privacidad en transmisión de datos médicos · Ansiedad del paciente sin retroalimentación en tiempo real · Decisiones médicas sin soporte predictivo ni explicable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Una solución exitosa permitiría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Monitoreo continuo predictivo con alertas tempranas y explicables · Bot conversacional como primera línea accesible · Teleconsulta con historial integrado y soporte de IA · Interoperabilidad con IESS/MSP bajo HL7/FHIR · Seguridad y auditoría bajo LOPDP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4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1"/>
        <w:pBdr>
          <w:bottom w:color="2e75b6" w:space="4" w:sz="8" w:val="single"/>
        </w:pBdr>
        <w:spacing w:after="160" w:before="3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30"/>
          <w:szCs w:val="30"/>
          <w:rtl w:val="0"/>
        </w:rPr>
        <w:t xml:space="preserve">5. Enunciado de Visión del Producto</w:t>
      </w:r>
      <w:r w:rsidDel="00000000" w:rsidR="00000000" w:rsidRPr="00000000">
        <w:rPr>
          <w:rtl w:val="0"/>
        </w:rPr>
      </w:r>
    </w:p>
    <w:tbl>
      <w:tblPr>
        <w:tblStyle w:val="Table5"/>
        <w:tblW w:w="89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400"/>
        <w:gridCol w:w="6560"/>
        <w:tblGridChange w:id="0">
          <w:tblGrid>
            <w:gridCol w:w="2400"/>
            <w:gridCol w:w="65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Para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Pacientes con enfermedades crónicas o en seguimiento domiciliario · Médicos y profesionales de la salud que realizan teleconsultas · Centros de asistencia del consorcio médico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Quién(es)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Requieren monitoreo continuo con alertas predictivas y explicables · Necesitan acceso al historial clínico con soporte de IA durante la teleconsulta · Deben garantizar seguridad, privacidad y trazabilidad bajo la LOPDP y el MSP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El producto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SAMR — Sistema de Atención Médica Remota con IA e Interfaces Conversacionales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Que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Ofrece un bot conversacional como primera línea de interacción natural para el paciente · Realiza triaje automatizado con NLP y clasificación de riesgo explicable · Monitorea signos vitales con modelos predictivos y alertas proactivas · Brinda teleconsulta con historial integrado y sugerencias de IA con XAI · Garantiza trazabilidad regulatoria completa ante el MSP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A diferencia 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Los sistemas actuales que no ofrecen monitoreo predictivo, no cuentan con interfaces conversacionales accesibles, no explican sus decisiones automatizadas y no mantienen registro auditable para el MSP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d6e4f0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Esta aplicación garantiza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Servicio confiable 24/7 · Explicabilidad de todas las decisiones de IA para pacientes y reguladores · Protección de datos con cifrado y consentimiento explícito bajo la LOPDP · Repositorio persistente y logs de auditoría inmutables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3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pStyle w:val="Heading1"/>
        <w:pBdr>
          <w:bottom w:color="2e75b6" w:space="4" w:sz="8" w:val="single"/>
        </w:pBdr>
        <w:spacing w:after="160" w:before="3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30"/>
          <w:szCs w:val="30"/>
          <w:rtl w:val="0"/>
        </w:rPr>
        <w:t xml:space="preserve">6. Objetivos de Negocio (SMART)</w:t>
      </w:r>
      <w:r w:rsidDel="00000000" w:rsidR="00000000" w:rsidRPr="00000000">
        <w:rPr>
          <w:rtl w:val="0"/>
        </w:rPr>
      </w:r>
    </w:p>
    <w:tbl>
      <w:tblPr>
        <w:tblStyle w:val="Table6"/>
        <w:tblW w:w="87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0"/>
        <w:gridCol w:w="4300"/>
        <w:gridCol w:w="2400"/>
        <w:gridCol w:w="1360"/>
        <w:tblGridChange w:id="0">
          <w:tblGrid>
            <w:gridCol w:w="700"/>
            <w:gridCol w:w="4300"/>
            <w:gridCol w:w="2400"/>
            <w:gridCol w:w="13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1f4e79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1f4e79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Objetivo (SMART)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1f4e79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Métrica de éxito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1f4e79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Plazo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OB-01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Atender el 95% de las solicitudes de urgencia domiciliaria dentro de 10 minutos desde la recepción, con soporte del bot conversacional para guía inicial. (M2)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Tiempo de respuesta ≤ 10 min en el 95% de los casos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 meses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OB-02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Monitorear continuamente al 99% de los pacientes domiciliarios activos y detectar anomalías biométricas con precisión ≥ 98% mediante modelos predictivos con alertas explicables. (M3)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Tasa de detección ≥ 98% con falsos positivos ≤ 2%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 meses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OB-03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Garantizar disponibilidad del servicio 24/7 durante los primeros 6 meses de operación productiva. (M1–M5)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Tiempo de actividad ≥ 99.5%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6 meses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OB-04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Garantizar que el 100% de las interacciones con el bot y decisiones de IA queden registradas en el log de auditoría inmutable, cumpliendo la LOPDP y el MSP. (M5)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Auditoría regulatoria sin observaciones en el primer ciclo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 meses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A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1"/>
        <w:pBdr>
          <w:bottom w:color="2e75b6" w:space="4" w:sz="8" w:val="single"/>
        </w:pBdr>
        <w:spacing w:after="160" w:before="3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30"/>
          <w:szCs w:val="30"/>
          <w:rtl w:val="0"/>
        </w:rPr>
        <w:t xml:space="preserve">7. Análisis de Interesados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pStyle w:val="Heading2"/>
        <w:spacing w:after="10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4"/>
          <w:szCs w:val="24"/>
          <w:rtl w:val="0"/>
        </w:rPr>
        <w:t xml:space="preserve">7.1 Registro de interesados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1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Los siguientes 8 stakeholders fueron identificados como esenciales para el funcionamiento del sistema SAMR. Cada uno tiene responsabilidad directa sobre al menos un módulo o requisito del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80" w:lineRule="auto"/>
        <w:rPr/>
      </w:pPr>
      <w:r w:rsidDel="00000000" w:rsidR="00000000" w:rsidRPr="00000000">
        <w:rPr>
          <w:rtl w:val="0"/>
        </w:rPr>
      </w:r>
    </w:p>
    <w:tbl>
      <w:tblPr>
        <w:tblStyle w:val="Table7"/>
        <w:tblW w:w="87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0"/>
        <w:gridCol w:w="2000"/>
        <w:gridCol w:w="2800"/>
        <w:gridCol w:w="800"/>
        <w:gridCol w:w="800"/>
        <w:gridCol w:w="1660"/>
        <w:tblGridChange w:id="0">
          <w:tblGrid>
            <w:gridCol w:w="700"/>
            <w:gridCol w:w="2000"/>
            <w:gridCol w:w="2800"/>
            <w:gridCol w:w="800"/>
            <w:gridCol w:w="800"/>
            <w:gridCol w:w="16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1f4e79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1f4e79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B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Nombre / Grupo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1f4e79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B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Rol en el proyecto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1f4e79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Poder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1f4e79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Interés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1f4e79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Estrategia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ST01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Paciente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Usuario principal y beneficiario directo. Interactúa con el bot y la app para solicitar atención y recibir monitoreo.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Bajo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Alto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Mantener informado y satisfecho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ST02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Personal Médico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Ejecuta teleconsultas (M4), diagnostica, valida sugerencias de IA y recibe alertas biométricas del monitoreo (M3).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Medio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Alto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Colaborar activamente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ST03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Personal Administrativo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Operador diario del sistema: gestiona solicitudes, asigna recursos y supervisa el panel de estados (M2).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Medio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Alto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Colaborar activamente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ST04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Centro de Asistencia / Consorcio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Institución que recibe y responde solicitudes de atención. Opera los módulos M2, M3 y M4.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Alto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Alto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Gestionar de cerca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ST05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Ministerio de Salud Pública (MSP)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Ente regulador: certifica y audita el sistema completo incluyendo IA, bot y logs de auditoría (M5).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Alto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Alto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Gestionar de cerca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ST06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Oficial de Protección de Datos (DPO)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Garantiza cumplimiento de la LOPDP en IA, bot, historial clínico y gestión del consentimiento (M5).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Alto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Alto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Gestionar de cerca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ST07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Equipo MLOps / Med-Gemini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Gestiona el ciclo de vida de Med-Gemini en el sistema SAMR: integración, configuración clínica, monitoreo de precisión, reentrenamiento y auditoría de equidad. Responsable de M2 y M3.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Medio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Alto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Colaborar activamente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ST08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Patrocinador — Ing. Armando Cabrera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Financia el proyecto, aprueba el presupuesto y el alcance estratégico. Responsable de la viabilidad del sistema.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Alto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Alto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Gestionar de cerca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6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pStyle w:val="Heading2"/>
        <w:spacing w:after="10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4"/>
          <w:szCs w:val="24"/>
          <w:rtl w:val="0"/>
        </w:rPr>
        <w:t xml:space="preserve">7.2 Mapa de poder / interés</w:t>
      </w:r>
      <w:r w:rsidDel="00000000" w:rsidR="00000000" w:rsidRPr="00000000">
        <w:rPr>
          <w:rtl w:val="0"/>
        </w:rPr>
      </w:r>
    </w:p>
    <w:tbl>
      <w:tblPr>
        <w:tblStyle w:val="Table8"/>
        <w:tblW w:w="89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200"/>
        <w:gridCol w:w="2400"/>
        <w:gridCol w:w="4360"/>
        <w:tblGridChange w:id="0">
          <w:tblGrid>
            <w:gridCol w:w="2200"/>
            <w:gridCol w:w="2400"/>
            <w:gridCol w:w="43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1f4e79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F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Cuadrante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1f4e79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F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Stakeholders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1f4e79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0F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Estrategia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F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Alto Poder / Alto Interés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F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ST04, ST05, ST06, ST08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Gestionar de cerca. Reuniones frecuentes, validación constante de requisitos y acceso prioritario a decisiones del proyecto.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F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Medio Poder / Alto Interés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F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ST02, ST03, ST07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F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Colaborar activamente. Participación en elicitación, talleres y validación de prototipos.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F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Bajo Poder / Alto Interés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F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ST01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F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Mantener informado y satisfecho. Pruebas de usuario y encuestas de satisfacción.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F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Style w:val="Heading2"/>
        <w:spacing w:after="10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4"/>
          <w:szCs w:val="24"/>
          <w:rtl w:val="0"/>
        </w:rPr>
        <w:t xml:space="preserve">7.3 Perfil de usuarios clave</w:t>
      </w:r>
      <w:r w:rsidDel="00000000" w:rsidR="00000000" w:rsidRPr="00000000">
        <w:rPr>
          <w:rtl w:val="0"/>
        </w:rPr>
      </w:r>
    </w:p>
    <w:tbl>
      <w:tblPr>
        <w:tblStyle w:val="Table9"/>
        <w:tblW w:w="89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800"/>
        <w:gridCol w:w="1500"/>
        <w:gridCol w:w="1600"/>
        <w:gridCol w:w="4060"/>
        <w:tblGridChange w:id="0">
          <w:tblGrid>
            <w:gridCol w:w="1800"/>
            <w:gridCol w:w="1500"/>
            <w:gridCol w:w="1600"/>
            <w:gridCol w:w="40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1f4e79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Usuario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1f4e79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Nivel técnico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1f4e79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Frecuencia de uso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1f4e79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Necesidad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0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Paciente (ST01)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0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Básico — medio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0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Variable según estado de salud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0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Interactuar con el bot para reportar síntomas, solicitar ayuda y recibir guía comprensible en situaciones de emergencia.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0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Médico (ST02)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0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Medio — alto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0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Diaria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0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Acceder al historial clínico completo, recibir alertas con XAI y realizar teleconsultas con soporte diagnóstico de IA.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0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Administrativo (ST03)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0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Medio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0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Diaria intensiva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Gestionar solicitudes entrantes, asignar recursos y supervisar el panel de estados del sistema.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1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MSP / Auditor (ST05)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1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Alto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1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Periódica — auditorías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1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Acceder a logs inmutables con decisiones de IA y conversaciones con bot para certificación regulatoria.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1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MLOps / Med-Gemini (ST07)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1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Alto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1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Continua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1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Gestionar la integración y operación de Med-Gemini en SAMR. Monitorear precisión clínica, equidad algorítmica y explicabilidad de las decisiones del modelo.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9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pStyle w:val="Heading1"/>
        <w:pBdr>
          <w:bottom w:color="2e75b6" w:space="4" w:sz="8" w:val="single"/>
        </w:pBdr>
        <w:spacing w:after="160" w:before="3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30"/>
          <w:szCs w:val="30"/>
          <w:rtl w:val="0"/>
        </w:rPr>
        <w:t xml:space="preserve">8. Alcance del Producto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pStyle w:val="Heading2"/>
        <w:spacing w:after="10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4"/>
          <w:szCs w:val="24"/>
          <w:rtl w:val="0"/>
        </w:rPr>
        <w:t xml:space="preserve">8.1 Declaración de alcance</w:t>
      </w:r>
      <w:r w:rsidDel="00000000" w:rsidR="00000000" w:rsidRPr="00000000">
        <w:rPr>
          <w:rtl w:val="0"/>
        </w:rPr>
      </w:r>
    </w:p>
    <w:tbl>
      <w:tblPr>
        <w:tblStyle w:val="Table10"/>
        <w:tblW w:w="89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680"/>
        <w:gridCol w:w="4280"/>
        <w:tblGridChange w:id="0">
          <w:tblGrid>
            <w:gridCol w:w="4680"/>
            <w:gridCol w:w="428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1f4e79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1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DENTRO del alcance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1f4e79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1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FUERA del alcance (esta versión)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1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M1 — Gestión de Usuarios y Acceso: Registro, login y perfiles con roles diferenciados (paciente, médico, administrativo). Autenticación MFA. Validación automatizada de elegibilidad en el IESS/MSP. Registro de consentimiento LOPDP.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2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Gestión de pagos, cobros y pasarelas financieras. Facturación electrónica o flujos de reembolso.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21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M2 — Triaje Inteligente y Gestión de Solicitudes: Bot conversacional (chatbot y voicebot) como primera línea de interacción. Motor NLP con clasificación de riesgo y XAI. Fallback seguro bot → humano. Procesamiento asíncrono de solicitudes. Motor de matching inteligente. Panel dinámico de estados en tiempo real.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2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Implementación de modelos NLP avanzados en producción (Fase 1 usa reglas; modelos reales en Fase 2). Logística física de ambulancias.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2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M3 — Monitoreo Biométrico Predictivo: Captura de flujos IoT continuos (EKG, EEG, oxímetro). Modelos ML para detección de patrones precursores de eventos críticos. Alertas proactivas multicanal con explicación vía bot (XAI).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2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Diagnóstico automatizado definitivo — el sistema alerta y explica, pero la decisión médica final es humana. Calibración o mantenimiento físico de dispositivos.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2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M4 — Teleconsulta y Atención Médica: Canal de video/audio de baja latencia. Historial clínico completo integrado con datos del IESS/MSP bajo HL7/FHIR. Sugerencias diagnósticas de IA con XAI. Emisión de recetas digitales con firma electrónica. Derivación de emergencia presencial.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2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Módulo de agendamiento presencial de citas en consultorios. Gestión contable interna del consorcio.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2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M5 — Seguridad, Auditoría y Cumplimiento: Cifrado AES-256 en reposo y TLS 1.3 en tránsito. Consentimiento explícito LOPDP. Repositorio centralizado con retención regulada. Logs de auditoría inmutables con hash criptográfico que incluyen decisiones de IA y conversaciones con bot, listos para inspección del MSP.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2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Seguridad física perimetral de servidores. Validación de veracidad médica de datos introducidos por error humano.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9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pStyle w:val="Heading2"/>
        <w:spacing w:after="10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4"/>
          <w:szCs w:val="24"/>
          <w:rtl w:val="0"/>
        </w:rPr>
        <w:t xml:space="preserve">8.2 Características principales del sistema</w:t>
      </w:r>
      <w:r w:rsidDel="00000000" w:rsidR="00000000" w:rsidRPr="00000000">
        <w:rPr>
          <w:rtl w:val="0"/>
        </w:rPr>
      </w:r>
    </w:p>
    <w:tbl>
      <w:tblPr>
        <w:tblStyle w:val="Table11"/>
        <w:tblW w:w="89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0"/>
        <w:gridCol w:w="1800"/>
        <w:gridCol w:w="2100"/>
        <w:gridCol w:w="3300"/>
        <w:gridCol w:w="760"/>
        <w:tblGridChange w:id="0">
          <w:tblGrid>
            <w:gridCol w:w="1000"/>
            <w:gridCol w:w="1800"/>
            <w:gridCol w:w="2100"/>
            <w:gridCol w:w="3300"/>
            <w:gridCol w:w="7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1f4e79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2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1f4e79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2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Módulo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1f4e79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2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Característica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1f4e79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2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1f4e79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3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Prioridad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3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M01-C01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3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M1 — Gestión de Usuarios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3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Registro y gestión de perfiles con roles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3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Registro, login y perfiles con roles: paciente, médico y administrativo, con autenticación MFA obligatoria.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3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M01-C02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3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M1 — Gestión de Usuarios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Validación de elegibilidad en línea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3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Consulta automatizada al IESS/MSP para verificar la cobertura del paciente antes de activar servicios.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3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3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M02-C01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3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M2 — Triaje y Solicitudes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3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Bot conversacional de primera línea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3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Chatbot de texto y voicebot que guía al paciente en el reporte natural de síntomas con fallback seguro a humano cuando el bot no puede resolver la situación.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3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4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M02-C02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4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M2 — Triaje y Solicitudes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4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Med-Gemini — Motor de triaje clínico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4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Med-Gemini analiza la descripción de síntomas recibida por el bot, aplica razonamiento clínico especializado y clasifica la solicitud por nivel de prioridad médica con explicación XAI comprensible para el paciente y el médico.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4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4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M02-C03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4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M2 — Triaje y Solicitudes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4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Procesamiento asíncrono de solicitudes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4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Gestión de solicitudes manuales (vía bot) y automáticas (alertas IoT) sin bloqueo del sistema.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4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4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M02-C04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4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M2 — Triaje y Solicitudes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4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Motor de matching inteligente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4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Algoritmo que asigna cada caso al centro y médico más idóneo según especialidad, disponibilidad, ubicación y tiempo estimado de respuesta.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4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4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M02-C05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5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M2 — Triaje y Solicitudes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5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Panel dinámico de estados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52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Tablero en tiempo real del ciclo de vida del auxilio: Recibido → Asignado → En Atención → Atendido.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5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5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M03-C01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5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M3 — Monitoreo Biométrico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5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Captura continua de flujos IoT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5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Recepción y procesamiento de datos biométricos en tiempo real desde dispositivos del paciente (EKG, EEG, oxímetro).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5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5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M03-C02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5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M3 — Monitoreo Biométrico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5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Med-Gemini — Detección predictiva de anomalías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5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Med-Gemini analiza los flujos biométricos continuos (EKG, EEG, oxímetro), identifica patrones precursores de eventos críticos con anticipación y genera alertas proactivas con explicación clínica del riesgo detectado.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5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5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M03-C03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5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M3 — Monitoreo Biométrico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6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Explicación de alertas vía bot (XAI)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6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El bot explica al paciente en lenguaje comprensible las razones de cada alerta generada por el modelo predictivo.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6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6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M04-C01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6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M4 — Teleconsulta y Atención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6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Teleconsulta con Med-Gemini y XAI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6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Canal de videollamada de baja latencia con historial clínico completo. Med-Gemini genera sugerencias diagnósticas basadas en el contexto clínico del paciente con explicación XAI visible para el médico en tiempo real.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6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6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M04-C02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6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M4 — Teleconsulta y Atención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6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Emisión de recetas digitales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6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Generación y firma electrónica de recetas e instrucciones médicas durante la teleconsulta.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6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6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M04-C03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6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M4 — Teleconsulta y Atención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6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Derivación de emergencia presencial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7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Botón de atención inmediata para solicitar despacho de emergencia cuando el médico determina un caso crítico.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7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7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M05-C01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7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M5 — Seguridad y Auditoría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7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Cifrado de datos en reposo y tránsito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7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AES-256 en reposo y TLS 1.3 en tránsito para todas las comunicaciones y datos, incluyendo conversaciones con bot.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7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7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M05-C02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7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M5 — Seguridad y Auditoría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7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Consentimiento explícito LOPDP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7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Gestión del consentimiento del paciente para acceso al historial y uso de conversaciones con bot para reentrenamiento de modelos.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7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7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M05-C03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7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M5 — Seguridad y Auditoría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7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Repositorio centralizado persistente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7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Almacenamiento centralizado con retención regulada del historial clínico, solicitudes y conversaciones con bot.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8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8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M05-C04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8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M5 — Seguridad y Auditoría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8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Logs de auditoría inmutables con 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8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Registros con hash criptográfico que incluyen decisiones de IA y conversaciones con bot, listos para el MSP.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8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6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pStyle w:val="Heading1"/>
        <w:pBdr>
          <w:bottom w:color="2e75b6" w:space="4" w:sz="8" w:val="single"/>
        </w:pBdr>
        <w:spacing w:after="160" w:before="3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30"/>
          <w:szCs w:val="30"/>
          <w:rtl w:val="0"/>
        </w:rPr>
        <w:t xml:space="preserve">9. Restricciones, Suposiciones y Dependencias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pStyle w:val="Heading2"/>
        <w:spacing w:after="10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4"/>
          <w:szCs w:val="24"/>
          <w:rtl w:val="0"/>
        </w:rPr>
        <w:t xml:space="preserve">9.1 Restricciones</w:t>
      </w:r>
      <w:r w:rsidDel="00000000" w:rsidR="00000000" w:rsidRPr="00000000">
        <w:rPr>
          <w:rtl w:val="0"/>
        </w:rPr>
      </w:r>
    </w:p>
    <w:tbl>
      <w:tblPr>
        <w:tblStyle w:val="Table12"/>
        <w:tblW w:w="89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00"/>
        <w:gridCol w:w="1400"/>
        <w:gridCol w:w="6760"/>
        <w:tblGridChange w:id="0">
          <w:tblGrid>
            <w:gridCol w:w="800"/>
            <w:gridCol w:w="1400"/>
            <w:gridCol w:w="67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1f4e79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8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1f4e79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8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1f4e79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8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8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8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Técnica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8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El sistema requiere que el paciente cuente con acceso a Internet para el monitoreo, la teleconsulta y la interacción con el bot.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9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9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Legal / Normativa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9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El sistema debe cumplir con la LOPDP, la Ley Orgánica de Salud del Ecuador, las regulaciones del MSP y los estándares HL7/FHIR.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9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9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Legal / Normativa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9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La validez legal de las recetas digitales y las decisiones de IA está condicionada al marco regulatorio vigente del MSP en Ecuador.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9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9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Técnica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9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La precisión del monitoreo biométrico depende de la calidad y calibración de los dispositivos del paciente, externos al sistema.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9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9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Técnica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9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Las APIs del IESS y la Red de Salud Pública deben estar disponibles y accesibles para el sistema.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9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9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Ética / 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9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Los modelos de IA y el bot deben ser auditables, explicables y libres de sesgos discriminatorios verificables por el ST07 (MLOps).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9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A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Legal / 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A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El consentimiento explícito del paciente (ST01) es obligatorio antes de usar sus conversaciones con el bot para reentrenamiento de modelos (ST07).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2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pStyle w:val="Heading2"/>
        <w:spacing w:after="10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4"/>
          <w:szCs w:val="24"/>
          <w:rtl w:val="0"/>
        </w:rPr>
        <w:t xml:space="preserve">9.2 Suposiciones</w:t>
      </w:r>
      <w:r w:rsidDel="00000000" w:rsidR="00000000" w:rsidRPr="00000000">
        <w:rPr>
          <w:rtl w:val="0"/>
        </w:rPr>
      </w:r>
    </w:p>
    <w:tbl>
      <w:tblPr>
        <w:tblStyle w:val="Table13"/>
        <w:tblW w:w="89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00"/>
        <w:gridCol w:w="8160"/>
        <w:tblGridChange w:id="0">
          <w:tblGrid>
            <w:gridCol w:w="800"/>
            <w:gridCol w:w="81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1f4e79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A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1f4e79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A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Suposición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A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SA-01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A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Los pacientes (ST01) cuentan con al menos un dispositivo con acceso a Internet para interactuar con el sistema y el bot.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A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SA-02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A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Las APIs del IESS y la Red de Salud Pública estarán disponibles y técnicamente accesibles para integración bajo HL7/FHIR.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A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SA-03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A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Los proveedores de infraestructura cloud garantizarán disponibilidad mínima del 99.5% conforme al SLA del proyecto.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A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SA-04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A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El personal médico (ST02) y administrativo (ST03) recibirán capacitación básica antes de la puesta en producción.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A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SA-05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A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Los umbrales clínicos para el triaje y los modelos predictivos serán proporcionados y avalados por médicos especialistas del consorcio (ST04) antes del diseño.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B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SA-06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B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El equipo MLOps (ST07) dispondrá de datos de entrenamiento suficientes y etiquetados para construir los modelos iniciales de triaje y detección de anomalías.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B2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pStyle w:val="Heading2"/>
        <w:spacing w:after="10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4"/>
          <w:szCs w:val="24"/>
          <w:rtl w:val="0"/>
        </w:rPr>
        <w:t xml:space="preserve">9.3 Dependencias</w:t>
      </w:r>
      <w:r w:rsidDel="00000000" w:rsidR="00000000" w:rsidRPr="00000000">
        <w:rPr>
          <w:rtl w:val="0"/>
        </w:rPr>
      </w:r>
    </w:p>
    <w:tbl>
      <w:tblPr>
        <w:tblStyle w:val="Table14"/>
        <w:tblW w:w="87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0"/>
        <w:gridCol w:w="2600"/>
        <w:gridCol w:w="3100"/>
        <w:gridCol w:w="2360"/>
        <w:tblGridChange w:id="0">
          <w:tblGrid>
            <w:gridCol w:w="700"/>
            <w:gridCol w:w="2600"/>
            <w:gridCol w:w="3100"/>
            <w:gridCol w:w="23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1f4e79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B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1f4e79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B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Dependencia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1f4e79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B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Impacto si no se cumple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1f4e79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B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Responsable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B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D-01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B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Integración con el IESS (API externa)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B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No se podrá validar la elegibilidad del paciente ni importar historial externo.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B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ST04 — Equipo TI del consorcio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B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D-02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B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Integración con la Red de Salud Pública (HL7/FHIR)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B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El historial médico del paciente estará incompleto durante la teleconsulta.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B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ST05 MSP / Proveedor de red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C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D-03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C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Infraestructura cloud (AWS / Azure / GCP)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C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La disponibilidad 24/7 y la escalabilidad del sistema no podrán garantizarse.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C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Proveedor externo (no stakeholder)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C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D-04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C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Dispositivos médicos del paciente (EKG, EEG, oxímetro)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C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El módulo M3 de monitoreo biométrico y los modelos predictivos no funcionarán.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C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ST01 Paciente / ST04 Centro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C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D-05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C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Med-Gemini operativo e integrado al sistema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C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El triaje clínico (M2), la detección predictiva (M3) y el soporte diagnóstico (M4) no estarán disponibles. El sistema operaría en modo básico reactivo sin capacidades de IA.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C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ST07 Equipo MLOps / Med-Gemini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C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1"/>
        <w:pBdr>
          <w:bottom w:color="2e75b6" w:space="4" w:sz="8" w:val="single"/>
        </w:pBdr>
        <w:spacing w:after="160" w:before="3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30"/>
          <w:szCs w:val="30"/>
          <w:rtl w:val="0"/>
        </w:rPr>
        <w:t xml:space="preserve">10. Estrategia de Mitigación de Riesgos de Requisitos</w:t>
      </w:r>
      <w:r w:rsidDel="00000000" w:rsidR="00000000" w:rsidRPr="00000000">
        <w:rPr>
          <w:rtl w:val="0"/>
        </w:rPr>
      </w:r>
    </w:p>
    <w:tbl>
      <w:tblPr>
        <w:tblStyle w:val="Table15"/>
        <w:tblW w:w="92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0"/>
        <w:gridCol w:w="2900"/>
        <w:gridCol w:w="700"/>
        <w:gridCol w:w="800"/>
        <w:gridCol w:w="800"/>
        <w:gridCol w:w="3360"/>
        <w:tblGridChange w:id="0">
          <w:tblGrid>
            <w:gridCol w:w="700"/>
            <w:gridCol w:w="2900"/>
            <w:gridCol w:w="700"/>
            <w:gridCol w:w="800"/>
            <w:gridCol w:w="800"/>
            <w:gridCol w:w="33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1f4e79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C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1f4e79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D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Riesgo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1f4e79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D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Prob.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1f4e79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D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Impacto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1f4e79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D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Nivel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1f4e79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D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Estrategia de mitigación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D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RR-01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D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Baja adopción por resistencia al cambio del personal médico (ST02) y administrativo (ST03).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D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Media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D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D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Alto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D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Sesiones de capacitación previas al despliegue. Involucrar médicos referentes como champions del sistema junto con ST04.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D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RR-02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D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Umbrales clínicos de Med-Gemini ambiguos para alertas biométricas — ¿qué patrón activa la alerta?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D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D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D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Crítico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E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Definir umbrales clínicos con ST02 y ST04 antes de configurar Med-Gemini. Validar la precisión del modelo en un entorno controlado antes del despliegue productivo.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E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RR-03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E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Dependencia de APIs externas no disponibles (IESS, Red de Salud Pública).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E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Media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E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E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Alto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E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Acordar SLA con proveedores (D-01, D-02) antes del inicio del desarrollo. Implementar modo degradado sin validación de elegibilidad.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E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RR-04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E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Problemas de conectividad en zonas rurales que afecten calidad del monitoreo y teleconsulta.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E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E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Media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E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Alto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E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Implementar mecanismos de tolerancia a fallos y comunicación alternativa (SMS, almacenamiento temporal local).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E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RR-05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E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Sesgo o inequidad en Med-Gemini que perjudique a grupos de pacientes (ST01) por factores demográficos.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E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Media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F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F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Crítico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F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Auditorías de equidad de Med-Gemini ejecutadas por ST07 con supervisión del ST06 (DPO). Validar que los datos de configuración del modelo representen adecuadamente la población ecuatoriana.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F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RR-06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F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Explicabilidad de Med-Gemini insuficiente para satisfacer los criterios de aprobación regulatoria del MSP (ST05).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F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F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F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Crítico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F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Definir criterios de XAI aceptables con ST05 y ST06 desde la Fase 1. Validar que las explicaciones de Med-Gemini sean comprensibles para el personal médico (ST02) y los auditores del MSP.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9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pStyle w:val="Heading1"/>
        <w:pBdr>
          <w:bottom w:color="2e75b6" w:space="4" w:sz="8" w:val="single"/>
        </w:pBdr>
        <w:spacing w:after="160" w:before="3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30"/>
          <w:szCs w:val="30"/>
          <w:rtl w:val="0"/>
        </w:rPr>
        <w:t xml:space="preserve">11. Criterios de Éxito del Proyecto</w:t>
      </w:r>
      <w:r w:rsidDel="00000000" w:rsidR="00000000" w:rsidRPr="00000000">
        <w:rPr>
          <w:rtl w:val="0"/>
        </w:rPr>
      </w:r>
    </w:p>
    <w:tbl>
      <w:tblPr>
        <w:tblStyle w:val="Table16"/>
        <w:tblW w:w="79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0"/>
        <w:gridCol w:w="3200"/>
        <w:gridCol w:w="3200"/>
        <w:gridCol w:w="860"/>
        <w:tblGridChange w:id="0">
          <w:tblGrid>
            <w:gridCol w:w="700"/>
            <w:gridCol w:w="3200"/>
            <w:gridCol w:w="3200"/>
            <w:gridCol w:w="8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1f4e79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F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1f4e79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F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Criterio de éxito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1f4e79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F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Forma de medición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1f4e79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1F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OB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0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CE-01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0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El 95% de las solicitudes de urgencia son atendidas dentro de los 10 minutos posteriores a su recepción, incluyendo las iniciadas por el bot (M2).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0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Logs del sistema — tiempo entre creación de solicitud y confirmación de asignación de médico.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0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OB-01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0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CE-02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05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La tasa de detección de anomalías biométricas del módulo M3 alcanza ≥ 98% con falsos positivos ≤ 2%.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0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Validación clínica cruzada con datos reales durante las pruebas del módulo M3, supervisada por ST02 y ST07.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0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OB-02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0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CE-03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09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El sistema mantiene disponibilidad ≥ 99.5% durante los primeros 6 meses de operación productiva.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0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Dashboard de infraestructura con métricas de uptime en tiempo real.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0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OB-03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0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CE-04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0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El MSP (ST05) valida los logs de auditoría del módulo M5 — incluyendo conversaciones con bot y decisiones de IA — como suficientes para la certificación regulatoria.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0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Revisión formal del ST05 de al menos un ciclo completo de auditoría del sistema.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0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OB-04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1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CE-05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1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El 90% de los usuarios (ST01 y ST02) califica la usabilidad del sistema y del bot como satisfactoria o mejor.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1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Encuesta de satisfacción post-implementación aplicada a ST01 y ST02.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1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OB-01/OB-03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1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CE-06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1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El 100% de las decisiones automatizadas de IA incluyen explicación comprensible verificada por ST06 (DPO) y ST07 (MLOps).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1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Revisión de muestra aleatoria de 100 decisiones del sistema por ST06 y ST07.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1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OB-04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18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Style w:val="Heading1"/>
        <w:pBdr>
          <w:bottom w:color="2e75b6" w:space="4" w:sz="8" w:val="single"/>
        </w:pBdr>
        <w:spacing w:after="160" w:before="3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30"/>
          <w:szCs w:val="30"/>
          <w:rtl w:val="0"/>
        </w:rPr>
        <w:t xml:space="preserve">12. Requerimientos Funcionales y No Funcionales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1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Los siguientes requerimientos fueron derivados directamente de las características del sistema definidas en la sección 8.2, manteniendo trazabilidad completa hacia los módulos y stakeholders que los originan.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pStyle w:val="Heading2"/>
        <w:spacing w:after="10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4"/>
          <w:szCs w:val="24"/>
          <w:rtl w:val="0"/>
        </w:rPr>
        <w:t xml:space="preserve">12.1 Requerimientos Funcionales</w:t>
      </w:r>
      <w:r w:rsidDel="00000000" w:rsidR="00000000" w:rsidRPr="00000000">
        <w:rPr>
          <w:rtl w:val="0"/>
        </w:rPr>
      </w:r>
    </w:p>
    <w:tbl>
      <w:tblPr>
        <w:tblStyle w:val="Table17"/>
        <w:tblW w:w="87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0"/>
        <w:gridCol w:w="700"/>
        <w:gridCol w:w="5300"/>
        <w:gridCol w:w="2060"/>
        <w:tblGridChange w:id="0">
          <w:tblGrid>
            <w:gridCol w:w="700"/>
            <w:gridCol w:w="700"/>
            <w:gridCol w:w="5300"/>
            <w:gridCol w:w="20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1f4e79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1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1f4e79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1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Módulo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1f4e79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2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Descripción del Requerimiento Funcional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1f4e79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2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Trazabilidad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2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RF-01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2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2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El sistema permitirá el registro, inicio de sesión y gestión de perfiles con roles: paciente (ST01), médico (ST02) y administrativo (ST03), con autenticación MFA obligatoria.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2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M01-C01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2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RF-02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2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2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El sistema validará automáticamente la elegibilidad del paciente en el IESS/MSP antes de activar los servicios ambulatorios.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2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M01-C02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2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RF-03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2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2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El sistema ofrecerá un bot conversacional (chatbot de texto y voicebot) como primera línea de interacción para que el paciente (ST01) reporte síntomas de forma natural.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2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M02-C01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2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RF-04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2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3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El sistema escalará automáticamente a un profesional humano (ST02) cuando el bot no pueda resolver la situación, manteniendo el contexto completo de la conversación.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3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M02-C01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3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RF-05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3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3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El sistema utilizará Med-Gemini para analizar la descripción de síntomas reportada por el bot, aplicar razonamiento clínico especializado y clasificar la solicitud por nivel de prioridad médica con explicación XAI comprensible para el paciente (ST01) y el médico (ST02).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3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M02-C02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3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RF-06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3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3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El sistema procesará de forma asíncrona las solicitudes de auxilio, tanto las manuales (vía bot) como las automáticas generadas por el monitoreo IoT.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3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M02-C03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3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RF-07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3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3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El sistema ejecutará un motor de matching inteligente que asignará cada caso al centro (ST04) y médico (ST02) más idóneo según especialidad, disponibilidad, ubicación y tiempo de respuesta.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3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M02-C04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3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RF-08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3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4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El sistema visualizará en un panel dinámico en tiempo real el estado de cada solicitud activa durante todo su ciclo de vida para ST01 y ST03.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4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M02-C05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4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RF-09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4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4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El sistema capturará y procesará flujos biométricos continuos desde los dispositivos del paciente (ST01): EKG, EEG, oxímetro.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4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M03-C01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4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RF-10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4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4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El sistema utilizará Med-Gemini para analizar los flujos biométricos continuos, detectar patrones precursores de eventos críticos con anticipación y generar alertas proactivas con explicación clínica del riesgo detectado.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4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M03-C02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4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RF-11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4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4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El sistema explicará a través del bot, en lenguaje comprensible para el paciente (ST01), las razones de cada alerta biométrica generada por el modelo predictivo.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4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M03-C03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4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RF-12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4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5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El sistema enviará alertas críticas de forma simultánea al paciente (ST01), al médico responsable (ST02) y al centro de asistencia asignado (ST04).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5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M03-C03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5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RF-13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5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5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El sistema habilitará un canal de videollamada de baja latencia con historial clínico completo integrado. Med-Gemini generará sugerencias diagnósticas basadas en el contexto clínico del paciente con explicación XAI visible para el médico (ST02) en tiempo real.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5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M04-C01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5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RF-14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5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5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El sistema permitirá al médico (ST02) emitir recetas digitales con firma electrónica durante la teleconsulta.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5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M04-C02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5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RF-15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5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5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El sistema proveerá un mecanismo de derivación inmediata para solicitar el despacho de emergencia presencial cuando el médico (ST02) lo determine.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5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M04-C03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5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RF-16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5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6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El sistema cifrará todos los datos almacenados y en tránsito (AES-256 en reposo, TLS 1.3 en tránsito) incluyendo conversaciones con bot, bajo supervisión del ST06 (DPO).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6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M05-C01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6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RF-17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6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6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El sistema registrará el consentimiento explícito del paciente (ST01) bajo la LOPDP antes de acceder al historial o usar conversaciones con bot para reentrenamiento de modelos (ST07).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6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M05-C02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6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RF-18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6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6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El sistema almacenará de forma persistente el historial clínico, solicitudes y conversaciones con bot en un repositorio centralizado con retención mínima de 5 años.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6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M05-C03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6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RF-19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6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6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El sistema generará logs de auditoría inmutables con hash criptográfico que incluyan decisiones de IA y conversaciones con bot, listos para inspecciones del MSP (ST05).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6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M05-C04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6E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pStyle w:val="Heading2"/>
        <w:spacing w:after="10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4"/>
          <w:szCs w:val="24"/>
          <w:rtl w:val="0"/>
        </w:rPr>
        <w:t xml:space="preserve">12.2 Requerimientos No Funcionales</w:t>
      </w:r>
      <w:r w:rsidDel="00000000" w:rsidR="00000000" w:rsidRPr="00000000">
        <w:rPr>
          <w:rtl w:val="0"/>
        </w:rPr>
      </w:r>
    </w:p>
    <w:tbl>
      <w:tblPr>
        <w:tblStyle w:val="Table18"/>
        <w:tblW w:w="89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00"/>
        <w:gridCol w:w="1700"/>
        <w:gridCol w:w="3600"/>
        <w:gridCol w:w="1500"/>
        <w:gridCol w:w="1360"/>
        <w:tblGridChange w:id="0">
          <w:tblGrid>
            <w:gridCol w:w="800"/>
            <w:gridCol w:w="1700"/>
            <w:gridCol w:w="3600"/>
            <w:gridCol w:w="1500"/>
            <w:gridCol w:w="13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1f4e79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7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1f4e79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7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Atributo ISO/IEC 25010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1f4e79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7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Descripción y Métrica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1f4e79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7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RF Asociado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1f4e79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7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Trazabilidad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7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RNF-01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7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Seguridad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7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Autenticación MFA y OAuth 2.0. Métrica: 0 accesos no autorizados en auditorías. Responsable: ST06.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7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RF-01, RF-02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7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R-02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7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RNF-02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7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Escalabilidad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7D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Soportar 5.000 usuarios concurrentes sin degradación. Métrica: Tiempo de respuesta ≤ 3s bajo carga máxima.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7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RF-01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7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SA-03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8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RNF-03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8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Usabilidad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82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Flujo del paciente completable en máximo 3 pasos. Métrica: Tasa de error ST01 ≤ 10%.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8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RF-03, RF-08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8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CE-05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8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RNF-04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8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Eficiencia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87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Panel dinámico se refresca en ≤ 500ms. Métrica: Latencia de actualización ≤ 500ms.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8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RF-08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8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M02-C05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8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RNF-05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8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Eficiencia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8C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Procesamiento y asignación asíncrona en ≤ 5 segundos en el 99% de los casos.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8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RF-06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8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OB-01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8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RNF-06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9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Eficiencia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91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Med-Gemini clasifica síntomas y genera la clasificación de riesgo con XAI en ≤ 2 segundos. Métrica: Tiempo de respuesta ≤ 2s. Responsable: ST07.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9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RF-05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9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M02-C02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9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RNF-07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9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Fiabilidad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9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Latencia máxima de 1 segundo en procesamiento de flujos IoT en el 99.9999% de las muestras.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9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RF-09, RF-10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9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OB-02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9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RNF-08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9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Fiabilidad (Precisión)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9B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Med-Gemini detecta anomalías biométricas con tasa ≥ 98% y falsos positivos ≤ 2%. Validada por ST07 con supervisión clínica de ST02.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9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RF-10, RF-11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9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OB-02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9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RNF-09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9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Eficiencia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A0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Latencia en transmisión de video/audio en teleconsulta ≤ 200ms en el 95% de las sesiones.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A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RF-13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A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M04-C01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A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RNF-10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A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Cumplimiento Legal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A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Almacenamiento del 100% de registros clínicos y conversaciones con bot. Supervisado por ST06.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A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RF-13, RF-14, RF-18, RF-19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A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CE-04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A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RNF-11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A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Disponibilidad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AA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Disponibilidad garantizada ≥ 99.5%. Métrica: Tiempo de inactividad ≤ 4h/año.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A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RF-06, RF-07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A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OB-03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A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RNF-12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A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Fiabilidad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AF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Entrega de alertas críticas en ≤ 30 segundos en el 99.9999% de los eventos.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B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RF-12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B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OB-01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B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RNF-13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B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Seguridad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B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Auditorías semestrales de seguridad ejecutadas por ST06. Métrica: 0 vulnerabilidades críticas sin mitigar.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B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RF-16, RF-17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B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R-02, R-06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B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RNF-14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B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Resiliencia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B9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Backups automáticos diarios con retención de 5 años. Métrica: RTO ≤ 4h, RPO ≤ 24h.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B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RF-18, RF-19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B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CE-04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B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RNF-15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B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Explicabilidad (XAI)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B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El 100% de las decisiones generadas por Med-Gemini (triaje, detección de anomalías, soporte diagnóstico) incluyen explicación comprensible para el paciente, el médico y el auditor. Verificado por ST06 y ST07.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B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RF-05, RF-10, RF-07, RF-11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C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CE-06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C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RNF-16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C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Equidad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C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Med-Gemini no presentará sesgos discriminatorios verificables en sus decisiones clínicas. Auditoría de equidad ejecutada por ST07 antes del despliegue y semestralmente. Métrica: 0 sesgos críticos.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C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RF-05, RF-10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C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R-06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C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RNF-17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C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Mantenibilidad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C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Arquitectura extensible que permite integrar nuevos modelos de IA (ST07) y dispositivos sin rediseño estructural.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C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RF-09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C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D-05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CB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pStyle w:val="Heading1"/>
        <w:pBdr>
          <w:bottom w:color="2e75b6" w:space="4" w:sz="8" w:val="single"/>
        </w:pBdr>
        <w:spacing w:after="160" w:before="3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30"/>
          <w:szCs w:val="30"/>
          <w:rtl w:val="0"/>
        </w:rPr>
        <w:t xml:space="preserve">13. Matriz de Trazabilidad Completa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1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La siguiente tabla cierra la cadena de trazabilidad completa del sistema SAMR: desde el stakeholder que origina la necesidad, pasando por el módulo que la agrupa y la característica que la describe, hasta el RF que la especifica y el RNF que la califica. Ningún requisito existe sin un stakeholder que lo respalde.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80" w:lineRule="auto"/>
        <w:rPr/>
      </w:pPr>
      <w:r w:rsidDel="00000000" w:rsidR="00000000" w:rsidRPr="00000000">
        <w:rPr>
          <w:rtl w:val="0"/>
        </w:rPr>
      </w:r>
    </w:p>
    <w:tbl>
      <w:tblPr>
        <w:tblStyle w:val="Table19"/>
        <w:tblW w:w="89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0"/>
        <w:gridCol w:w="2400"/>
        <w:gridCol w:w="2000"/>
        <w:gridCol w:w="1800"/>
        <w:gridCol w:w="2060"/>
        <w:tblGridChange w:id="0">
          <w:tblGrid>
            <w:gridCol w:w="700"/>
            <w:gridCol w:w="2400"/>
            <w:gridCol w:w="2000"/>
            <w:gridCol w:w="1800"/>
            <w:gridCol w:w="20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1f4e79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D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1f4e79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D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Descripción resumida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1f4e79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D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Módulo — Característica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1f4e79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D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RNF Asociado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1f4e79" w:val="clear"/>
            <w:tcMar>
              <w:top w:w="80.0" w:type="dxa"/>
              <w:left w:w="130.0" w:type="dxa"/>
              <w:bottom w:w="80.0" w:type="dxa"/>
              <w:right w:w="130.0" w:type="dxa"/>
            </w:tcMar>
            <w:vAlign w:val="center"/>
          </w:tcPr>
          <w:p w:rsidR="00000000" w:rsidDel="00000000" w:rsidP="00000000" w:rsidRDefault="00000000" w:rsidRPr="00000000" w14:paraId="000002D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Stakeholder que origina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D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RF-01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D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Registro, login, roles y MFA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D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M1 — M01-C01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D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RNF-01, RNF-02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D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ST01, ST02, ST03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D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RF-02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D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Validación elegibilidad IESS/MSP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D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M1 — M01-C02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D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RNF-01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D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ST01, ST05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D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RF-03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E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Bot conversacional primera línea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E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M2 — M02-C01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E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RNF-03, RNF-06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E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ST01, ST07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E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RF-04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E5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Fallback bot → humano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E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M2 — M02-C01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E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RNF-03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E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ST01, ST02, ST07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E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RF-05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E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Med-Gemini — triaje clínico con XAI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E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M2 — M02-C02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E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RNF-06, RNF-15, RNF-16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E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ST01, ST02, ST07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E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RF-06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E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Procesamiento asíncrono de solicitudes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F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M2 — M02-C03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F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RNF-05, RNF-11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F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ST01, ST03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F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RF-07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F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Motor de matching inteligente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F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M2 — M02-C04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F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RNF-05, RNF-15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F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ST02, ST03, ST04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F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RF-08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F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Panel dinámico de estados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F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M2 — M02-C05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F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RNF-03, RNF-04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F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ST01, ST03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F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RF-09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F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Captura continua de flujos IoT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F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M3 — M03-C01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0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RNF-07, RNF-17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0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ST01, ST07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0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RF-10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0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Med-Gemini — detección predictiva de anomalías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0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M3 — M03-C02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0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RNF-07, RNF-08, RNF-15, RNF-16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0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ST01, ST02, ST07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0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RF-11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0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Explicación de alertas vía bot (XAI)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0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M3 — M03-C03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0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RNF-08, RNF-12, RNF-15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0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ST01, ST07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0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RF-12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0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Alertas multicanal simultáneas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0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M3 — M03-C03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0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RNF-12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1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ST01, ST02, ST04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1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RF-13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1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Teleconsulta con Med-Gemini y XAI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1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M4 — M04-C01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1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RNF-09, RNF-10, RNF-15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1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ST01, ST02, ST07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1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RF-14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1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Recetas digitales con firma electrónica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1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M4 — M04-C02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1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RNF-10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1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ST02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1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RF-15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1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Derivación de emergencia presencial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1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M4 — M04-C03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1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RNF-12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1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ST02, ST04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2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RF-16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2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Cifrado AES-256 / TLS 1.3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2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M5 — M05-C01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2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RNF-13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2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ST05, ST06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2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RF-17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2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Consentimiento LOPDP para historial y bot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2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M5 — M05-C02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2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RNF-13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2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ST01, ST06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2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RF-18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2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Repositorio centralizado persistente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2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M5 — M05-C03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2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RNF-14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ebf3fb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2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ST05, ST06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2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RF-19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3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Logs de auditoría inmutables con 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3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M5 — M05-C04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3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RNF-14, RNF-10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d7ee" w:space="0" w:sz="4" w:val="single"/>
              <w:left w:color="bdd7ee" w:space="0" w:sz="4" w:val="single"/>
              <w:bottom w:color="bdd7ee" w:space="0" w:sz="4" w:val="single"/>
              <w:right w:color="bdd7ee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33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ST05, ST06, ST07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34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spacing w:after="160" w:lineRule="auto"/>
        <w:rPr/>
      </w:pPr>
      <w:r w:rsidDel="00000000" w:rsidR="00000000" w:rsidRPr="00000000">
        <w:rPr>
          <w:rtl w:val="0"/>
        </w:rPr>
        <w:t xml:space="preserve">Casos de uso </w:t>
      </w:r>
    </w:p>
    <w:p w:rsidR="00000000" w:rsidDel="00000000" w:rsidP="00000000" w:rsidRDefault="00000000" w:rsidRPr="00000000" w14:paraId="00000339">
      <w:pPr>
        <w:spacing w:after="160" w:lineRule="auto"/>
        <w:rPr/>
      </w:pPr>
      <w:r w:rsidDel="00000000" w:rsidR="00000000" w:rsidRPr="00000000">
        <w:rPr/>
        <w:drawing>
          <wp:inline distB="114300" distT="114300" distL="114300" distR="114300">
            <wp:extent cx="5548313" cy="4156966"/>
            <wp:effectExtent b="0" l="0" r="0" t="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48313" cy="415696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spacing w:after="160" w:line="276" w:lineRule="auto"/>
        <w:rPr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b w:val="1"/>
          <w:bCs w:val="1"/>
          <w:rtl w:val="0"/>
        </w:rPr>
        <w:t xml:space="preserve">usuario</w:t>
      </w:r>
      <w:r w:rsidDel="00000000" w:rsidR="00000000" w:rsidRPr="00000000">
        <w:rPr>
          <w:rtl w:val="0"/>
        </w:rPr>
        <w:t xml:space="preserve"> completa el formulario de registro para crear una cuenta nueva en la plataforma del sistema (Trazabilidad: RF-01 / RNF-02).</w:t>
      </w:r>
    </w:p>
    <w:p w:rsidR="00000000" w:rsidDel="00000000" w:rsidP="00000000" w:rsidRDefault="00000000" w:rsidRPr="00000000" w14:paraId="0000033B">
      <w:pPr>
        <w:spacing w:after="160" w:line="276" w:lineRule="auto"/>
        <w:rPr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b w:val="1"/>
          <w:bCs w:val="1"/>
          <w:rtl w:val="0"/>
        </w:rPr>
        <w:t xml:space="preserve">sistema</w:t>
      </w:r>
      <w:r w:rsidDel="00000000" w:rsidR="00000000" w:rsidRPr="00000000">
        <w:rPr>
          <w:rtl w:val="0"/>
        </w:rPr>
        <w:t xml:space="preserve"> envía un código de verificación para configurar la autenticación de dos factores (Trazabilidad: RF-01 / RNF-12).</w:t>
      </w:r>
    </w:p>
    <w:p w:rsidR="00000000" w:rsidDel="00000000" w:rsidP="00000000" w:rsidRDefault="00000000" w:rsidRPr="00000000" w14:paraId="0000033C">
      <w:pPr>
        <w:spacing w:after="160" w:line="276" w:lineRule="auto"/>
        <w:rPr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b w:val="1"/>
          <w:bCs w:val="1"/>
          <w:rtl w:val="0"/>
        </w:rPr>
        <w:t xml:space="preserve">usuario</w:t>
      </w:r>
      <w:r w:rsidDel="00000000" w:rsidR="00000000" w:rsidRPr="00000000">
        <w:rPr>
          <w:rtl w:val="0"/>
        </w:rPr>
        <w:t xml:space="preserve"> introduce el código en la pantalla para validar y activar su cuenta (Trazabilidad: RF-01 / RNF-03).</w:t>
      </w:r>
    </w:p>
    <w:p w:rsidR="00000000" w:rsidDel="00000000" w:rsidP="00000000" w:rsidRDefault="00000000" w:rsidRPr="00000000" w14:paraId="0000033D">
      <w:pPr>
        <w:spacing w:after="160" w:line="276" w:lineRule="auto"/>
        <w:rPr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b w:val="1"/>
          <w:bCs w:val="1"/>
          <w:rtl w:val="0"/>
        </w:rPr>
        <w:t xml:space="preserve">usuario</w:t>
      </w:r>
      <w:r w:rsidDel="00000000" w:rsidR="00000000" w:rsidRPr="00000000">
        <w:rPr>
          <w:rtl w:val="0"/>
        </w:rPr>
        <w:t xml:space="preserve"> inicia sesión con sus credenciales y digita su código MFA de seguridad (Trazabilidad: RF-01 / RNF-02).</w:t>
      </w:r>
    </w:p>
    <w:p w:rsidR="00000000" w:rsidDel="00000000" w:rsidP="00000000" w:rsidRDefault="00000000" w:rsidRPr="00000000" w14:paraId="0000033E">
      <w:pPr>
        <w:spacing w:after="160" w:line="276" w:lineRule="auto"/>
        <w:rPr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b w:val="1"/>
          <w:bCs w:val="1"/>
          <w:rtl w:val="0"/>
        </w:rPr>
        <w:t xml:space="preserve">usuario</w:t>
      </w:r>
      <w:r w:rsidDel="00000000" w:rsidR="00000000" w:rsidRPr="00000000">
        <w:rPr>
          <w:rtl w:val="0"/>
        </w:rPr>
        <w:t xml:space="preserve"> selecciona el rol (Paciente, Médico o Administrativo) con el que desea trabajar en la sesión (Trazabilidad: RF-01 / RNF-02).</w:t>
      </w:r>
    </w:p>
    <w:p w:rsidR="00000000" w:rsidDel="00000000" w:rsidP="00000000" w:rsidRDefault="00000000" w:rsidRPr="00000000" w14:paraId="0000033F">
      <w:pPr>
        <w:spacing w:after="160" w:line="276" w:lineRule="auto"/>
        <w:rPr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b w:val="1"/>
          <w:bCs w:val="1"/>
          <w:rtl w:val="0"/>
        </w:rPr>
        <w:t xml:space="preserve">sistema</w:t>
      </w:r>
      <w:r w:rsidDel="00000000" w:rsidR="00000000" w:rsidRPr="00000000">
        <w:rPr>
          <w:rtl w:val="0"/>
        </w:rPr>
        <w:t xml:space="preserve"> consulta automáticamente la cédula del perfil en la </w:t>
      </w:r>
      <w:r w:rsidDel="00000000" w:rsidR="00000000" w:rsidRPr="00000000">
        <w:rPr>
          <w:b w:val="1"/>
          <w:bCs w:val="1"/>
          <w:rtl w:val="0"/>
        </w:rPr>
        <w:t xml:space="preserve">API externa del IESS</w:t>
      </w:r>
      <w:r w:rsidDel="00000000" w:rsidR="00000000" w:rsidRPr="00000000">
        <w:rPr>
          <w:rtl w:val="0"/>
        </w:rPr>
        <w:t xml:space="preserve"> para verificar su cobertura (Trazabilidad: RF-02 / D-01).</w:t>
      </w:r>
    </w:p>
    <w:p w:rsidR="00000000" w:rsidDel="00000000" w:rsidP="00000000" w:rsidRDefault="00000000" w:rsidRPr="00000000" w14:paraId="00000340">
      <w:pPr>
        <w:spacing w:after="160" w:line="276" w:lineRule="auto"/>
        <w:rPr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b w:val="1"/>
          <w:bCs w:val="1"/>
          <w:rtl w:val="0"/>
        </w:rPr>
        <w:t xml:space="preserve">sistema</w:t>
      </w:r>
      <w:r w:rsidDel="00000000" w:rsidR="00000000" w:rsidRPr="00000000">
        <w:rPr>
          <w:rtl w:val="0"/>
        </w:rPr>
        <w:t xml:space="preserve"> despliega en la pantalla los términos legales obligatorios de la LOPDP (Trazabilidad: RF-17 / RNF-10).</w:t>
      </w:r>
    </w:p>
    <w:p w:rsidR="00000000" w:rsidDel="00000000" w:rsidP="00000000" w:rsidRDefault="00000000" w:rsidRPr="00000000" w14:paraId="00000341">
      <w:pPr>
        <w:spacing w:after="160" w:line="276" w:lineRule="auto"/>
        <w:rPr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b w:val="1"/>
          <w:bCs w:val="1"/>
          <w:rtl w:val="0"/>
        </w:rPr>
        <w:t xml:space="preserve">paciente</w:t>
      </w:r>
      <w:r w:rsidDel="00000000" w:rsidR="00000000" w:rsidRPr="00000000">
        <w:rPr>
          <w:rtl w:val="0"/>
        </w:rPr>
        <w:t xml:space="preserve"> acepta las condiciones de privacidad marcando las casillas de consentimiento (Trazabilidad: RF-17 / R-07).</w:t>
      </w:r>
    </w:p>
    <w:p w:rsidR="00000000" w:rsidDel="00000000" w:rsidP="00000000" w:rsidRDefault="00000000" w:rsidRPr="00000000" w14:paraId="00000342">
      <w:pPr>
        <w:spacing w:after="160" w:line="276" w:lineRule="auto"/>
        <w:rPr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b w:val="1"/>
          <w:bCs w:val="1"/>
          <w:rtl w:val="0"/>
        </w:rPr>
        <w:t xml:space="preserve">sistema</w:t>
      </w:r>
      <w:r w:rsidDel="00000000" w:rsidR="00000000" w:rsidRPr="00000000">
        <w:rPr>
          <w:rtl w:val="0"/>
        </w:rPr>
        <w:t xml:space="preserve"> valida que toda la documentación legal esté aprobada y activa los servicios en la cuenta (Trazabilidad: M01-C02).</w:t>
      </w:r>
    </w:p>
    <w:p w:rsidR="00000000" w:rsidDel="00000000" w:rsidP="00000000" w:rsidRDefault="00000000" w:rsidRPr="00000000" w14:paraId="00000343">
      <w:pPr>
        <w:spacing w:after="160" w:line="276" w:lineRule="auto"/>
        <w:rPr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b w:val="1"/>
          <w:bCs w:val="1"/>
          <w:rtl w:val="0"/>
        </w:rPr>
        <w:t xml:space="preserve">paciente</w:t>
      </w:r>
      <w:r w:rsidDel="00000000" w:rsidR="00000000" w:rsidRPr="00000000">
        <w:rPr>
          <w:rtl w:val="0"/>
        </w:rPr>
        <w:t xml:space="preserve"> recibe la notificación que confirma la habilitación de la teleconsulta y el monitoreo (Trazabilidad: RF-02 / RNF-03).</w:t>
      </w:r>
    </w:p>
    <w:p w:rsidR="00000000" w:rsidDel="00000000" w:rsidP="00000000" w:rsidRDefault="00000000" w:rsidRPr="00000000" w14:paraId="00000344">
      <w:pPr>
        <w:spacing w:after="160" w:line="276" w:lineRule="auto"/>
        <w:rPr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b w:val="1"/>
          <w:bCs w:val="1"/>
          <w:rtl w:val="0"/>
        </w:rPr>
        <w:t xml:space="preserve">usuario</w:t>
      </w:r>
      <w:r w:rsidDel="00000000" w:rsidR="00000000" w:rsidRPr="00000000">
        <w:rPr>
          <w:rtl w:val="0"/>
        </w:rPr>
        <w:t xml:space="preserve"> ingresa datos duplicados o códigos erróneos y el </w:t>
      </w:r>
      <w:r w:rsidDel="00000000" w:rsidR="00000000" w:rsidRPr="00000000">
        <w:rPr>
          <w:b w:val="1"/>
          <w:bCs w:val="1"/>
          <w:rtl w:val="0"/>
        </w:rPr>
        <w:t xml:space="preserve">sistema</w:t>
      </w:r>
      <w:r w:rsidDel="00000000" w:rsidR="00000000" w:rsidRPr="00000000">
        <w:rPr>
          <w:rtl w:val="0"/>
        </w:rPr>
        <w:t xml:space="preserve"> interrumpe el proceso mostrando un aviso de error (Trazabilidad: RF-01 / RNF-01).</w:t>
      </w:r>
    </w:p>
    <w:p w:rsidR="00000000" w:rsidDel="00000000" w:rsidP="00000000" w:rsidRDefault="00000000" w:rsidRPr="00000000" w14:paraId="00000345">
      <w:pPr>
        <w:spacing w:after="160" w:line="276" w:lineRule="auto"/>
        <w:rPr/>
      </w:pPr>
      <w:r w:rsidDel="00000000" w:rsidR="00000000" w:rsidRPr="00000000">
        <w:rPr>
          <w:rtl w:val="0"/>
        </w:rPr>
        <w:t xml:space="preserve">La </w:t>
      </w:r>
      <w:r w:rsidDel="00000000" w:rsidR="00000000" w:rsidRPr="00000000">
        <w:rPr>
          <w:b w:val="1"/>
          <w:bCs w:val="1"/>
          <w:rtl w:val="0"/>
        </w:rPr>
        <w:t xml:space="preserve">API externa del IESS</w:t>
      </w:r>
      <w:r w:rsidDel="00000000" w:rsidR="00000000" w:rsidRPr="00000000">
        <w:rPr>
          <w:rtl w:val="0"/>
        </w:rPr>
        <w:t xml:space="preserve"> se encuentra caída y el </w:t>
      </w:r>
      <w:r w:rsidDel="00000000" w:rsidR="00000000" w:rsidRPr="00000000">
        <w:rPr>
          <w:b w:val="1"/>
          <w:bCs w:val="1"/>
          <w:rtl w:val="0"/>
        </w:rPr>
        <w:t xml:space="preserve">sistema</w:t>
      </w:r>
      <w:r w:rsidDel="00000000" w:rsidR="00000000" w:rsidRPr="00000000">
        <w:rPr>
          <w:rtl w:val="0"/>
        </w:rPr>
        <w:t xml:space="preserve"> congela la activación médica dejándola en estado pendiente (Trazabilidad: RF-02 / RR-03).</w:t>
      </w:r>
    </w:p>
    <w:p w:rsidR="00000000" w:rsidDel="00000000" w:rsidP="00000000" w:rsidRDefault="00000000" w:rsidRPr="00000000" w14:paraId="00000346">
      <w:pPr>
        <w:spacing w:after="160" w:line="276" w:lineRule="auto"/>
        <w:rPr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b w:val="1"/>
          <w:bCs w:val="1"/>
          <w:rtl w:val="0"/>
        </w:rPr>
        <w:t xml:space="preserve">paciente</w:t>
      </w:r>
      <w:r w:rsidDel="00000000" w:rsidR="00000000" w:rsidRPr="00000000">
        <w:rPr>
          <w:rtl w:val="0"/>
        </w:rPr>
        <w:t xml:space="preserve"> rechaza los términos de la LOPDP y el </w:t>
      </w:r>
      <w:r w:rsidDel="00000000" w:rsidR="00000000" w:rsidRPr="00000000">
        <w:rPr>
          <w:b w:val="1"/>
          <w:bCs w:val="1"/>
          <w:rtl w:val="0"/>
        </w:rPr>
        <w:t xml:space="preserve">sistema</w:t>
      </w:r>
      <w:r w:rsidDel="00000000" w:rsidR="00000000" w:rsidRPr="00000000">
        <w:rPr>
          <w:rtl w:val="0"/>
        </w:rPr>
        <w:t xml:space="preserve"> bloquea por completo el ingreso a las funciones de atención (Trazabilidad: RF-17 / RNF-10).</w:t>
      </w:r>
    </w:p>
    <w:p w:rsidR="00000000" w:rsidDel="00000000" w:rsidP="00000000" w:rsidRDefault="00000000" w:rsidRPr="00000000" w14:paraId="00000347">
      <w:pPr>
        <w:spacing w:after="16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6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spacing w:after="16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16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spacing w:after="16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spacing w:after="160" w:lineRule="auto"/>
        <w:rPr/>
      </w:pPr>
      <w:r w:rsidDel="00000000" w:rsidR="00000000" w:rsidRPr="00000000">
        <w:rPr>
          <w:rtl w:val="0"/>
        </w:rPr>
        <w:t xml:space="preserve">M2 TRIAJEEE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spacing w:after="160" w:lineRule="auto"/>
        <w:rPr/>
      </w:pPr>
      <w:r w:rsidDel="00000000" w:rsidR="00000000" w:rsidRPr="00000000">
        <w:rPr/>
        <w:drawing>
          <wp:inline distB="114300" distT="114300" distL="114300" distR="114300">
            <wp:extent cx="6188400" cy="4711700"/>
            <wp:effectExtent b="0" l="0" r="0" t="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88400" cy="4711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spacing w:after="160" w:line="276" w:lineRule="auto"/>
        <w:rPr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b w:val="1"/>
          <w:bCs w:val="1"/>
          <w:rtl w:val="0"/>
        </w:rPr>
        <w:t xml:space="preserve">paciente</w:t>
      </w:r>
      <w:r w:rsidDel="00000000" w:rsidR="00000000" w:rsidRPr="00000000">
        <w:rPr>
          <w:rtl w:val="0"/>
        </w:rPr>
        <w:t xml:space="preserve"> describe sus dolencias conversando con la interfaz automatizada de primera línea (Trazabilidad: RF-03 / RNF-03).</w:t>
      </w:r>
    </w:p>
    <w:p w:rsidR="00000000" w:rsidDel="00000000" w:rsidP="00000000" w:rsidRDefault="00000000" w:rsidRPr="00000000" w14:paraId="00000350">
      <w:pPr>
        <w:spacing w:after="160" w:line="276" w:lineRule="auto"/>
        <w:rPr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b w:val="1"/>
          <w:bCs w:val="1"/>
          <w:rtl w:val="0"/>
        </w:rPr>
        <w:t xml:space="preserve">sistema</w:t>
      </w:r>
      <w:r w:rsidDel="00000000" w:rsidR="00000000" w:rsidRPr="00000000">
        <w:rPr>
          <w:rtl w:val="0"/>
        </w:rPr>
        <w:t xml:space="preserve"> procesa el mensaje usando inteligencia artificial para calcular la prioridad médica y justificar su gravedad (Trazabilidad: RF-05 / RNF-06).</w:t>
      </w:r>
    </w:p>
    <w:p w:rsidR="00000000" w:rsidDel="00000000" w:rsidP="00000000" w:rsidRDefault="00000000" w:rsidRPr="00000000" w14:paraId="00000351">
      <w:pPr>
        <w:spacing w:after="160" w:line="276" w:lineRule="auto"/>
        <w:rPr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b w:val="1"/>
          <w:bCs w:val="1"/>
          <w:rtl w:val="0"/>
        </w:rPr>
        <w:t xml:space="preserve">sistema</w:t>
      </w:r>
      <w:r w:rsidDel="00000000" w:rsidR="00000000" w:rsidRPr="00000000">
        <w:rPr>
          <w:rtl w:val="0"/>
        </w:rPr>
        <w:t xml:space="preserve"> suspende la automatización y transfiere la charla directamente al </w:t>
      </w:r>
      <w:r w:rsidDel="00000000" w:rsidR="00000000" w:rsidRPr="00000000">
        <w:rPr>
          <w:b w:val="1"/>
          <w:bCs w:val="1"/>
          <w:rtl w:val="0"/>
        </w:rPr>
        <w:t xml:space="preserve">personal médico</w:t>
      </w:r>
      <w:r w:rsidDel="00000000" w:rsidR="00000000" w:rsidRPr="00000000">
        <w:rPr>
          <w:rtl w:val="0"/>
        </w:rPr>
        <w:t xml:space="preserve"> si detecta una urgencia extrema (Trazabilidad: RF-04 / RNF-03).</w:t>
      </w:r>
    </w:p>
    <w:p w:rsidR="00000000" w:rsidDel="00000000" w:rsidP="00000000" w:rsidRDefault="00000000" w:rsidRPr="00000000" w14:paraId="00000352">
      <w:pPr>
        <w:spacing w:after="160" w:line="276" w:lineRule="auto"/>
        <w:rPr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b w:val="1"/>
          <w:bCs w:val="1"/>
          <w:rtl w:val="0"/>
        </w:rPr>
        <w:t xml:space="preserve">sistema</w:t>
      </w:r>
      <w:r w:rsidDel="00000000" w:rsidR="00000000" w:rsidRPr="00000000">
        <w:rPr>
          <w:rtl w:val="0"/>
        </w:rPr>
        <w:t xml:space="preserve"> genera una solicitud asíncrona en la cola de procesamiento web para iniciar la búsqueda de cobertura (Trazabilidad: RF-06 / RNF-05).</w:t>
      </w:r>
    </w:p>
    <w:p w:rsidR="00000000" w:rsidDel="00000000" w:rsidP="00000000" w:rsidRDefault="00000000" w:rsidRPr="00000000" w14:paraId="00000353">
      <w:pPr>
        <w:spacing w:after="160" w:line="276" w:lineRule="auto"/>
        <w:rPr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b w:val="1"/>
          <w:bCs w:val="1"/>
          <w:rtl w:val="0"/>
        </w:rPr>
        <w:t xml:space="preserve">sistema</w:t>
      </w:r>
      <w:r w:rsidDel="00000000" w:rsidR="00000000" w:rsidRPr="00000000">
        <w:rPr>
          <w:rtl w:val="0"/>
        </w:rPr>
        <w:t xml:space="preserve"> ejecuta el algoritmo de emparejamiento geográfico para reservar plaza y asignar el caso al doctor idóneo (Trazabilidad: RF-07 / RNF-05).</w:t>
      </w:r>
    </w:p>
    <w:p w:rsidR="00000000" w:rsidDel="00000000" w:rsidP="00000000" w:rsidRDefault="00000000" w:rsidRPr="00000000" w14:paraId="00000354">
      <w:pPr>
        <w:spacing w:after="160" w:line="276" w:lineRule="auto"/>
        <w:rPr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b w:val="1"/>
          <w:bCs w:val="1"/>
          <w:rtl w:val="0"/>
        </w:rPr>
        <w:t xml:space="preserve">personal médico</w:t>
      </w:r>
      <w:r w:rsidDel="00000000" w:rsidR="00000000" w:rsidRPr="00000000">
        <w:rPr>
          <w:rtl w:val="0"/>
        </w:rPr>
        <w:t xml:space="preserve"> y el </w:t>
      </w:r>
      <w:r w:rsidDel="00000000" w:rsidR="00000000" w:rsidRPr="00000000">
        <w:rPr>
          <w:b w:val="1"/>
          <w:bCs w:val="1"/>
          <w:rtl w:val="0"/>
        </w:rPr>
        <w:t xml:space="preserve">centro de asistencia</w:t>
      </w:r>
      <w:r w:rsidDel="00000000" w:rsidR="00000000" w:rsidRPr="00000000">
        <w:rPr>
          <w:rtl w:val="0"/>
        </w:rPr>
        <w:t xml:space="preserve"> confirman la alerta y asumen la tutoría legal de la emergencia (Trazabilidad: ST02 / ST04).</w:t>
      </w:r>
    </w:p>
    <w:p w:rsidR="00000000" w:rsidDel="00000000" w:rsidP="00000000" w:rsidRDefault="00000000" w:rsidRPr="00000000" w14:paraId="00000355">
      <w:pPr>
        <w:spacing w:after="160" w:line="276" w:lineRule="auto"/>
        <w:rPr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b w:val="1"/>
          <w:bCs w:val="1"/>
          <w:rtl w:val="0"/>
        </w:rPr>
        <w:t xml:space="preserve">personal administrativo</w:t>
      </w:r>
      <w:r w:rsidDel="00000000" w:rsidR="00000000" w:rsidRPr="00000000">
        <w:rPr>
          <w:rtl w:val="0"/>
        </w:rPr>
        <w:t xml:space="preserve"> abre la consola de control dinámico para monitorear el cambio de estado del auxilio (Trazabilidad: ST03 / RF-08).</w:t>
      </w:r>
    </w:p>
    <w:p w:rsidR="00000000" w:rsidDel="00000000" w:rsidP="00000000" w:rsidRDefault="00000000" w:rsidRPr="00000000" w14:paraId="00000356">
      <w:pPr>
        <w:spacing w:after="160" w:line="276" w:lineRule="auto"/>
        <w:rPr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b w:val="1"/>
          <w:bCs w:val="1"/>
          <w:rtl w:val="0"/>
        </w:rPr>
        <w:t xml:space="preserve">paciente</w:t>
      </w:r>
      <w:r w:rsidDel="00000000" w:rsidR="00000000" w:rsidRPr="00000000">
        <w:rPr>
          <w:rtl w:val="0"/>
        </w:rPr>
        <w:t xml:space="preserve"> ingresa a la aplicación móvil y visualiza exclusivamente la evolución en tiempo real de su propio caso (Trazabilidad: RF-08 / RNF-03).</w:t>
      </w:r>
    </w:p>
    <w:p w:rsidR="00000000" w:rsidDel="00000000" w:rsidP="00000000" w:rsidRDefault="00000000" w:rsidRPr="00000000" w14:paraId="00000357">
      <w:pPr>
        <w:spacing w:after="160" w:line="276" w:lineRule="auto"/>
        <w:rPr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b w:val="1"/>
          <w:bCs w:val="1"/>
          <w:rtl w:val="0"/>
        </w:rPr>
        <w:t xml:space="preserve">sistema</w:t>
      </w:r>
      <w:r w:rsidDel="00000000" w:rsidR="00000000" w:rsidRPr="00000000">
        <w:rPr>
          <w:rtl w:val="0"/>
        </w:rPr>
        <w:t xml:space="preserve"> detecta errores de red o saturación médica y desborda el emparejamiento activando planes de contingencia humana (Trazabilidad: RF-07 / RR-03).</w:t>
      </w:r>
    </w:p>
    <w:p w:rsidR="00000000" w:rsidDel="00000000" w:rsidP="00000000" w:rsidRDefault="00000000" w:rsidRPr="00000000" w14:paraId="00000358">
      <w:pPr>
        <w:spacing w:after="16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spacing w:after="16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spacing w:after="16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spacing w:after="16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spacing w:after="160" w:line="276" w:lineRule="auto"/>
        <w:rPr/>
      </w:pPr>
      <w:r w:rsidDel="00000000" w:rsidR="00000000" w:rsidRPr="00000000">
        <w:rPr>
          <w:rtl w:val="0"/>
        </w:rPr>
        <w:t xml:space="preserve">M3 IOT</w:t>
      </w:r>
    </w:p>
    <w:p w:rsidR="00000000" w:rsidDel="00000000" w:rsidP="00000000" w:rsidRDefault="00000000" w:rsidRPr="00000000" w14:paraId="0000035D">
      <w:pPr>
        <w:spacing w:after="160" w:line="276" w:lineRule="auto"/>
        <w:rPr/>
      </w:pPr>
      <w:r w:rsidDel="00000000" w:rsidR="00000000" w:rsidRPr="00000000">
        <w:rPr/>
        <w:drawing>
          <wp:inline distB="114300" distT="114300" distL="114300" distR="114300">
            <wp:extent cx="6188400" cy="5054600"/>
            <wp:effectExtent b="0" l="0" r="0" t="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88400" cy="5054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spacing w:after="160" w:line="276" w:lineRule="auto"/>
        <w:rPr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b w:val="1"/>
          <w:bCs w:val="1"/>
          <w:rtl w:val="0"/>
        </w:rPr>
        <w:t xml:space="preserve">dispositivo IoT</w:t>
      </w:r>
      <w:r w:rsidDel="00000000" w:rsidR="00000000" w:rsidRPr="00000000">
        <w:rPr>
          <w:rtl w:val="0"/>
        </w:rPr>
        <w:t xml:space="preserve"> captura los signos vitales continuamente y los transmite hacia los servidores centrales (Trazabilidad: RF-09 / RNF-07).</w:t>
      </w:r>
    </w:p>
    <w:p w:rsidR="00000000" w:rsidDel="00000000" w:rsidP="00000000" w:rsidRDefault="00000000" w:rsidRPr="00000000" w14:paraId="0000035F">
      <w:pPr>
        <w:spacing w:after="160" w:line="276" w:lineRule="auto"/>
        <w:rPr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b w:val="1"/>
          <w:bCs w:val="1"/>
          <w:rtl w:val="0"/>
        </w:rPr>
        <w:t xml:space="preserve">sistema</w:t>
      </w:r>
      <w:r w:rsidDel="00000000" w:rsidR="00000000" w:rsidRPr="00000000">
        <w:rPr>
          <w:rtl w:val="0"/>
        </w:rPr>
        <w:t xml:space="preserve"> analiza el flujo de datos telemétricos utilizando modelos analíticos para predecir anomalías clínicas (Trazabilidad: RF-10 / RNF-08).</w:t>
      </w:r>
    </w:p>
    <w:p w:rsidR="00000000" w:rsidDel="00000000" w:rsidP="00000000" w:rsidRDefault="00000000" w:rsidRPr="00000000" w14:paraId="00000360">
      <w:pPr>
        <w:spacing w:after="160" w:line="276" w:lineRule="auto"/>
        <w:rPr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b w:val="1"/>
          <w:bCs w:val="1"/>
          <w:rtl w:val="0"/>
        </w:rPr>
        <w:t xml:space="preserve">sistema</w:t>
      </w:r>
      <w:r w:rsidDel="00000000" w:rsidR="00000000" w:rsidRPr="00000000">
        <w:rPr>
          <w:rtl w:val="0"/>
        </w:rPr>
        <w:t xml:space="preserve"> gatilla la creación de una alerta proactiva crítica antes de que se manifieste una crisis física (Trazabilidad: M03-C02 / OB-02).</w:t>
      </w:r>
    </w:p>
    <w:p w:rsidR="00000000" w:rsidDel="00000000" w:rsidP="00000000" w:rsidRDefault="00000000" w:rsidRPr="00000000" w14:paraId="00000361">
      <w:pPr>
        <w:spacing w:after="160" w:line="276" w:lineRule="auto"/>
        <w:rPr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b w:val="1"/>
          <w:bCs w:val="1"/>
          <w:rtl w:val="0"/>
        </w:rPr>
        <w:t xml:space="preserve">sistema</w:t>
      </w:r>
      <w:r w:rsidDel="00000000" w:rsidR="00000000" w:rsidRPr="00000000">
        <w:rPr>
          <w:rtl w:val="0"/>
        </w:rPr>
        <w:t xml:space="preserve"> redacta la justificación médica del riesgo y el </w:t>
      </w:r>
      <w:r w:rsidDel="00000000" w:rsidR="00000000" w:rsidRPr="00000000">
        <w:rPr>
          <w:b w:val="1"/>
          <w:bCs w:val="1"/>
          <w:rtl w:val="0"/>
        </w:rPr>
        <w:t xml:space="preserve">bot</w:t>
      </w:r>
      <w:r w:rsidDel="00000000" w:rsidR="00000000" w:rsidRPr="00000000">
        <w:rPr>
          <w:rtl w:val="0"/>
        </w:rPr>
        <w:t xml:space="preserve"> contacta al </w:t>
      </w:r>
      <w:r w:rsidDel="00000000" w:rsidR="00000000" w:rsidRPr="00000000">
        <w:rPr>
          <w:b w:val="1"/>
          <w:bCs w:val="1"/>
          <w:rtl w:val="0"/>
        </w:rPr>
        <w:t xml:space="preserve">paciente</w:t>
      </w:r>
      <w:r w:rsidDel="00000000" w:rsidR="00000000" w:rsidRPr="00000000">
        <w:rPr>
          <w:rtl w:val="0"/>
        </w:rPr>
        <w:t xml:space="preserve"> en lenguaje natural (Trazabilidad: RF-11 / RNF-15).</w:t>
      </w:r>
    </w:p>
    <w:p w:rsidR="00000000" w:rsidDel="00000000" w:rsidP="00000000" w:rsidRDefault="00000000" w:rsidRPr="00000000" w14:paraId="00000362">
      <w:pPr>
        <w:spacing w:after="160" w:line="276" w:lineRule="auto"/>
        <w:rPr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b w:val="1"/>
          <w:bCs w:val="1"/>
          <w:rtl w:val="0"/>
        </w:rPr>
        <w:t xml:space="preserve">bot</w:t>
      </w:r>
      <w:r w:rsidDel="00000000" w:rsidR="00000000" w:rsidRPr="00000000">
        <w:rPr>
          <w:rtl w:val="0"/>
        </w:rPr>
        <w:t xml:space="preserve"> ilustra las guías de primeros auxilios en pantalla e interroga al usuario sobre su estado actual (Trazabilidad: M03-C03 / RNF-03).</w:t>
      </w:r>
    </w:p>
    <w:p w:rsidR="00000000" w:rsidDel="00000000" w:rsidP="00000000" w:rsidRDefault="00000000" w:rsidRPr="00000000" w14:paraId="00000363">
      <w:pPr>
        <w:spacing w:after="160" w:line="276" w:lineRule="auto"/>
        <w:rPr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b w:val="1"/>
          <w:bCs w:val="1"/>
          <w:rtl w:val="0"/>
        </w:rPr>
        <w:t xml:space="preserve">sistema</w:t>
      </w:r>
      <w:r w:rsidDel="00000000" w:rsidR="00000000" w:rsidRPr="00000000">
        <w:rPr>
          <w:rtl w:val="0"/>
        </w:rPr>
        <w:t xml:space="preserve"> despacha notificaciones simultáneas de urgencia a las pantallas de soporte clínico de la red (Trazabilidad: RF-12 / RNF-12).</w:t>
      </w:r>
    </w:p>
    <w:p w:rsidR="00000000" w:rsidDel="00000000" w:rsidP="00000000" w:rsidRDefault="00000000" w:rsidRPr="00000000" w14:paraId="00000364">
      <w:pPr>
        <w:spacing w:after="160" w:line="276" w:lineRule="auto"/>
        <w:rPr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b w:val="1"/>
          <w:bCs w:val="1"/>
          <w:rtl w:val="0"/>
        </w:rPr>
        <w:t xml:space="preserve">personal médico</w:t>
      </w:r>
      <w:r w:rsidDel="00000000" w:rsidR="00000000" w:rsidRPr="00000000">
        <w:rPr>
          <w:rtl w:val="0"/>
        </w:rPr>
        <w:t xml:space="preserve"> y el </w:t>
      </w:r>
      <w:r w:rsidDel="00000000" w:rsidR="00000000" w:rsidRPr="00000000">
        <w:rPr>
          <w:b w:val="1"/>
          <w:bCs w:val="1"/>
          <w:rtl w:val="0"/>
        </w:rPr>
        <w:t xml:space="preserve">centro de asistencia</w:t>
      </w:r>
      <w:r w:rsidDel="00000000" w:rsidR="00000000" w:rsidRPr="00000000">
        <w:rPr>
          <w:rtl w:val="0"/>
        </w:rPr>
        <w:t xml:space="preserve"> reciben el aviso unificado para preparar la intervención (Trazabilidad: ST02 / ST04).</w:t>
      </w:r>
    </w:p>
    <w:p w:rsidR="00000000" w:rsidDel="00000000" w:rsidP="00000000" w:rsidRDefault="00000000" w:rsidRPr="00000000" w14:paraId="00000365">
      <w:pPr>
        <w:spacing w:after="160" w:line="276" w:lineRule="auto"/>
        <w:rPr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b w:val="1"/>
          <w:bCs w:val="1"/>
          <w:rtl w:val="0"/>
        </w:rPr>
        <w:t xml:space="preserve">dispositivo IoT</w:t>
      </w:r>
      <w:r w:rsidDel="00000000" w:rsidR="00000000" w:rsidRPr="00000000">
        <w:rPr>
          <w:rtl w:val="0"/>
        </w:rPr>
        <w:t xml:space="preserve"> pierde la señal móvil o reporta batería baja, forzando al software a resguardar la telemetría en local (Trazabilidad: RF-09 / RR-04).</w:t>
      </w:r>
    </w:p>
    <w:p w:rsidR="00000000" w:rsidDel="00000000" w:rsidP="00000000" w:rsidRDefault="00000000" w:rsidRPr="00000000" w14:paraId="00000366">
      <w:pPr>
        <w:spacing w:after="160" w:line="276" w:lineRule="auto"/>
        <w:rPr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b w:val="1"/>
          <w:bCs w:val="1"/>
          <w:rtl w:val="0"/>
        </w:rPr>
        <w:t xml:space="preserve">sistema</w:t>
      </w:r>
      <w:r w:rsidDel="00000000" w:rsidR="00000000" w:rsidRPr="00000000">
        <w:rPr>
          <w:rtl w:val="0"/>
        </w:rPr>
        <w:t xml:space="preserve"> nota que los mensajes push fallan y el </w:t>
      </w:r>
      <w:r w:rsidDel="00000000" w:rsidR="00000000" w:rsidRPr="00000000">
        <w:rPr>
          <w:b w:val="1"/>
          <w:bCs w:val="1"/>
          <w:rtl w:val="0"/>
        </w:rPr>
        <w:t xml:space="preserve">bot</w:t>
      </w:r>
      <w:r w:rsidDel="00000000" w:rsidR="00000000" w:rsidRPr="00000000">
        <w:rPr>
          <w:rtl w:val="0"/>
        </w:rPr>
        <w:t xml:space="preserve"> inicia de forma automática llamadas telefónicas de voz (Trazabilidad: RF-11 / RNF-12)</w:t>
      </w:r>
    </w:p>
    <w:p w:rsidR="00000000" w:rsidDel="00000000" w:rsidP="00000000" w:rsidRDefault="00000000" w:rsidRPr="00000000" w14:paraId="00000367">
      <w:pPr>
        <w:spacing w:after="16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spacing w:after="160" w:lineRule="auto"/>
        <w:rPr/>
      </w:pPr>
      <w:r w:rsidDel="00000000" w:rsidR="00000000" w:rsidRPr="00000000">
        <w:rPr>
          <w:rtl w:val="0"/>
        </w:rPr>
        <w:t xml:space="preserve">m4 Teleconsuta</w:t>
      </w:r>
    </w:p>
    <w:p w:rsidR="00000000" w:rsidDel="00000000" w:rsidP="00000000" w:rsidRDefault="00000000" w:rsidRPr="00000000" w14:paraId="0000036C">
      <w:pPr>
        <w:spacing w:after="160" w:lineRule="auto"/>
        <w:rPr/>
      </w:pPr>
      <w:r w:rsidDel="00000000" w:rsidR="00000000" w:rsidRPr="00000000">
        <w:rPr/>
        <w:drawing>
          <wp:inline distB="114300" distT="114300" distL="114300" distR="114300">
            <wp:extent cx="6188400" cy="43561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88400" cy="435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D">
      <w:pPr>
        <w:spacing w:after="160" w:line="276" w:lineRule="auto"/>
        <w:rPr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b w:val="1"/>
          <w:bCs w:val="1"/>
          <w:rtl w:val="0"/>
        </w:rPr>
        <w:t xml:space="preserve">personal médico</w:t>
      </w:r>
      <w:r w:rsidDel="00000000" w:rsidR="00000000" w:rsidRPr="00000000">
        <w:rPr>
          <w:rtl w:val="0"/>
        </w:rPr>
        <w:t xml:space="preserve"> abre la videollamada interactiva de soporte desde su panel de consulta virtual (Trazabilidad: RF-13).</w:t>
      </w:r>
    </w:p>
    <w:p w:rsidR="00000000" w:rsidDel="00000000" w:rsidP="00000000" w:rsidRDefault="00000000" w:rsidRPr="00000000" w14:paraId="0000036E">
      <w:pPr>
        <w:spacing w:after="160" w:line="276" w:lineRule="auto"/>
        <w:rPr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b w:val="1"/>
          <w:bCs w:val="1"/>
          <w:rtl w:val="0"/>
        </w:rPr>
        <w:t xml:space="preserve">sistema</w:t>
      </w:r>
      <w:r w:rsidDel="00000000" w:rsidR="00000000" w:rsidRPr="00000000">
        <w:rPr>
          <w:rtl w:val="0"/>
        </w:rPr>
        <w:t xml:space="preserve"> establece el enlace multimedia WebRTC de baja latencia con el terminal del </w:t>
      </w:r>
      <w:r w:rsidDel="00000000" w:rsidR="00000000" w:rsidRPr="00000000">
        <w:rPr>
          <w:b w:val="1"/>
          <w:bCs w:val="1"/>
          <w:rtl w:val="0"/>
        </w:rPr>
        <w:t xml:space="preserve">paciente</w:t>
      </w:r>
      <w:r w:rsidDel="00000000" w:rsidR="00000000" w:rsidRPr="00000000">
        <w:rPr>
          <w:rtl w:val="0"/>
        </w:rPr>
        <w:t xml:space="preserve"> (Trazabilidad: RNF-09).</w:t>
      </w:r>
    </w:p>
    <w:p w:rsidR="00000000" w:rsidDel="00000000" w:rsidP="00000000" w:rsidRDefault="00000000" w:rsidRPr="00000000" w14:paraId="0000036F">
      <w:pPr>
        <w:spacing w:after="160" w:line="276" w:lineRule="auto"/>
        <w:rPr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b w:val="1"/>
          <w:bCs w:val="1"/>
          <w:rtl w:val="0"/>
        </w:rPr>
        <w:t xml:space="preserve">sistema</w:t>
      </w:r>
      <w:r w:rsidDel="00000000" w:rsidR="00000000" w:rsidRPr="00000000">
        <w:rPr>
          <w:rtl w:val="0"/>
        </w:rPr>
        <w:t xml:space="preserve"> recupera e integra en la pantalla el historial clínico unificado bajo interoperabilidad estándar (Trazabilidad: M04-C01 / D-02).</w:t>
      </w:r>
    </w:p>
    <w:p w:rsidR="00000000" w:rsidDel="00000000" w:rsidP="00000000" w:rsidRDefault="00000000" w:rsidRPr="00000000" w14:paraId="00000370">
      <w:pPr>
        <w:spacing w:after="160" w:line="276" w:lineRule="auto"/>
        <w:rPr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b w:val="1"/>
          <w:bCs w:val="1"/>
          <w:rtl w:val="0"/>
        </w:rPr>
        <w:t xml:space="preserve">sistema</w:t>
      </w:r>
      <w:r w:rsidDel="00000000" w:rsidR="00000000" w:rsidRPr="00000000">
        <w:rPr>
          <w:rtl w:val="0"/>
        </w:rPr>
        <w:t xml:space="preserve"> procesa el contexto clínico y despliega sugerencias diagnósticas para asistir la decisión profesional (Trazabilidad: RF-13 / RNF-15).</w:t>
      </w:r>
    </w:p>
    <w:p w:rsidR="00000000" w:rsidDel="00000000" w:rsidP="00000000" w:rsidRDefault="00000000" w:rsidRPr="00000000" w14:paraId="00000371">
      <w:pPr>
        <w:spacing w:after="160" w:line="276" w:lineRule="auto"/>
        <w:rPr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b w:val="1"/>
          <w:bCs w:val="1"/>
          <w:rtl w:val="0"/>
        </w:rPr>
        <w:t xml:space="preserve">personal médico</w:t>
      </w:r>
      <w:r w:rsidDel="00000000" w:rsidR="00000000" w:rsidRPr="00000000">
        <w:rPr>
          <w:rtl w:val="0"/>
        </w:rPr>
        <w:t xml:space="preserve"> valida el criterio de la inteligencia artificial y llena el formulario de prescripción digital (Trazabilidad: RF-14).</w:t>
      </w:r>
    </w:p>
    <w:p w:rsidR="00000000" w:rsidDel="00000000" w:rsidP="00000000" w:rsidRDefault="00000000" w:rsidRPr="00000000" w14:paraId="00000372">
      <w:pPr>
        <w:spacing w:after="160" w:line="276" w:lineRule="auto"/>
        <w:rPr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b w:val="1"/>
          <w:bCs w:val="1"/>
          <w:rtl w:val="0"/>
        </w:rPr>
        <w:t xml:space="preserve">personal médico</w:t>
      </w:r>
      <w:r w:rsidDel="00000000" w:rsidR="00000000" w:rsidRPr="00000000">
        <w:rPr>
          <w:rtl w:val="0"/>
        </w:rPr>
        <w:t xml:space="preserve"> estampa su firma electrónica y el </w:t>
      </w:r>
      <w:r w:rsidDel="00000000" w:rsidR="00000000" w:rsidRPr="00000000">
        <w:rPr>
          <w:b w:val="1"/>
          <w:bCs w:val="1"/>
          <w:rtl w:val="0"/>
        </w:rPr>
        <w:t xml:space="preserve">sistema</w:t>
      </w:r>
      <w:r w:rsidDel="00000000" w:rsidR="00000000" w:rsidRPr="00000000">
        <w:rPr>
          <w:rtl w:val="0"/>
        </w:rPr>
        <w:t xml:space="preserve"> compila la receta firmada legalmente en formato PDF (Trazabilidad: M04-C02 / R-03).</w:t>
      </w:r>
    </w:p>
    <w:p w:rsidR="00000000" w:rsidDel="00000000" w:rsidP="00000000" w:rsidRDefault="00000000" w:rsidRPr="00000000" w14:paraId="00000373">
      <w:pPr>
        <w:spacing w:after="160" w:line="276" w:lineRule="auto"/>
        <w:rPr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b w:val="1"/>
          <w:bCs w:val="1"/>
          <w:rtl w:val="0"/>
        </w:rPr>
        <w:t xml:space="preserve">sistema</w:t>
      </w:r>
      <w:r w:rsidDel="00000000" w:rsidR="00000000" w:rsidRPr="00000000">
        <w:rPr>
          <w:rtl w:val="0"/>
        </w:rPr>
        <w:t xml:space="preserve"> aloja el documento médico de egreso directamente dentro del repositorio del </w:t>
      </w:r>
      <w:r w:rsidDel="00000000" w:rsidR="00000000" w:rsidRPr="00000000">
        <w:rPr>
          <w:b w:val="1"/>
          <w:bCs w:val="1"/>
          <w:rtl w:val="0"/>
        </w:rPr>
        <w:t xml:space="preserve">paciente</w:t>
      </w:r>
      <w:r w:rsidDel="00000000" w:rsidR="00000000" w:rsidRPr="00000000">
        <w:rPr>
          <w:rtl w:val="0"/>
        </w:rPr>
        <w:t xml:space="preserve"> (Trazabilidad: RNF-10).</w:t>
      </w:r>
    </w:p>
    <w:p w:rsidR="00000000" w:rsidDel="00000000" w:rsidP="00000000" w:rsidRDefault="00000000" w:rsidRPr="00000000" w14:paraId="00000374">
      <w:pPr>
        <w:spacing w:after="160" w:line="276" w:lineRule="auto"/>
        <w:rPr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b w:val="1"/>
          <w:bCs w:val="1"/>
          <w:rtl w:val="0"/>
        </w:rPr>
        <w:t xml:space="preserve">personal médico</w:t>
      </w:r>
      <w:r w:rsidDel="00000000" w:rsidR="00000000" w:rsidRPr="00000000">
        <w:rPr>
          <w:rtl w:val="0"/>
        </w:rPr>
        <w:t xml:space="preserve"> presiona el comando de crisis para solicitar de manera inmediata el despacho de transporte físico (Trazabilidad: RF-15).</w:t>
      </w:r>
    </w:p>
    <w:p w:rsidR="00000000" w:rsidDel="00000000" w:rsidP="00000000" w:rsidRDefault="00000000" w:rsidRPr="00000000" w14:paraId="00000375">
      <w:pPr>
        <w:spacing w:after="160" w:line="276" w:lineRule="auto"/>
        <w:rPr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b w:val="1"/>
          <w:bCs w:val="1"/>
          <w:rtl w:val="0"/>
        </w:rPr>
        <w:t xml:space="preserve">sistema</w:t>
      </w:r>
      <w:r w:rsidDel="00000000" w:rsidR="00000000" w:rsidRPr="00000000">
        <w:rPr>
          <w:rtl w:val="0"/>
        </w:rPr>
        <w:t xml:space="preserve"> clona la ficha médica y activa la logística de derivación presencial con el </w:t>
      </w:r>
      <w:r w:rsidDel="00000000" w:rsidR="00000000" w:rsidRPr="00000000">
        <w:rPr>
          <w:b w:val="1"/>
          <w:bCs w:val="1"/>
          <w:rtl w:val="0"/>
        </w:rPr>
        <w:t xml:space="preserve">centro de asistencia</w:t>
      </w:r>
      <w:r w:rsidDel="00000000" w:rsidR="00000000" w:rsidRPr="00000000">
        <w:rPr>
          <w:rtl w:val="0"/>
        </w:rPr>
        <w:t xml:space="preserve"> o el ECU-911 (Trazabilidad: ST04 / RNF-12).</w:t>
      </w:r>
    </w:p>
    <w:p w:rsidR="00000000" w:rsidDel="00000000" w:rsidP="00000000" w:rsidRDefault="00000000" w:rsidRPr="00000000" w14:paraId="00000376">
      <w:pPr>
        <w:spacing w:after="160" w:line="276" w:lineRule="auto"/>
        <w:rPr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b w:val="1"/>
          <w:bCs w:val="1"/>
          <w:rtl w:val="0"/>
        </w:rPr>
        <w:t xml:space="preserve">sistema</w:t>
      </w:r>
      <w:r w:rsidDel="00000000" w:rsidR="00000000" w:rsidRPr="00000000">
        <w:rPr>
          <w:rtl w:val="0"/>
        </w:rPr>
        <w:t xml:space="preserve"> detecta cortes de red o tokens de firma revocados e interrumpe el flujo solicitando entradas de contingencia manual (Trazabilidad: RF-14 / D-02).</w:t>
      </w:r>
    </w:p>
    <w:p w:rsidR="00000000" w:rsidDel="00000000" w:rsidP="00000000" w:rsidRDefault="00000000" w:rsidRPr="00000000" w14:paraId="00000377">
      <w:pPr>
        <w:spacing w:after="16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8">
      <w:pPr>
        <w:spacing w:after="16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9">
      <w:pPr>
        <w:spacing w:after="160" w:line="276" w:lineRule="auto"/>
        <w:rPr/>
      </w:pPr>
      <w:r w:rsidDel="00000000" w:rsidR="00000000" w:rsidRPr="00000000">
        <w:rPr>
          <w:rtl w:val="0"/>
        </w:rPr>
        <w:t xml:space="preserve">M5 Seguridad</w:t>
      </w:r>
    </w:p>
    <w:p w:rsidR="00000000" w:rsidDel="00000000" w:rsidP="00000000" w:rsidRDefault="00000000" w:rsidRPr="00000000" w14:paraId="0000037A">
      <w:pPr>
        <w:spacing w:after="160" w:line="276" w:lineRule="auto"/>
        <w:rPr/>
      </w:pPr>
      <w:r w:rsidDel="00000000" w:rsidR="00000000" w:rsidRPr="00000000">
        <w:rPr/>
        <w:drawing>
          <wp:inline distB="114300" distT="114300" distL="114300" distR="114300">
            <wp:extent cx="6188400" cy="43561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88400" cy="435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spacing w:after="160" w:line="276" w:lineRule="auto"/>
        <w:rPr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b w:val="1"/>
          <w:bCs w:val="1"/>
          <w:rtl w:val="0"/>
        </w:rPr>
        <w:t xml:space="preserve">paciente</w:t>
      </w:r>
      <w:r w:rsidDel="00000000" w:rsidR="00000000" w:rsidRPr="00000000">
        <w:rPr>
          <w:rtl w:val="0"/>
        </w:rPr>
        <w:t xml:space="preserve"> registra la confirmación de las cláusulas de privacidad autorizando el uso seguro de sus datos (Trazabilidad: RF-17 / R-07).</w:t>
      </w:r>
    </w:p>
    <w:p w:rsidR="00000000" w:rsidDel="00000000" w:rsidP="00000000" w:rsidRDefault="00000000" w:rsidRPr="00000000" w14:paraId="0000037C">
      <w:pPr>
        <w:spacing w:after="160" w:line="276" w:lineRule="auto"/>
        <w:rPr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b w:val="1"/>
          <w:bCs w:val="1"/>
          <w:rtl w:val="0"/>
        </w:rPr>
        <w:t xml:space="preserve">sistema</w:t>
      </w:r>
      <w:r w:rsidDel="00000000" w:rsidR="00000000" w:rsidRPr="00000000">
        <w:rPr>
          <w:rtl w:val="0"/>
        </w:rPr>
        <w:t xml:space="preserve"> cifra las tramas clínicas en reposo y tránsito bajo protocolos avanzados de criptografía (Trazabilidad: RF-16 / RNF-13).</w:t>
      </w:r>
    </w:p>
    <w:p w:rsidR="00000000" w:rsidDel="00000000" w:rsidP="00000000" w:rsidRDefault="00000000" w:rsidRPr="00000000" w14:paraId="0000037D">
      <w:pPr>
        <w:spacing w:after="160" w:line="276" w:lineRule="auto"/>
        <w:rPr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b w:val="1"/>
          <w:bCs w:val="1"/>
          <w:rtl w:val="0"/>
        </w:rPr>
        <w:t xml:space="preserve">sistema</w:t>
      </w:r>
      <w:r w:rsidDel="00000000" w:rsidR="00000000" w:rsidRPr="00000000">
        <w:rPr>
          <w:rtl w:val="0"/>
        </w:rPr>
        <w:t xml:space="preserve"> captura el payload atómico transaccional de cada interacción o receta generada en el software (Trazabilidad: RF-19).</w:t>
      </w:r>
    </w:p>
    <w:p w:rsidR="00000000" w:rsidDel="00000000" w:rsidP="00000000" w:rsidRDefault="00000000" w:rsidRPr="00000000" w14:paraId="0000037E">
      <w:pPr>
        <w:spacing w:after="160" w:line="276" w:lineRule="auto"/>
        <w:rPr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b w:val="1"/>
          <w:bCs w:val="1"/>
          <w:rtl w:val="0"/>
        </w:rPr>
        <w:t xml:space="preserve">sistema</w:t>
      </w:r>
      <w:r w:rsidDel="00000000" w:rsidR="00000000" w:rsidRPr="00000000">
        <w:rPr>
          <w:rtl w:val="0"/>
        </w:rPr>
        <w:t xml:space="preserve"> concatena el bloque y calcula firmas hash encadenadas para construir un log de auditoría inmutable (Trazabilidad: RF-19 / RNF-14).</w:t>
      </w:r>
    </w:p>
    <w:p w:rsidR="00000000" w:rsidDel="00000000" w:rsidP="00000000" w:rsidRDefault="00000000" w:rsidRPr="00000000" w14:paraId="0000037F">
      <w:pPr>
        <w:spacing w:after="160" w:line="276" w:lineRule="auto"/>
        <w:rPr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b w:val="1"/>
          <w:bCs w:val="1"/>
          <w:rtl w:val="0"/>
        </w:rPr>
        <w:t xml:space="preserve">sistema</w:t>
      </w:r>
      <w:r w:rsidDel="00000000" w:rsidR="00000000" w:rsidRPr="00000000">
        <w:rPr>
          <w:rtl w:val="0"/>
        </w:rPr>
        <w:t xml:space="preserve"> almacena las estructuras de datos cifradas de forma persistente durante el tiempo exigido por la ley (Trazabilidad: RF-18 / RNF-10).</w:t>
      </w:r>
    </w:p>
    <w:p w:rsidR="00000000" w:rsidDel="00000000" w:rsidP="00000000" w:rsidRDefault="00000000" w:rsidRPr="00000000" w14:paraId="00000380">
      <w:pPr>
        <w:spacing w:after="160" w:line="276" w:lineRule="auto"/>
        <w:rPr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b w:val="1"/>
          <w:bCs w:val="1"/>
          <w:rtl w:val="0"/>
        </w:rPr>
        <w:t xml:space="preserve">auditor del MSP</w:t>
      </w:r>
      <w:r w:rsidDel="00000000" w:rsidR="00000000" w:rsidRPr="00000000">
        <w:rPr>
          <w:rtl w:val="0"/>
        </w:rPr>
        <w:t xml:space="preserve"> accede a la consola de inspección para interrogar la cadena histórica de registros (Trazabilidad: ST05 / RF-19).</w:t>
      </w:r>
    </w:p>
    <w:p w:rsidR="00000000" w:rsidDel="00000000" w:rsidP="00000000" w:rsidRDefault="00000000" w:rsidRPr="00000000" w14:paraId="00000381">
      <w:pPr>
        <w:spacing w:after="160" w:line="276" w:lineRule="auto"/>
        <w:rPr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b w:val="1"/>
          <w:bCs w:val="1"/>
          <w:rtl w:val="0"/>
        </w:rPr>
        <w:t xml:space="preserve">oficial de protección de datos (DPO)</w:t>
      </w:r>
      <w:r w:rsidDel="00000000" w:rsidR="00000000" w:rsidRPr="00000000">
        <w:rPr>
          <w:rtl w:val="0"/>
        </w:rPr>
        <w:t xml:space="preserve"> y el </w:t>
      </w:r>
      <w:r w:rsidDel="00000000" w:rsidR="00000000" w:rsidRPr="00000000">
        <w:rPr>
          <w:b w:val="1"/>
          <w:bCs w:val="1"/>
          <w:rtl w:val="0"/>
        </w:rPr>
        <w:t xml:space="preserve">equipo MLOps</w:t>
      </w:r>
      <w:r w:rsidDel="00000000" w:rsidR="00000000" w:rsidRPr="00000000">
        <w:rPr>
          <w:rtl w:val="0"/>
        </w:rPr>
        <w:t xml:space="preserve"> ejecutan rutinas semestrales para verificar la equidad clínica del software (Trazabilidad: ST06 / ST07 / RNF-16).</w:t>
      </w:r>
    </w:p>
    <w:p w:rsidR="00000000" w:rsidDel="00000000" w:rsidP="00000000" w:rsidRDefault="00000000" w:rsidRPr="00000000" w14:paraId="00000382">
      <w:pPr>
        <w:spacing w:after="160" w:line="276" w:lineRule="auto"/>
        <w:rPr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b w:val="1"/>
          <w:bCs w:val="1"/>
          <w:rtl w:val="0"/>
        </w:rPr>
        <w:t xml:space="preserve">sistema</w:t>
      </w:r>
      <w:r w:rsidDel="00000000" w:rsidR="00000000" w:rsidRPr="00000000">
        <w:rPr>
          <w:rtl w:val="0"/>
        </w:rPr>
        <w:t xml:space="preserve"> detecta hashes corruptos o intrusiones en la base de datos, destruye la sesión web y alerta al </w:t>
      </w:r>
      <w:r w:rsidDel="00000000" w:rsidR="00000000" w:rsidRPr="00000000">
        <w:rPr>
          <w:b w:val="1"/>
          <w:bCs w:val="1"/>
          <w:rtl w:val="0"/>
        </w:rPr>
        <w:t xml:space="preserve">oficial de protección de datos (DPO)</w:t>
      </w:r>
      <w:r w:rsidDel="00000000" w:rsidR="00000000" w:rsidRPr="00000000">
        <w:rPr>
          <w:rtl w:val="0"/>
        </w:rPr>
        <w:t xml:space="preserve"> (Trazabilidad: RF-19 / RNF-01).</w:t>
      </w:r>
    </w:p>
    <w:p w:rsidR="00000000" w:rsidDel="00000000" w:rsidP="00000000" w:rsidRDefault="00000000" w:rsidRPr="00000000" w14:paraId="00000383">
      <w:pPr>
        <w:spacing w:after="16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4">
      <w:pPr>
        <w:spacing w:after="16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5">
      <w:pPr>
        <w:spacing w:after="160" w:lineRule="auto"/>
        <w:rPr/>
      </w:pPr>
      <w:r w:rsidDel="00000000" w:rsidR="00000000" w:rsidRPr="00000000">
        <w:rPr>
          <w:rtl w:val="0"/>
        </w:rPr>
      </w:r>
    </w:p>
    <w:sectPr>
      <w:headerReference r:id="rId11" w:type="default"/>
      <w:footerReference r:id="rId12" w:type="default"/>
      <w:pgSz w:h="16838" w:w="11906" w:orient="portrait"/>
      <w:pgMar w:bottom="1080" w:top="1080" w:left="1080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87">
    <w:pPr>
      <w:pBdr>
        <w:top w:color="2e75b6" w:space="4" w:sz="4" w:val="single"/>
      </w:pBdr>
      <w:tabs>
        <w:tab w:val="right" w:leader="none" w:pos="9026"/>
      </w:tabs>
      <w:rPr/>
    </w:pPr>
    <w:r w:rsidDel="00000000" w:rsidR="00000000" w:rsidRPr="00000000">
      <w:rPr>
        <w:rFonts w:ascii="Arial" w:cs="Arial" w:eastAsia="Arial" w:hAnsi="Arial"/>
        <w:color w:val="595959"/>
        <w:sz w:val="16"/>
        <w:szCs w:val="16"/>
        <w:rtl w:val="0"/>
      </w:rPr>
      <w:t xml:space="preserve">UTPL — Ingeniería de Requisitos  |  Mayo 2026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86">
    <w:pPr>
      <w:pBdr>
        <w:bottom w:color="2e75b6" w:space="4" w:sz="4" w:val="single"/>
      </w:pBdr>
      <w:rPr/>
    </w:pPr>
    <w:r w:rsidDel="00000000" w:rsidR="00000000" w:rsidRPr="00000000">
      <w:rPr>
        <w:rFonts w:ascii="Arial" w:cs="Arial" w:eastAsia="Arial" w:hAnsi="Arial"/>
        <w:b w:val="1"/>
        <w:bCs w:val="1"/>
        <w:color w:val="1f4e79"/>
        <w:sz w:val="16"/>
        <w:szCs w:val="16"/>
        <w:rtl w:val="0"/>
      </w:rPr>
      <w:t xml:space="preserve">SAMR — Documento de Visión v3.2</w:t>
    </w:r>
    <w:r w:rsidDel="00000000" w:rsidR="00000000" w:rsidRPr="00000000">
      <w:rPr>
        <w:rFonts w:ascii="Arial" w:cs="Arial" w:eastAsia="Arial" w:hAnsi="Arial"/>
        <w:color w:val="595959"/>
        <w:sz w:val="16"/>
        <w:szCs w:val="16"/>
        <w:rtl w:val="0"/>
      </w:rPr>
      <w:t xml:space="preserve">  |  5 Módulos · 8 Stakeholders · Med-Gemini · Trazabilidad completa — Equipo LLdE — UTPL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60" w:before="34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1f4e79"/>
      <w:sz w:val="30"/>
      <w:szCs w:val="30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00" w:before="24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2e75b6"/>
      <w:sz w:val="24"/>
      <w:szCs w:val="24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eader" Target="header1.xml"/><Relationship Id="rId10" Type="http://schemas.openxmlformats.org/officeDocument/2006/relationships/image" Target="media/image1.png"/><Relationship Id="rId12" Type="http://schemas.openxmlformats.org/officeDocument/2006/relationships/footer" Target="footer1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