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64929">
      <w:pPr>
        <w:spacing w:before="200" w:after="100"/>
        <w:jc w:val="center"/>
        <w:rPr>
          <w:color w:val="0D0D0D" w:themeColor="text1" w:themeTint="F2"/>
          <w:sz w:val="28"/>
          <w:szCs w:val="28"/>
          <w14:textFill>
            <w14:solidFill>
              <w14:schemeClr w14:val="tx1">
                <w14:lumMod w14:val="95000"/>
                <w14:lumOff w14:val="5000"/>
              </w14:schemeClr>
            </w14:solidFill>
          </w14:textFill>
        </w:rPr>
      </w:pPr>
      <w:r>
        <w:rPr>
          <w:b/>
          <w:bCs/>
          <w:color w:val="0D0D0D" w:themeColor="text1" w:themeTint="F2"/>
          <w:sz w:val="32"/>
          <w:szCs w:val="32"/>
          <w14:textFill>
            <w14:solidFill>
              <w14:schemeClr w14:val="tx1">
                <w14:lumMod w14:val="95000"/>
                <w14:lumOff w14:val="5000"/>
              </w14:schemeClr>
            </w14:solidFill>
          </w14:textFill>
        </w:rPr>
        <w:t>UNIVERSIDAD TÉCNICA PARTICULAR DE LOJA</w:t>
      </w:r>
    </w:p>
    <w:p w14:paraId="0F717F8A">
      <w:pPr>
        <w:spacing w:after="300"/>
        <w:jc w:val="center"/>
        <w:rPr>
          <w:color w:val="0D0D0D" w:themeColor="text1" w:themeTint="F2"/>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Ingeniería de Requisitos – Trabajo de Fin de Bimestre</w:t>
      </w:r>
    </w:p>
    <w:p w14:paraId="10369C37">
      <w:pPr>
        <w:spacing w:after="80"/>
        <w:jc w:val="center"/>
        <w:rPr>
          <w:color w:val="0D0D0D" w:themeColor="text1" w:themeTint="F2"/>
          <w:sz w:val="20"/>
          <w:szCs w:val="20"/>
          <w14:textFill>
            <w14:solidFill>
              <w14:schemeClr w14:val="tx1">
                <w14:lumMod w14:val="95000"/>
                <w14:lumOff w14:val="5000"/>
              </w14:schemeClr>
            </w14:solidFill>
          </w14:textFill>
        </w:rPr>
      </w:pPr>
      <w:r>
        <w:rPr>
          <w:b/>
          <w:bCs/>
          <w:color w:val="0D0D0D" w:themeColor="text1" w:themeTint="F2"/>
          <w:sz w:val="24"/>
          <w:szCs w:val="24"/>
          <w14:textFill>
            <w14:solidFill>
              <w14:schemeClr w14:val="tx1">
                <w14:lumMod w14:val="95000"/>
                <w14:lumOff w14:val="5000"/>
              </w14:schemeClr>
            </w14:solidFill>
          </w14:textFill>
        </w:rPr>
        <w:t>PLANTILLA DE INFORME POR ROL (VIEWPOINT)</w:t>
      </w:r>
    </w:p>
    <w:p w14:paraId="1A139D9C">
      <w:pPr>
        <w:jc w:val="cente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Caso de Estudio: Transformación del Sistema de Atención Médica Remota (SAMR)</w:t>
      </w:r>
    </w:p>
    <w:p w14:paraId="7D9222EA">
      <w:pPr>
        <w:jc w:val="center"/>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mediante Inteligencia Artificial e Interfaces Conversacionales (Bots)</w:t>
      </w:r>
    </w:p>
    <w:p w14:paraId="4A2F2442">
      <w:pPr>
        <w:jc w:val="center"/>
        <w:rPr>
          <w:color w:val="0D0D0D" w:themeColor="text1" w:themeTint="F2"/>
          <w14:textFill>
            <w14:solidFill>
              <w14:schemeClr w14:val="tx1">
                <w14:lumMod w14:val="95000"/>
                <w14:lumOff w14:val="5000"/>
              </w14:schemeClr>
            </w14:solidFill>
          </w14:textFill>
        </w:rPr>
      </w:pPr>
    </w:p>
    <w:p w14:paraId="759A575D">
      <w:pPr>
        <w:pStyle w:val="2"/>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1. Información General del Informe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6480"/>
      </w:tblGrid>
      <w:tr w14:paraId="2AEB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vAlign w:val="center"/>
          </w:tcPr>
          <w:p w14:paraId="3D167CD4">
            <w:pPr>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Nombre del Equipo</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BF9607">
            <w:pPr>
              <w:rPr>
                <w:rFonts w:hint="default"/>
                <w:color w:val="0D0D0D" w:themeColor="text1" w:themeTint="F2"/>
                <w:lang w:val="es-ES"/>
                <w14:textFill>
                  <w14:solidFill>
                    <w14:schemeClr w14:val="tx1">
                      <w14:lumMod w14:val="95000"/>
                      <w14:lumOff w14:val="5000"/>
                    </w14:schemeClr>
                  </w14:solidFill>
                </w14:textFill>
              </w:rPr>
            </w:pPr>
            <w:r>
              <w:rPr>
                <w:rFonts w:hint="default"/>
                <w:i/>
                <w:iCs/>
                <w:color w:val="0D0D0D" w:themeColor="text1" w:themeTint="F2"/>
                <w:lang w:val="es-ES"/>
                <w14:textFill>
                  <w14:solidFill>
                    <w14:schemeClr w14:val="tx1">
                      <w14:lumMod w14:val="95000"/>
                      <w14:lumOff w14:val="5000"/>
                    </w14:schemeClr>
                  </w14:solidFill>
                </w14:textFill>
              </w:rPr>
              <w:t>LLdE</w:t>
            </w:r>
          </w:p>
        </w:tc>
      </w:tr>
      <w:tr w14:paraId="3AC3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vAlign w:val="center"/>
          </w:tcPr>
          <w:p w14:paraId="1F636439">
            <w:pPr>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Rol Asignado</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089182">
            <w:pPr>
              <w:rPr>
                <w:color w:val="0D0D0D" w:themeColor="text1" w:themeTint="F2"/>
                <w14:textFill>
                  <w14:solidFill>
                    <w14:schemeClr w14:val="tx1">
                      <w14:lumMod w14:val="95000"/>
                      <w14:lumOff w14:val="5000"/>
                    </w14:schemeClr>
                  </w14:solidFill>
                </w14:textFill>
              </w:rPr>
            </w:pPr>
            <w:r>
              <w:rPr>
                <w:i/>
                <w:iCs/>
                <w:color w:val="0D0D0D" w:themeColor="text1" w:themeTint="F2"/>
                <w14:textFill>
                  <w14:solidFill>
                    <w14:schemeClr w14:val="tx1">
                      <w14:lumMod w14:val="95000"/>
                      <w14:lumOff w14:val="5000"/>
                    </w14:schemeClr>
                  </w14:solidFill>
                </w14:textFill>
              </w:rPr>
              <w:t xml:space="preserve">Arquitecto de Software </w:t>
            </w:r>
          </w:p>
        </w:tc>
      </w:tr>
      <w:tr w14:paraId="56DC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vAlign w:val="center"/>
          </w:tcPr>
          <w:p w14:paraId="67134DC2">
            <w:pPr>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Nombre del Estudiante</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9AFCB1">
            <w:pPr>
              <w:rPr>
                <w:rFonts w:hint="default"/>
                <w:color w:val="0D0D0D" w:themeColor="text1" w:themeTint="F2"/>
                <w:lang w:val="es-ES"/>
                <w14:textFill>
                  <w14:solidFill>
                    <w14:schemeClr w14:val="tx1">
                      <w14:lumMod w14:val="95000"/>
                      <w14:lumOff w14:val="5000"/>
                    </w14:schemeClr>
                  </w14:solidFill>
                </w14:textFill>
              </w:rPr>
            </w:pPr>
            <w:r>
              <w:rPr>
                <w:i/>
                <w:iCs/>
                <w:color w:val="0D0D0D" w:themeColor="text1" w:themeTint="F2"/>
                <w:lang w:val="es-ES"/>
                <w14:textFill>
                  <w14:solidFill>
                    <w14:schemeClr w14:val="tx1">
                      <w14:lumMod w14:val="95000"/>
                      <w14:lumOff w14:val="5000"/>
                    </w14:schemeClr>
                  </w14:solidFill>
                </w14:textFill>
              </w:rPr>
              <w:t>L</w:t>
            </w:r>
            <w:r>
              <w:rPr>
                <w:rFonts w:hint="default"/>
                <w:i/>
                <w:iCs/>
                <w:color w:val="0D0D0D" w:themeColor="text1" w:themeTint="F2"/>
                <w:lang w:val="es-ES"/>
                <w14:textFill>
                  <w14:solidFill>
                    <w14:schemeClr w14:val="tx1">
                      <w14:lumMod w14:val="95000"/>
                      <w14:lumOff w14:val="5000"/>
                    </w14:schemeClr>
                  </w14:solidFill>
                </w14:textFill>
              </w:rPr>
              <w:t>eydi Yasmin Robalino Robalino</w:t>
            </w:r>
          </w:p>
        </w:tc>
      </w:tr>
      <w:tr w14:paraId="79B3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vAlign w:val="center"/>
          </w:tcPr>
          <w:p w14:paraId="76FF745B">
            <w:pPr>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Fecha de Elaboración</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1FBD72">
            <w:pPr>
              <w:rPr>
                <w:color w:val="0D0D0D" w:themeColor="text1" w:themeTint="F2"/>
                <w14:textFill>
                  <w14:solidFill>
                    <w14:schemeClr w14:val="tx1">
                      <w14:lumMod w14:val="95000"/>
                      <w14:lumOff w14:val="5000"/>
                    </w14:schemeClr>
                  </w14:solidFill>
                </w14:textFill>
              </w:rPr>
            </w:pPr>
            <w:r>
              <w:rPr>
                <w:i/>
                <w:iCs/>
                <w:color w:val="0D0D0D" w:themeColor="text1" w:themeTint="F2"/>
                <w:lang w:val="es-ES"/>
                <w14:textFill>
                  <w14:solidFill>
                    <w14:schemeClr w14:val="tx1">
                      <w14:lumMod w14:val="95000"/>
                      <w14:lumOff w14:val="5000"/>
                    </w14:schemeClr>
                  </w14:solidFill>
                </w14:textFill>
              </w:rPr>
              <w:t>24</w:t>
            </w:r>
            <w:r>
              <w:rPr>
                <w:i/>
                <w:iCs/>
                <w:color w:val="0D0D0D" w:themeColor="text1" w:themeTint="F2"/>
                <w14:textFill>
                  <w14:solidFill>
                    <w14:schemeClr w14:val="tx1">
                      <w14:lumMod w14:val="95000"/>
                      <w14:lumOff w14:val="5000"/>
                    </w14:schemeClr>
                  </w14:solidFill>
                </w14:textFill>
              </w:rPr>
              <w:t xml:space="preserve"> de </w:t>
            </w:r>
            <w:r>
              <w:rPr>
                <w:i/>
                <w:iCs/>
                <w:color w:val="0D0D0D" w:themeColor="text1" w:themeTint="F2"/>
                <w:lang w:val="es-ES"/>
                <w14:textFill>
                  <w14:solidFill>
                    <w14:schemeClr w14:val="tx1">
                      <w14:lumMod w14:val="95000"/>
                      <w14:lumOff w14:val="5000"/>
                    </w14:schemeClr>
                  </w14:solidFill>
                </w14:textFill>
              </w:rPr>
              <w:t>mayo</w:t>
            </w:r>
            <w:r>
              <w:rPr>
                <w:i/>
                <w:iCs/>
                <w:color w:val="0D0D0D" w:themeColor="text1" w:themeTint="F2"/>
                <w14:textFill>
                  <w14:solidFill>
                    <w14:schemeClr w14:val="tx1">
                      <w14:lumMod w14:val="95000"/>
                      <w14:lumOff w14:val="5000"/>
                    </w14:schemeClr>
                  </w14:solidFill>
                </w14:textFill>
              </w:rPr>
              <w:t xml:space="preserve"> de 2026</w:t>
            </w:r>
          </w:p>
        </w:tc>
      </w:tr>
    </w:tbl>
    <w:p w14:paraId="1FA46D59">
      <w:pPr>
        <w:pStyle w:val="2"/>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2. Resumen ejecutivo del visionamiento del sistema</w:t>
      </w:r>
    </w:p>
    <w:p w14:paraId="2A270B76">
      <w:pPr>
        <w:spacing w:before="60" w:after="60"/>
        <w:jc w:val="left"/>
        <w:rPr>
          <w:color w:val="auto"/>
        </w:rPr>
      </w:pPr>
      <w:r>
        <w:rPr>
          <w:rFonts w:ascii="Arial" w:hAnsi="Arial" w:eastAsia="Arial" w:cs="Arial"/>
          <w:b w:val="0"/>
          <w:bCs w:val="0"/>
          <w:i w:val="0"/>
          <w:iCs w:val="0"/>
          <w:color w:val="auto"/>
          <w:sz w:val="22"/>
          <w:szCs w:val="22"/>
        </w:rPr>
        <w:t xml:space="preserve">El Sistema de Atención Médica Remota transformada mediante Inteligencia Artificial e interfaces conversacionales representa un salto cualitativo en la complejidad arquitectónica del sistema. Desde </w:t>
      </w:r>
      <w:r>
        <w:rPr>
          <w:rFonts w:hint="default" w:cs="Arial"/>
          <w:b w:val="0"/>
          <w:bCs w:val="0"/>
          <w:i w:val="0"/>
          <w:iCs w:val="0"/>
          <w:color w:val="auto"/>
          <w:sz w:val="22"/>
          <w:szCs w:val="22"/>
          <w:lang w:val="es-ES"/>
        </w:rPr>
        <w:t>mi perspectiva como Arquitecta de Software</w:t>
      </w:r>
      <w:r>
        <w:rPr>
          <w:rFonts w:ascii="Arial" w:hAnsi="Arial" w:eastAsia="Arial" w:cs="Arial"/>
          <w:b w:val="0"/>
          <w:bCs w:val="0"/>
          <w:i w:val="0"/>
          <w:iCs w:val="0"/>
          <w:color w:val="auto"/>
          <w:sz w:val="22"/>
          <w:szCs w:val="22"/>
        </w:rPr>
        <w:t>, este proyecto es una plataforma distribuida de alta disponibilidad que integra de forma coherente y robusta componentes heterogéneos: Med-Gemini como motor clínico central con patrón hexagonal (Ports &amp; Adapters), interfaces conversacionales (chatbot y voicebot), pipelines IoT en tiempo real sobre TimescaleDB, teleconsulta con latencia ≤200ms, y un sistema de auditoría inmutable con hash SHA-256 exigido por el Ministerio de Salud Pública (MSP).</w:t>
      </w:r>
    </w:p>
    <w:p w14:paraId="6DD66AC5">
      <w:pPr>
        <w:jc w:val="left"/>
        <w:rPr>
          <w:rFonts w:eastAsia="SimSun"/>
          <w:color w:val="auto"/>
          <w:sz w:val="20"/>
          <w:szCs w:val="20"/>
          <w:lang w:val="en-US" w:eastAsia="zh-CN" w:bidi="ar"/>
        </w:rPr>
      </w:pPr>
    </w:p>
    <w:p w14:paraId="4B5C4017">
      <w:pPr>
        <w:spacing w:before="60" w:after="60"/>
        <w:jc w:val="left"/>
        <w:rPr>
          <w:color w:val="auto"/>
        </w:rPr>
      </w:pPr>
      <w:r>
        <w:rPr>
          <w:rFonts w:ascii="Arial" w:hAnsi="Arial" w:eastAsia="Arial" w:cs="Arial"/>
          <w:b w:val="0"/>
          <w:bCs w:val="0"/>
          <w:i w:val="0"/>
          <w:iCs w:val="0"/>
          <w:color w:val="auto"/>
          <w:sz w:val="22"/>
          <w:szCs w:val="22"/>
        </w:rPr>
        <w:t>La arquitectura final aprobada combina tres patrones complementarios:</w:t>
      </w:r>
    </w:p>
    <w:p w14:paraId="009AB36E">
      <w:pPr>
        <w:pStyle w:val="19"/>
        <w:numPr>
          <w:ilvl w:val="0"/>
          <w:numId w:val="1"/>
        </w:numPr>
        <w:spacing w:before="40" w:after="40"/>
        <w:jc w:val="left"/>
        <w:rPr>
          <w:color w:val="auto"/>
        </w:rPr>
      </w:pPr>
      <w:r>
        <w:rPr>
          <w:rFonts w:ascii="Arial" w:hAnsi="Arial" w:eastAsia="Arial" w:cs="Arial"/>
          <w:color w:val="auto"/>
          <w:sz w:val="22"/>
          <w:szCs w:val="22"/>
        </w:rPr>
        <w:t>Arquitectura hexagonal (Ports &amp; Adapters) para la integración de Med-Gemini, garantizando que el motor de IA pueda ser reemplazado o versionado sin afectar la lógica de negocio de ninguno de los cinco módulos.</w:t>
      </w:r>
    </w:p>
    <w:p w14:paraId="24CB13BD">
      <w:pPr>
        <w:pStyle w:val="19"/>
        <w:numPr>
          <w:ilvl w:val="0"/>
          <w:numId w:val="1"/>
        </w:numPr>
        <w:spacing w:before="40" w:after="40"/>
        <w:jc w:val="left"/>
        <w:rPr>
          <w:color w:val="auto"/>
        </w:rPr>
      </w:pPr>
      <w:r>
        <w:rPr>
          <w:rFonts w:ascii="Arial" w:hAnsi="Arial" w:eastAsia="Arial" w:cs="Arial"/>
          <w:color w:val="auto"/>
          <w:sz w:val="22"/>
          <w:szCs w:val="22"/>
        </w:rPr>
        <w:t>Arquitectura orientada a eventos (EDA) con BullMQ sobre Redis para los módulos de tiempo real M2 (panel de estados, ≤500ms) y M3 (alertas biométricas, ≤1s), garantizando desacoplamiento temporal entre productores y consumidores.</w:t>
      </w:r>
    </w:p>
    <w:p w14:paraId="44E09913">
      <w:pPr>
        <w:pStyle w:val="19"/>
        <w:numPr>
          <w:ilvl w:val="0"/>
          <w:numId w:val="1"/>
        </w:numPr>
        <w:spacing w:before="40" w:after="40"/>
        <w:jc w:val="left"/>
        <w:rPr>
          <w:color w:val="auto"/>
        </w:rPr>
      </w:pPr>
      <w:r>
        <w:rPr>
          <w:rFonts w:ascii="Arial" w:hAnsi="Arial" w:eastAsia="Arial" w:cs="Arial"/>
          <w:color w:val="auto"/>
          <w:sz w:val="22"/>
          <w:szCs w:val="22"/>
        </w:rPr>
        <w:t>Microservicios acotados por dominio: cada módulo M1–M5 es un servicio Node.js/Express independiente con su propia imagen Docker, desplegado en Cloud Run sobre Google Cloud Platform con autoescalado y disponibilidad ≥99.5%.</w:t>
      </w:r>
    </w:p>
    <w:p w14:paraId="793E821E">
      <w:pPr>
        <w:spacing w:before="40" w:after="40"/>
        <w:jc w:val="left"/>
        <w:rPr>
          <w:color w:val="auto"/>
        </w:rPr>
      </w:pPr>
    </w:p>
    <w:p w14:paraId="5FC4EFBB">
      <w:pPr>
        <w:spacing w:before="40" w:after="40"/>
        <w:jc w:val="left"/>
        <w:rPr>
          <w:color w:val="auto"/>
        </w:rPr>
      </w:pPr>
    </w:p>
    <w:p w14:paraId="20124EDD">
      <w:pPr>
        <w:spacing w:before="60" w:after="60"/>
        <w:jc w:val="left"/>
        <w:rPr>
          <w:color w:val="auto"/>
        </w:rPr>
      </w:pPr>
      <w:r>
        <w:rPr>
          <w:rFonts w:ascii="Arial" w:hAnsi="Arial" w:eastAsia="Arial" w:cs="Arial"/>
          <w:b w:val="0"/>
          <w:bCs w:val="0"/>
          <w:i w:val="0"/>
          <w:iCs w:val="0"/>
          <w:color w:val="auto"/>
          <w:sz w:val="22"/>
          <w:szCs w:val="22"/>
        </w:rPr>
        <w:t>El valor que aport</w:t>
      </w:r>
      <w:r>
        <w:rPr>
          <w:rFonts w:hint="default" w:cs="Arial"/>
          <w:b w:val="0"/>
          <w:bCs w:val="0"/>
          <w:i w:val="0"/>
          <w:iCs w:val="0"/>
          <w:color w:val="auto"/>
          <w:sz w:val="22"/>
          <w:szCs w:val="22"/>
          <w:lang w:val="es-ES"/>
        </w:rPr>
        <w:t>o como</w:t>
      </w:r>
      <w:r>
        <w:rPr>
          <w:rFonts w:ascii="Arial" w:hAnsi="Arial" w:eastAsia="Arial" w:cs="Arial"/>
          <w:b w:val="0"/>
          <w:bCs w:val="0"/>
          <w:i w:val="0"/>
          <w:iCs w:val="0"/>
          <w:color w:val="auto"/>
          <w:sz w:val="22"/>
          <w:szCs w:val="22"/>
        </w:rPr>
        <w:t xml:space="preserve"> el Arquitecto de Software al proyecto SAMR radica en garantizar que la visión del sistema sea técnicamente alcanzable. La arquitectura aprobada satisface simultáneamente los atributos de calidad definidos en el Documento de Visión: disponibilidad ≥99.5% (RNF-11), latencia IoT ≤1s (M3), latencia XAI ≤2s (RNF-06), latencia video ≤200ms (RNF-09), explicabilidad del 100% de las decisiones de Med-Gemini (RNF-15), equidad sin sesgos verificables (RNF-16) y cumplimiento LOPDP con logs SHA-256 auditables (M5).</w:t>
      </w:r>
    </w:p>
    <w:p w14:paraId="438E0441">
      <w:pPr>
        <w:spacing w:after="200"/>
        <w:rPr>
          <w:color w:val="auto"/>
        </w:rPr>
      </w:pPr>
    </w:p>
    <w:p w14:paraId="1DCBE821">
      <w:pPr>
        <w:spacing w:after="200"/>
        <w:rPr>
          <w:color w:val="auto"/>
        </w:rPr>
      </w:pPr>
    </w:p>
    <w:p w14:paraId="774BFFF0">
      <w:pPr>
        <w:spacing w:after="200"/>
        <w:rPr>
          <w:color w:val="auto"/>
        </w:rPr>
      </w:pPr>
    </w:p>
    <w:p w14:paraId="4FF5BA46">
      <w:pPr>
        <w:spacing w:after="200"/>
        <w:rPr>
          <w:color w:val="auto"/>
        </w:rPr>
      </w:pPr>
    </w:p>
    <w:p w14:paraId="615CC6A3">
      <w:pPr>
        <w:pStyle w:val="2"/>
        <w:rPr>
          <w:color w:val="auto"/>
        </w:rPr>
      </w:pPr>
      <w:r>
        <w:rPr>
          <w:color w:val="auto"/>
        </w:rPr>
        <w:t>3. Análisis de impacto de requisitos clave</w:t>
      </w:r>
    </w:p>
    <w:p w14:paraId="27896176">
      <w:pPr>
        <w:pStyle w:val="2"/>
        <w:spacing w:before="0" w:after="0"/>
        <w:rPr>
          <w:color w:val="auto"/>
        </w:rPr>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4080"/>
      </w:tblGrid>
      <w:tr w14:paraId="2D08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0D7C3F22">
            <w:pPr>
              <w:jc w:val="center"/>
              <w:rPr>
                <w:color w:val="auto"/>
              </w:rPr>
            </w:pPr>
            <w:r>
              <w:rPr>
                <w:b/>
                <w:bCs/>
                <w:color w:val="auto"/>
                <w:sz w:val="18"/>
                <w:szCs w:val="18"/>
              </w:rPr>
              <w:t>Requisito / Escenario</w:t>
            </w:r>
          </w:p>
        </w:tc>
        <w:tc>
          <w:tcPr>
            <w:tcW w:w="36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728EB558">
            <w:pPr>
              <w:jc w:val="center"/>
              <w:rPr>
                <w:color w:val="auto"/>
              </w:rPr>
            </w:pPr>
            <w:r>
              <w:rPr>
                <w:b/>
                <w:bCs/>
                <w:color w:val="auto"/>
                <w:sz w:val="18"/>
                <w:szCs w:val="18"/>
              </w:rPr>
              <w:t>Impacto en mi Rol</w:t>
            </w:r>
          </w:p>
        </w:tc>
        <w:tc>
          <w:tcPr>
            <w:tcW w:w="408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67CFE16F">
            <w:pPr>
              <w:jc w:val="center"/>
              <w:rPr>
                <w:color w:val="auto"/>
              </w:rPr>
            </w:pPr>
            <w:r>
              <w:rPr>
                <w:b/>
                <w:bCs/>
                <w:color w:val="auto"/>
                <w:sz w:val="18"/>
                <w:szCs w:val="18"/>
              </w:rPr>
              <w:t>Nivel de Influencia y Justificación</w:t>
            </w:r>
          </w:p>
        </w:tc>
      </w:tr>
      <w:tr w14:paraId="68A0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333A6741">
            <w:pPr>
              <w:rPr>
                <w:color w:val="auto"/>
              </w:rPr>
            </w:pPr>
            <w:r>
              <w:rPr>
                <w:rFonts w:ascii="Arial" w:hAnsi="Arial" w:eastAsia="Arial" w:cs="Arial"/>
                <w:b w:val="0"/>
                <w:bCs w:val="0"/>
                <w:i w:val="0"/>
                <w:iCs w:val="0"/>
                <w:color w:val="auto"/>
                <w:sz w:val="20"/>
                <w:szCs w:val="20"/>
              </w:rPr>
              <w:t>RF-06, RF-07, RF-03 / M2: Triaje digital con Med-Gemini y despacho inteligente</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6297F0C4">
            <w:pPr>
              <w:spacing w:before="20" w:after="20"/>
              <w:jc w:val="left"/>
              <w:rPr>
                <w:color w:val="auto"/>
              </w:rPr>
            </w:pPr>
            <w:r>
              <w:rPr>
                <w:rFonts w:ascii="Arial" w:hAnsi="Arial" w:eastAsia="Arial" w:cs="Arial"/>
                <w:b w:val="0"/>
                <w:bCs w:val="0"/>
                <w:i w:val="0"/>
                <w:iCs w:val="0"/>
                <w:color w:val="auto"/>
                <w:sz w:val="20"/>
                <w:szCs w:val="20"/>
              </w:rPr>
              <w:t>Exige arquitectura hexagonal para Med-Gemini (adaptador enchufable) y BullMQ para procesamiento asíncrono de solicitudes sin bloqueo. El motor de matching es un componente interno del microservicio M2 con circuit breaker implementado en el adaptador.</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79FC8C55">
            <w:pPr>
              <w:spacing w:before="20" w:after="20"/>
              <w:jc w:val="left"/>
              <w:rPr>
                <w:color w:val="auto"/>
                <w:lang w:val="es-ES"/>
              </w:rPr>
            </w:pPr>
            <w:r>
              <w:rPr>
                <w:rFonts w:ascii="Arial" w:hAnsi="Arial" w:eastAsia="Arial" w:cs="Arial"/>
                <w:b w:val="0"/>
                <w:bCs w:val="0"/>
                <w:i w:val="0"/>
                <w:iCs w:val="0"/>
                <w:color w:val="auto"/>
                <w:sz w:val="20"/>
                <w:szCs w:val="20"/>
              </w:rPr>
              <w:t>Exige arquitectura hexagonal para Med-Gemini (adaptador enchufable) y BullMQ para procesamiento asíncrono de solicitudes sin bloqueo. El motor de matching es un componente interno del microservicio M2 con circuit breaker implementado en el adaptador.</w:t>
            </w:r>
          </w:p>
        </w:tc>
      </w:tr>
      <w:tr w14:paraId="1118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7051F816">
            <w:pPr>
              <w:rPr>
                <w:color w:val="auto"/>
              </w:rPr>
            </w:pPr>
            <w:r>
              <w:rPr>
                <w:rFonts w:ascii="Arial" w:hAnsi="Arial" w:eastAsia="Arial" w:cs="Arial"/>
                <w:b w:val="0"/>
                <w:bCs w:val="0"/>
                <w:i w:val="0"/>
                <w:iCs w:val="0"/>
                <w:color w:val="auto"/>
                <w:sz w:val="20"/>
                <w:szCs w:val="20"/>
              </w:rPr>
              <w:t>RF-09, RF-10, RF-11 / M3: Monitoreo biométrico predictivo con alertas XAI</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13A75031">
            <w:pPr>
              <w:spacing w:before="20" w:after="20"/>
              <w:jc w:val="left"/>
              <w:rPr>
                <w:color w:val="auto"/>
              </w:rPr>
            </w:pPr>
            <w:r>
              <w:rPr>
                <w:rFonts w:ascii="Arial" w:hAnsi="Arial" w:eastAsia="Arial" w:cs="Arial"/>
                <w:b w:val="0"/>
                <w:bCs w:val="0"/>
                <w:i w:val="0"/>
                <w:iCs w:val="0"/>
                <w:color w:val="auto"/>
                <w:sz w:val="20"/>
                <w:szCs w:val="20"/>
              </w:rPr>
              <w:t>Requiere pipeline de ingesta IoT en tiempo real sobre TimescaleDB con latencia ≤1s. Med-Gemini opera como servicio desacoplado vía adaptador hexagonal. Las alertas se distribuyen simultáneamente al paciente, médico y centro mediante eventos BullMQ/Redis.</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14BC265E">
            <w:pPr>
              <w:spacing w:before="20" w:after="20"/>
              <w:jc w:val="left"/>
              <w:rPr>
                <w:color w:val="auto"/>
              </w:rPr>
            </w:pPr>
            <w:r>
              <w:rPr>
                <w:rFonts w:ascii="Arial" w:hAnsi="Arial" w:eastAsia="Arial" w:cs="Arial"/>
                <w:b w:val="0"/>
                <w:bCs w:val="0"/>
                <w:i w:val="0"/>
                <w:iCs w:val="0"/>
                <w:color w:val="auto"/>
                <w:sz w:val="20"/>
                <w:szCs w:val="20"/>
              </w:rPr>
              <w:t>Alto — Satisface RNF-07 (latencia IoT ≤1s, TimescaleDB), RNF-08 (precisión ≥98%, verificado: 98.4% en prototipo) y RNF-15 (XAI en cada alerta). El prototipo demuestra detección de arritmia con 8–12 minutos de anticipación.</w:t>
            </w:r>
          </w:p>
        </w:tc>
      </w:tr>
      <w:tr w14:paraId="1FEA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2" w:hRule="atLeast"/>
        </w:trPr>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7B579A6F">
            <w:pPr>
              <w:rPr>
                <w:color w:val="auto"/>
              </w:rPr>
            </w:pPr>
            <w:r>
              <w:rPr>
                <w:rFonts w:ascii="Arial" w:hAnsi="Arial" w:eastAsia="Arial" w:cs="Arial"/>
                <w:b w:val="0"/>
                <w:bCs w:val="0"/>
                <w:i w:val="0"/>
                <w:iCs w:val="0"/>
                <w:color w:val="auto"/>
                <w:sz w:val="20"/>
                <w:szCs w:val="20"/>
              </w:rPr>
              <w:t>RF-04, RF-07 / M2–M3: Motor NLP/clínico Med-Gemini con XAI obligatoria</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6ACC99FE">
            <w:pPr>
              <w:spacing w:before="20" w:after="20"/>
              <w:jc w:val="left"/>
              <w:rPr>
                <w:color w:val="auto"/>
              </w:rPr>
            </w:pPr>
            <w:r>
              <w:rPr>
                <w:rFonts w:ascii="Arial" w:hAnsi="Arial" w:eastAsia="Arial" w:cs="Arial"/>
                <w:b w:val="0"/>
                <w:bCs w:val="0"/>
                <w:i w:val="0"/>
                <w:iCs w:val="0"/>
                <w:color w:val="auto"/>
                <w:sz w:val="20"/>
                <w:szCs w:val="20"/>
              </w:rPr>
              <w:t>Med-Gemini está integrado mediante patrón hexagonal con contrato OpenAPI que exige el campo explanation en cada respuesta (RNF-15). El circuit breaker activa modo degradado si la API de Google no responde, manteniendo el sistema operativo sin sugerencias de IA.</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463CA746">
            <w:pPr>
              <w:spacing w:before="20" w:after="20"/>
              <w:jc w:val="left"/>
              <w:rPr>
                <w:color w:val="auto"/>
              </w:rPr>
            </w:pPr>
            <w:r>
              <w:rPr>
                <w:rFonts w:ascii="Arial" w:hAnsi="Arial" w:eastAsia="Arial" w:cs="Arial"/>
                <w:b w:val="0"/>
                <w:bCs w:val="0"/>
                <w:i w:val="0"/>
                <w:iCs w:val="0"/>
                <w:color w:val="auto"/>
                <w:sz w:val="20"/>
                <w:szCs w:val="20"/>
              </w:rPr>
              <w:t>Alto — Satisface RNF-15 (XAI 100% decisiones), RNF-16 (equidad, sin sesgos verificados) y RNF-06 (≤2s). El contrato OpenAPI es el mecanismo arquitectónico que hace XAI no negociable en cada respuesta del motor clínico.</w:t>
            </w:r>
          </w:p>
        </w:tc>
      </w:tr>
      <w:tr w14:paraId="1AD2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2" w:hRule="atLeast"/>
        </w:trPr>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7F2B0384">
            <w:pPr>
              <w:spacing w:before="20" w:after="20"/>
              <w:jc w:val="left"/>
              <w:rPr>
                <w:color w:val="auto"/>
              </w:rPr>
            </w:pPr>
            <w:r>
              <w:rPr>
                <w:rFonts w:ascii="Arial" w:hAnsi="Arial" w:eastAsia="Arial" w:cs="Arial"/>
                <w:b w:val="0"/>
                <w:bCs w:val="0"/>
                <w:i w:val="0"/>
                <w:iCs w:val="0"/>
                <w:color w:val="auto"/>
                <w:sz w:val="20"/>
                <w:szCs w:val="20"/>
              </w:rPr>
              <w:t>RF-22, RF-23 / M5: Logs de auditoría inmutables con hash SHA-256</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3C906D4B">
            <w:pPr>
              <w:spacing w:before="20" w:after="20"/>
              <w:jc w:val="left"/>
              <w:rPr>
                <w:color w:val="auto"/>
              </w:rPr>
            </w:pPr>
            <w:r>
              <w:rPr>
                <w:rFonts w:ascii="Arial" w:hAnsi="Arial" w:eastAsia="Arial" w:cs="Arial"/>
                <w:b w:val="0"/>
                <w:bCs w:val="0"/>
                <w:i w:val="0"/>
                <w:iCs w:val="0"/>
                <w:color w:val="auto"/>
                <w:sz w:val="20"/>
                <w:szCs w:val="20"/>
              </w:rPr>
              <w:t>M5 opera como bus de auditoría transversal: todos los módulos publican eventos de auditoría que M5 consume, hashea con SHA-256 y almacena de forma inmutable en PostgreSQL con pgcrypto. El diseño garantiza que ningún módulo controle su propio rastro, previniendo manipulación.</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6D405BA8">
            <w:pPr>
              <w:spacing w:before="20" w:after="20"/>
              <w:jc w:val="left"/>
              <w:rPr>
                <w:color w:val="auto"/>
              </w:rPr>
            </w:pPr>
            <w:r>
              <w:rPr>
                <w:rFonts w:ascii="Arial" w:hAnsi="Arial" w:eastAsia="Arial" w:cs="Arial"/>
                <w:b w:val="0"/>
                <w:bCs w:val="0"/>
                <w:i w:val="0"/>
                <w:iCs w:val="0"/>
                <w:color w:val="auto"/>
                <w:sz w:val="20"/>
                <w:szCs w:val="20"/>
              </w:rPr>
              <w:t>Alto — Satisface cumplimiento LOPDP, exigencias del MSP Zona 7 (Dr. Marco Villareal, 1.842 logs auditables) y firma digital del DPO. La separación entre productor de eventos y custodio de logs es la decisión arquitectónica que garantiza inmutabilidad real.</w:t>
            </w:r>
          </w:p>
        </w:tc>
      </w:tr>
      <w:tr w14:paraId="6060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2" w:hRule="atLeast"/>
        </w:trPr>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7875AC2D">
            <w:pPr>
              <w:spacing w:before="20" w:after="20"/>
              <w:jc w:val="left"/>
              <w:rPr>
                <w:color w:val="auto"/>
              </w:rPr>
            </w:pPr>
            <w:r>
              <w:rPr>
                <w:rFonts w:ascii="Arial" w:hAnsi="Arial" w:eastAsia="Arial" w:cs="Arial"/>
                <w:b w:val="0"/>
                <w:bCs w:val="0"/>
                <w:i w:val="0"/>
                <w:iCs w:val="0"/>
                <w:color w:val="auto"/>
                <w:sz w:val="20"/>
                <w:szCs w:val="20"/>
              </w:rPr>
              <w:t>RNF-01, RNF-03 / M1: Registro seguro con MFA, verificación IESS y consentimiento LOPDP</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25BF483D">
            <w:pPr>
              <w:spacing w:before="20" w:after="20"/>
              <w:jc w:val="left"/>
              <w:rPr>
                <w:rFonts w:eastAsia="SimSun"/>
                <w:color w:val="auto"/>
                <w:sz w:val="18"/>
                <w:szCs w:val="18"/>
                <w:lang w:val="en-US" w:eastAsia="zh-CN" w:bidi="ar"/>
              </w:rPr>
            </w:pPr>
            <w:r>
              <w:rPr>
                <w:rFonts w:ascii="Arial" w:hAnsi="Arial" w:eastAsia="Arial" w:cs="Arial"/>
                <w:b w:val="0"/>
                <w:bCs w:val="0"/>
                <w:i w:val="0"/>
                <w:iCs w:val="0"/>
                <w:color w:val="auto"/>
                <w:sz w:val="20"/>
                <w:szCs w:val="20"/>
              </w:rPr>
              <w:t>M1 gestiona exclusivamente la identidad: OAuth 2.0 + JWT, MFA mediante Authy, verificación de cobertura IESS (mock HL7/FHIR), y registro auditable del consentimiento LOPDP. El token JWT emitido por M1 es consumido por todos los demás módulos para autorización.</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66B0E3F1">
            <w:pPr>
              <w:spacing w:before="20" w:after="20"/>
              <w:jc w:val="left"/>
              <w:rPr>
                <w:color w:val="auto"/>
              </w:rPr>
            </w:pPr>
            <w:r>
              <w:rPr>
                <w:rFonts w:ascii="Arial" w:hAnsi="Arial" w:eastAsia="Arial" w:cs="Arial"/>
                <w:b w:val="0"/>
                <w:bCs w:val="0"/>
                <w:i w:val="0"/>
                <w:iCs w:val="0"/>
                <w:color w:val="auto"/>
                <w:sz w:val="20"/>
                <w:szCs w:val="20"/>
              </w:rPr>
              <w:t>Alto — Satisface RNF-01 (seguridad MFA obligatoria) y RNF-03 (registro completable en ≤3 pasos, verificado en prototipo). El diseño de M1 como único emisor de tokens garantiza que la política de seguridad sea consistente en todo el sistema.</w:t>
            </w:r>
          </w:p>
        </w:tc>
      </w:tr>
      <w:tr w14:paraId="7F145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2" w:hRule="atLeast"/>
        </w:trPr>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1BD5C4AF">
            <w:pPr>
              <w:spacing w:before="20" w:after="20"/>
              <w:jc w:val="left"/>
              <w:rPr>
                <w:color w:val="auto"/>
              </w:rPr>
            </w:pPr>
            <w:r>
              <w:rPr>
                <w:rFonts w:ascii="Arial" w:hAnsi="Arial" w:eastAsia="Arial" w:cs="Arial"/>
                <w:b w:val="0"/>
                <w:bCs w:val="0"/>
                <w:i w:val="0"/>
                <w:iCs w:val="0"/>
                <w:color w:val="auto"/>
                <w:sz w:val="20"/>
                <w:szCs w:val="20"/>
              </w:rPr>
              <w:t>RNF-09 / M4: Teleconsulta médica con latencia ≤200ms y decisiones Med-Gemini con XAI</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2888AF86">
            <w:pPr>
              <w:spacing w:before="20" w:after="20"/>
              <w:jc w:val="left"/>
              <w:rPr>
                <w:rFonts w:eastAsia="SimSun"/>
                <w:color w:val="auto"/>
                <w:sz w:val="18"/>
                <w:szCs w:val="18"/>
                <w:lang w:val="en-US" w:eastAsia="zh-CN" w:bidi="ar"/>
              </w:rPr>
            </w:pPr>
            <w:r>
              <w:rPr>
                <w:rFonts w:ascii="Arial" w:hAnsi="Arial" w:eastAsia="Arial" w:cs="Arial"/>
                <w:b w:val="0"/>
                <w:bCs w:val="0"/>
                <w:i w:val="0"/>
                <w:iCs w:val="0"/>
                <w:color w:val="auto"/>
                <w:sz w:val="20"/>
                <w:szCs w:val="20"/>
              </w:rPr>
              <w:t>M4 gestiona el canal WebRTC para video/audio sin que Med-Gemini esté en el path crítico del stream. Las sugerencias diagnósticas con XAI se presentan en panel paralelo. El médico puede aceptar, modificar o rechazar cada sugerencia; cada decisión se registra en M5.</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22EB403E">
            <w:pPr>
              <w:spacing w:before="20" w:after="20"/>
              <w:jc w:val="left"/>
              <w:rPr>
                <w:color w:val="auto"/>
              </w:rPr>
            </w:pPr>
            <w:r>
              <w:rPr>
                <w:rFonts w:ascii="Arial" w:hAnsi="Arial" w:eastAsia="Arial" w:cs="Arial"/>
                <w:b w:val="0"/>
                <w:bCs w:val="0"/>
                <w:i w:val="0"/>
                <w:iCs w:val="0"/>
                <w:color w:val="auto"/>
                <w:sz w:val="20"/>
                <w:szCs w:val="20"/>
              </w:rPr>
              <w:t>Alto — Satisface RNF-09 (latencia ≤200ms, verificado: 145ms en prototipo), RNF-15 (XAI visible al médico) y el requisito de autoridad médica: Med-Gemini sugiere, el médico decide, el sistema registra.</w:t>
            </w:r>
          </w:p>
        </w:tc>
      </w:tr>
    </w:tbl>
    <w:p w14:paraId="1D2EC3F0">
      <w:pPr>
        <w:pStyle w:val="2"/>
        <w:rPr>
          <w:color w:val="auto"/>
        </w:rPr>
      </w:pPr>
    </w:p>
    <w:p w14:paraId="7D8714CA">
      <w:pPr>
        <w:pStyle w:val="2"/>
        <w:rPr>
          <w:color w:val="auto"/>
        </w:rPr>
      </w:pPr>
    </w:p>
    <w:p w14:paraId="4DD30339">
      <w:pPr>
        <w:pStyle w:val="2"/>
        <w:numPr>
          <w:ilvl w:val="0"/>
          <w:numId w:val="2"/>
        </w:numPr>
        <w:rPr>
          <w:color w:val="auto"/>
        </w:rPr>
      </w:pPr>
      <w:r>
        <w:rPr>
          <w:color w:val="auto"/>
        </w:rPr>
        <w:t>Preocupaciones, riesgos y restricciones desde mi rol</w:t>
      </w:r>
    </w:p>
    <w:p w14:paraId="32DBD3AE">
      <w:pPr>
        <w:pStyle w:val="19"/>
        <w:numPr>
          <w:ilvl w:val="0"/>
          <w:numId w:val="1"/>
        </w:numPr>
        <w:spacing w:before="40" w:after="40"/>
        <w:jc w:val="both"/>
        <w:rPr>
          <w:color w:val="auto"/>
        </w:rPr>
      </w:pPr>
      <w:r>
        <w:rPr>
          <w:rFonts w:ascii="Arial" w:hAnsi="Arial" w:eastAsia="Arial" w:cs="Arial"/>
          <w:b/>
          <w:bCs/>
          <w:color w:val="auto"/>
          <w:sz w:val="22"/>
          <w:szCs w:val="22"/>
        </w:rPr>
        <w:t xml:space="preserve">Desacoplamiento MLOps: </w:t>
      </w:r>
      <w:r>
        <w:rPr>
          <w:rFonts w:ascii="Arial" w:hAnsi="Arial" w:eastAsia="Arial" w:cs="Arial"/>
          <w:color w:val="auto"/>
          <w:sz w:val="22"/>
          <w:szCs w:val="22"/>
        </w:rPr>
        <w:t>Ciclo de vida independiente de Med-Gemini vs. ciclo de vida del sistema</w:t>
      </w:r>
    </w:p>
    <w:p w14:paraId="67930C18">
      <w:pPr>
        <w:spacing w:before="60" w:after="60"/>
        <w:jc w:val="left"/>
        <w:rPr>
          <w:color w:val="auto"/>
        </w:rPr>
      </w:pPr>
      <w:r>
        <w:rPr>
          <w:rFonts w:ascii="Arial" w:hAnsi="Arial" w:eastAsia="Arial" w:cs="Arial"/>
          <w:b w:val="0"/>
          <w:bCs w:val="0"/>
          <w:i w:val="0"/>
          <w:iCs w:val="0"/>
          <w:color w:val="auto"/>
          <w:sz w:val="22"/>
          <w:szCs w:val="22"/>
        </w:rPr>
        <w:t>La arquitectura hexagonal aprobada garantiza que el ciclo de vida de Med-Gemini sea completamente independiente del sistema. El adaptador puede ser reemplazado o versionado sin downtime. Sin embargo, el equipo MLOps debe mantener vigente el circuit breaker y el modo degradado para garantizar que el sistema opere sin interrupciones ante actualizaciones del modelo.</w:t>
      </w:r>
    </w:p>
    <w:p w14:paraId="4CDC01E5">
      <w:pPr>
        <w:spacing w:before="40" w:after="40"/>
        <w:jc w:val="left"/>
        <w:rPr>
          <w:color w:val="auto"/>
        </w:rPr>
      </w:pPr>
    </w:p>
    <w:p w14:paraId="06592C14">
      <w:pPr>
        <w:pStyle w:val="19"/>
        <w:numPr>
          <w:ilvl w:val="0"/>
          <w:numId w:val="1"/>
        </w:numPr>
        <w:spacing w:before="40" w:after="40"/>
        <w:jc w:val="left"/>
        <w:rPr>
          <w:color w:val="auto"/>
        </w:rPr>
      </w:pPr>
      <w:r>
        <w:rPr>
          <w:rFonts w:ascii="Arial" w:hAnsi="Arial" w:eastAsia="Arial" w:cs="Arial"/>
          <w:b/>
          <w:bCs/>
          <w:color w:val="auto"/>
          <w:sz w:val="22"/>
          <w:szCs w:val="22"/>
        </w:rPr>
        <w:t xml:space="preserve">Latencia en cascada: </w:t>
      </w:r>
      <w:r>
        <w:rPr>
          <w:rFonts w:ascii="Arial" w:hAnsi="Arial" w:eastAsia="Arial" w:cs="Arial"/>
          <w:color w:val="auto"/>
          <w:sz w:val="22"/>
          <w:szCs w:val="22"/>
        </w:rPr>
        <w:t>Latencia acumulada en el flujo de emergencia M2 → M3 → M4</w:t>
      </w:r>
    </w:p>
    <w:p w14:paraId="5AE4A0E7">
      <w:pPr>
        <w:spacing w:before="60" w:after="60"/>
        <w:jc w:val="left"/>
        <w:rPr>
          <w:color w:val="auto"/>
        </w:rPr>
      </w:pPr>
      <w:r>
        <w:rPr>
          <w:rFonts w:ascii="Arial" w:hAnsi="Arial" w:eastAsia="Arial" w:cs="Arial"/>
          <w:b w:val="0"/>
          <w:bCs w:val="0"/>
          <w:i w:val="0"/>
          <w:iCs w:val="0"/>
          <w:color w:val="auto"/>
          <w:sz w:val="22"/>
          <w:szCs w:val="22"/>
        </w:rPr>
        <w:t>El flujo crítico involucra tres módulos con restricciones de latencia independientes: Med-Gemini XAI ≤2s (RNF-06), IoT ≤1s (M3) y video ≤200ms (RNF-09). La arquitectura orientada a eventos con BullMQ garantiza que estos módulos operen en paralelo, no en secuencia, eliminando la acumulación de latencia. El prototipo verifica estos valores: XAI 1.1s, IoT &lt;1s, video 145ms.</w:t>
      </w:r>
    </w:p>
    <w:p w14:paraId="4B89FB63">
      <w:pPr>
        <w:spacing w:before="40" w:after="40"/>
        <w:jc w:val="left"/>
        <w:rPr>
          <w:color w:val="auto"/>
        </w:rPr>
      </w:pPr>
    </w:p>
    <w:p w14:paraId="2E7DFABA">
      <w:pPr>
        <w:pStyle w:val="19"/>
        <w:numPr>
          <w:ilvl w:val="0"/>
          <w:numId w:val="1"/>
        </w:numPr>
        <w:spacing w:before="40" w:after="40"/>
        <w:jc w:val="left"/>
        <w:rPr>
          <w:color w:val="auto"/>
        </w:rPr>
      </w:pPr>
      <w:r>
        <w:rPr>
          <w:rFonts w:ascii="Arial" w:hAnsi="Arial" w:eastAsia="Arial" w:cs="Arial"/>
          <w:b/>
          <w:bCs/>
          <w:color w:val="auto"/>
          <w:sz w:val="22"/>
          <w:szCs w:val="22"/>
        </w:rPr>
        <w:t xml:space="preserve">Integridad de M5: </w:t>
      </w:r>
      <w:r>
        <w:rPr>
          <w:rFonts w:ascii="Arial" w:hAnsi="Arial" w:eastAsia="Arial" w:cs="Arial"/>
          <w:color w:val="auto"/>
          <w:sz w:val="22"/>
          <w:szCs w:val="22"/>
        </w:rPr>
        <w:t>Consistencia del log de auditoría ante alta concurrencia</w:t>
      </w:r>
    </w:p>
    <w:p w14:paraId="3475A11A">
      <w:pPr>
        <w:spacing w:before="60" w:after="60"/>
        <w:jc w:val="left"/>
        <w:rPr>
          <w:color w:val="auto"/>
        </w:rPr>
      </w:pPr>
      <w:r>
        <w:rPr>
          <w:rFonts w:ascii="Arial" w:hAnsi="Arial" w:eastAsia="Arial" w:cs="Arial"/>
          <w:b w:val="0"/>
          <w:bCs w:val="0"/>
          <w:i w:val="0"/>
          <w:iCs w:val="0"/>
          <w:color w:val="auto"/>
          <w:sz w:val="22"/>
          <w:szCs w:val="22"/>
        </w:rPr>
        <w:t>El servicio M5 debe procesar eventos de auditoría de todos los módulos simultáneamente sin degradar el rendimiento del sistema principal. La arquitectura de bus de auditoría transversal asíncrono resuelve esto: los módulos publican eventos sin esperar confirmación de M5, y M5 los procesa y hashea de forma independiente con SHA-256 en PostgreSQL.</w:t>
      </w:r>
    </w:p>
    <w:p w14:paraId="63568C9A">
      <w:pPr>
        <w:spacing w:before="40" w:after="40"/>
        <w:jc w:val="left"/>
        <w:rPr>
          <w:color w:val="auto"/>
        </w:rPr>
      </w:pPr>
    </w:p>
    <w:p w14:paraId="46C571AE">
      <w:pPr>
        <w:pStyle w:val="19"/>
        <w:numPr>
          <w:ilvl w:val="0"/>
          <w:numId w:val="1"/>
        </w:numPr>
        <w:spacing w:before="40" w:after="40"/>
        <w:jc w:val="left"/>
        <w:rPr>
          <w:color w:val="auto"/>
        </w:rPr>
      </w:pPr>
      <w:r>
        <w:rPr>
          <w:rFonts w:ascii="Arial" w:hAnsi="Arial" w:eastAsia="Arial" w:cs="Arial"/>
          <w:b/>
          <w:bCs/>
          <w:color w:val="auto"/>
          <w:sz w:val="22"/>
          <w:szCs w:val="22"/>
        </w:rPr>
        <w:t xml:space="preserve">Dependencias externas: </w:t>
      </w:r>
      <w:r>
        <w:rPr>
          <w:rFonts w:ascii="Arial" w:hAnsi="Arial" w:eastAsia="Arial" w:cs="Arial"/>
          <w:color w:val="auto"/>
          <w:sz w:val="22"/>
          <w:szCs w:val="22"/>
        </w:rPr>
        <w:t>Integración con API IESS sin SLA garantizado</w:t>
      </w:r>
    </w:p>
    <w:p w14:paraId="07F5C8B5">
      <w:pPr>
        <w:spacing w:before="60" w:after="60"/>
        <w:jc w:val="left"/>
        <w:rPr>
          <w:color w:val="auto"/>
        </w:rPr>
      </w:pPr>
      <w:r>
        <w:rPr>
          <w:rFonts w:ascii="Arial" w:hAnsi="Arial" w:eastAsia="Arial" w:cs="Arial"/>
          <w:b w:val="0"/>
          <w:bCs w:val="0"/>
          <w:i w:val="0"/>
          <w:iCs w:val="0"/>
          <w:color w:val="auto"/>
          <w:sz w:val="22"/>
          <w:szCs w:val="22"/>
        </w:rPr>
        <w:t>La API del IESS se maneja mediante mock HL7/FHIR en el prototipo v3.2. La arquitectura implementa el patrón Anti-Corruption Layer con circuit breaker: si el IESS no responde, el sistema continúa con validación de elegibilidad pendiente, registra el intento y reintenta con backoff exponencial, sin bloquear la atención al paciente.</w:t>
      </w:r>
    </w:p>
    <w:p w14:paraId="44914AF8">
      <w:pPr>
        <w:spacing w:before="40" w:after="40"/>
        <w:jc w:val="left"/>
        <w:rPr>
          <w:color w:val="auto"/>
        </w:rPr>
      </w:pPr>
    </w:p>
    <w:p w14:paraId="5CC0444F">
      <w:pPr>
        <w:pStyle w:val="19"/>
        <w:numPr>
          <w:ilvl w:val="0"/>
          <w:numId w:val="1"/>
        </w:numPr>
        <w:spacing w:before="40" w:after="40"/>
        <w:jc w:val="left"/>
        <w:rPr>
          <w:color w:val="auto"/>
        </w:rPr>
      </w:pPr>
      <w:r>
        <w:rPr>
          <w:rFonts w:ascii="Arial" w:hAnsi="Arial" w:eastAsia="Arial" w:cs="Arial"/>
          <w:b/>
          <w:bCs/>
          <w:color w:val="auto"/>
          <w:sz w:val="22"/>
          <w:szCs w:val="22"/>
        </w:rPr>
        <w:t xml:space="preserve">Nueva preocupación: </w:t>
      </w:r>
      <w:r>
        <w:rPr>
          <w:rFonts w:ascii="Arial" w:hAnsi="Arial" w:eastAsia="Arial" w:cs="Arial"/>
          <w:color w:val="auto"/>
          <w:sz w:val="22"/>
          <w:szCs w:val="22"/>
        </w:rPr>
        <w:t>Accesibilidad WCAG 2.1 AA como restricción transversal del frontend</w:t>
      </w:r>
    </w:p>
    <w:p w14:paraId="46B24224">
      <w:pPr>
        <w:spacing w:before="60" w:after="60"/>
        <w:jc w:val="left"/>
        <w:rPr>
          <w:color w:val="auto"/>
        </w:rPr>
      </w:pPr>
      <w:r>
        <w:rPr>
          <w:rFonts w:ascii="Arial" w:hAnsi="Arial" w:eastAsia="Arial" w:cs="Arial"/>
          <w:b w:val="0"/>
          <w:bCs w:val="0"/>
          <w:i w:val="0"/>
          <w:iCs w:val="0"/>
          <w:color w:val="auto"/>
          <w:sz w:val="22"/>
          <w:szCs w:val="22"/>
        </w:rPr>
        <w:t>El prototipo implementa el design system SAMR con cumplimiento WCAG 2.1 AA: fuentes ≥14px en chatbot y ≥16px en dashboard del paciente, botones ≥44px táctiles, contraste ≥4.5:1, y navegación por teclado completa. Esto fue incorporado como restricción arquitectónica del Frontend React PWA, no como adaptación posterior.</w:t>
      </w:r>
    </w:p>
    <w:p w14:paraId="390CB77E">
      <w:pPr>
        <w:pStyle w:val="2"/>
        <w:numPr>
          <w:ilvl w:val="0"/>
          <w:numId w:val="0"/>
        </w:numPr>
        <w:rPr>
          <w:color w:val="0D0D0D" w:themeColor="text1" w:themeTint="F2"/>
          <w14:textFill>
            <w14:solidFill>
              <w14:schemeClr w14:val="tx1">
                <w14:lumMod w14:val="95000"/>
                <w14:lumOff w14:val="5000"/>
              </w14:schemeClr>
            </w14:solidFill>
          </w14:textFill>
        </w:rPr>
      </w:pPr>
    </w:p>
    <w:p w14:paraId="7FAF5CEE">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4.2 Riesgos identificados y Nivel de severidad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40"/>
        <w:gridCol w:w="2520"/>
        <w:gridCol w:w="2520"/>
      </w:tblGrid>
      <w:tr w14:paraId="494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058D13F8">
            <w:pPr>
              <w:jc w:val="center"/>
              <w:rPr>
                <w:color w:val="0D0D0D" w:themeColor="text1" w:themeTint="F2"/>
                <w14:textFill>
                  <w14:solidFill>
                    <w14:schemeClr w14:val="tx1">
                      <w14:lumMod w14:val="95000"/>
                      <w14:lumOff w14:val="5000"/>
                    </w14:schemeClr>
                  </w14:solidFill>
                </w14:textFill>
              </w:rPr>
            </w:pPr>
            <w:r>
              <w:rPr>
                <w:b/>
                <w:bCs/>
                <w:color w:val="0D0D0D" w:themeColor="text1" w:themeTint="F2"/>
                <w:sz w:val="18"/>
                <w:szCs w:val="18"/>
                <w14:textFill>
                  <w14:solidFill>
                    <w14:schemeClr w14:val="tx1">
                      <w14:lumMod w14:val="95000"/>
                      <w14:lumOff w14:val="5000"/>
                    </w14:schemeClr>
                  </w14:solidFill>
                </w14:textFill>
              </w:rPr>
              <w:t>Riesgo</w:t>
            </w:r>
          </w:p>
        </w:tc>
        <w:tc>
          <w:tcPr>
            <w:tcW w:w="252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1043CE2A">
            <w:pPr>
              <w:jc w:val="center"/>
              <w:rPr>
                <w:color w:val="0D0D0D" w:themeColor="text1" w:themeTint="F2"/>
                <w14:textFill>
                  <w14:solidFill>
                    <w14:schemeClr w14:val="tx1">
                      <w14:lumMod w14:val="95000"/>
                      <w14:lumOff w14:val="5000"/>
                    </w14:schemeClr>
                  </w14:solidFill>
                </w14:textFill>
              </w:rPr>
            </w:pPr>
            <w:r>
              <w:rPr>
                <w:b/>
                <w:bCs/>
                <w:color w:val="0D0D0D" w:themeColor="text1" w:themeTint="F2"/>
                <w:sz w:val="18"/>
                <w:szCs w:val="18"/>
                <w14:textFill>
                  <w14:solidFill>
                    <w14:schemeClr w14:val="tx1">
                      <w14:lumMod w14:val="95000"/>
                      <w14:lumOff w14:val="5000"/>
                    </w14:schemeClr>
                  </w14:solidFill>
                </w14:textFill>
              </w:rPr>
              <w:t>Severidad</w:t>
            </w:r>
          </w:p>
        </w:tc>
        <w:tc>
          <w:tcPr>
            <w:tcW w:w="252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1448D629">
            <w:pPr>
              <w:jc w:val="center"/>
              <w:rPr>
                <w:color w:val="0D0D0D" w:themeColor="text1" w:themeTint="F2"/>
                <w14:textFill>
                  <w14:solidFill>
                    <w14:schemeClr w14:val="tx1">
                      <w14:lumMod w14:val="95000"/>
                      <w14:lumOff w14:val="5000"/>
                    </w14:schemeClr>
                  </w14:solidFill>
                </w14:textFill>
              </w:rPr>
            </w:pPr>
            <w:r>
              <w:rPr>
                <w:b/>
                <w:bCs/>
                <w:color w:val="0D0D0D" w:themeColor="text1" w:themeTint="F2"/>
                <w:sz w:val="18"/>
                <w:szCs w:val="18"/>
                <w14:textFill>
                  <w14:solidFill>
                    <w14:schemeClr w14:val="tx1">
                      <w14:lumMod w14:val="95000"/>
                      <w14:lumOff w14:val="5000"/>
                    </w14:schemeClr>
                  </w14:solidFill>
                </w14:textFill>
              </w:rPr>
              <w:t>Probabilidad</w:t>
            </w:r>
          </w:p>
        </w:tc>
      </w:tr>
      <w:tr w14:paraId="5461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1B903C69">
            <w:pPr>
              <w:spacing w:before="20" w:after="20"/>
              <w:jc w:val="left"/>
              <w:rPr>
                <w:i/>
                <w:iCs/>
                <w:color w:val="0D0D0D" w:themeColor="text1" w:themeTint="F2"/>
                <w:sz w:val="18"/>
                <w:szCs w:val="18"/>
                <w14:textFill>
                  <w14:solidFill>
                    <w14:schemeClr w14:val="tx1">
                      <w14:lumMod w14:val="95000"/>
                      <w14:lumOff w14:val="5000"/>
                    </w14:schemeClr>
                  </w14:solidFill>
                </w14:textFill>
              </w:rPr>
            </w:pPr>
            <w:r>
              <w:rPr>
                <w:rFonts w:ascii="Arial" w:hAnsi="Arial" w:eastAsia="Arial" w:cs="Arial"/>
                <w:b w:val="0"/>
                <w:bCs w:val="0"/>
                <w:i w:val="0"/>
                <w:iCs w:val="0"/>
                <w:color w:val="0F172A"/>
                <w:sz w:val="20"/>
                <w:szCs w:val="20"/>
              </w:rPr>
              <w:t>Acoplamiento entre Med-Gemini y la lógica de negocio impidiendo reentrenamiento sin downtime.</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076A3721">
            <w:pPr>
              <w:jc w:val="center"/>
              <w:rPr>
                <w:color w:val="0D0D0D" w:themeColor="text1" w:themeTint="F2"/>
                <w14:textFill>
                  <w14:solidFill>
                    <w14:schemeClr w14:val="tx1">
                      <w14:lumMod w14:val="95000"/>
                      <w14:lumOff w14:val="5000"/>
                    </w14:schemeClr>
                  </w14:solidFill>
                </w14:textFill>
              </w:rPr>
            </w:pPr>
            <w:r>
              <w:rPr>
                <w:i/>
                <w:iCs/>
                <w:color w:val="0D0D0D" w:themeColor="text1" w:themeTint="F2"/>
                <w:sz w:val="18"/>
                <w:szCs w:val="18"/>
                <w14:textFill>
                  <w14:solidFill>
                    <w14:schemeClr w14:val="tx1">
                      <w14:lumMod w14:val="95000"/>
                      <w14:lumOff w14:val="5000"/>
                    </w14:schemeClr>
                  </w14:solidFill>
                </w14:textFill>
              </w:rPr>
              <w:t>Alta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10D19C32">
            <w:pPr>
              <w:jc w:val="center"/>
              <w:rPr>
                <w:color w:val="0D0D0D" w:themeColor="text1" w:themeTint="F2"/>
                <w14:textFill>
                  <w14:solidFill>
                    <w14:schemeClr w14:val="tx1">
                      <w14:lumMod w14:val="95000"/>
                      <w14:lumOff w14:val="5000"/>
                    </w14:schemeClr>
                  </w14:solidFill>
                </w14:textFill>
              </w:rPr>
            </w:pPr>
            <w:r>
              <w:rPr>
                <w:i/>
                <w:iCs/>
                <w:color w:val="0D0D0D" w:themeColor="text1" w:themeTint="F2"/>
                <w:sz w:val="18"/>
                <w:szCs w:val="18"/>
                <w14:textFill>
                  <w14:solidFill>
                    <w14:schemeClr w14:val="tx1">
                      <w14:lumMod w14:val="95000"/>
                      <w14:lumOff w14:val="5000"/>
                    </w14:schemeClr>
                  </w14:solidFill>
                </w14:textFill>
              </w:rPr>
              <w:t>Media</w:t>
            </w:r>
          </w:p>
        </w:tc>
      </w:tr>
      <w:tr w14:paraId="2A08C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4C16BF48">
            <w:pPr>
              <w:spacing w:before="20" w:after="20"/>
              <w:jc w:val="left"/>
              <w:rPr>
                <w:i/>
                <w:iCs/>
                <w:color w:val="0D0D0D" w:themeColor="text1" w:themeTint="F2"/>
                <w:sz w:val="18"/>
                <w:szCs w:val="18"/>
                <w14:textFill>
                  <w14:solidFill>
                    <w14:schemeClr w14:val="tx1">
                      <w14:lumMod w14:val="95000"/>
                      <w14:lumOff w14:val="5000"/>
                    </w14:schemeClr>
                  </w14:solidFill>
                </w14:textFill>
              </w:rPr>
            </w:pPr>
            <w:r>
              <w:rPr>
                <w:rFonts w:ascii="Arial" w:hAnsi="Arial" w:eastAsia="Arial" w:cs="Arial"/>
                <w:b w:val="0"/>
                <w:bCs w:val="0"/>
                <w:i w:val="0"/>
                <w:iCs w:val="0"/>
                <w:color w:val="0F172A"/>
                <w:sz w:val="20"/>
                <w:szCs w:val="20"/>
              </w:rPr>
              <w:t>Latencia acumulada en flujo de emergencia que supere umbrales de RNF-05, RNF-06, RNF-09.</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1FB50772">
            <w:pPr>
              <w:jc w:val="center"/>
              <w:rPr>
                <w:i/>
                <w:iCs/>
                <w:color w:val="0D0D0D" w:themeColor="text1" w:themeTint="F2"/>
                <w:sz w:val="18"/>
                <w:szCs w:val="18"/>
                <w14:textFill>
                  <w14:solidFill>
                    <w14:schemeClr w14:val="tx1">
                      <w14:lumMod w14:val="95000"/>
                      <w14:lumOff w14:val="5000"/>
                    </w14:schemeClr>
                  </w14:solidFill>
                </w14:textFill>
              </w:rPr>
            </w:pPr>
            <w:r>
              <w:rPr>
                <w:i/>
                <w:iCs/>
                <w:color w:val="0D0D0D" w:themeColor="text1" w:themeTint="F2"/>
                <w:sz w:val="18"/>
                <w:szCs w:val="18"/>
                <w14:textFill>
                  <w14:solidFill>
                    <w14:schemeClr w14:val="tx1">
                      <w14:lumMod w14:val="95000"/>
                      <w14:lumOff w14:val="5000"/>
                    </w14:schemeClr>
                  </w14:solidFill>
                </w14:textFill>
              </w:rPr>
              <w:t>Alta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7EEB7587">
            <w:pPr>
              <w:jc w:val="center"/>
              <w:rPr>
                <w:i/>
                <w:iCs/>
                <w:color w:val="0D0D0D" w:themeColor="text1" w:themeTint="F2"/>
                <w:sz w:val="18"/>
                <w:szCs w:val="18"/>
                <w14:textFill>
                  <w14:solidFill>
                    <w14:schemeClr w14:val="tx1">
                      <w14:lumMod w14:val="95000"/>
                      <w14:lumOff w14:val="5000"/>
                    </w14:schemeClr>
                  </w14:solidFill>
                </w14:textFill>
              </w:rPr>
            </w:pPr>
            <w:r>
              <w:rPr>
                <w:i/>
                <w:iCs/>
                <w:color w:val="0D0D0D" w:themeColor="text1" w:themeTint="F2"/>
                <w:sz w:val="18"/>
                <w:szCs w:val="18"/>
                <w14:textFill>
                  <w14:solidFill>
                    <w14:schemeClr w14:val="tx1">
                      <w14:lumMod w14:val="95000"/>
                      <w14:lumOff w14:val="5000"/>
                    </w14:schemeClr>
                  </w14:solidFill>
                </w14:textFill>
              </w:rPr>
              <w:t>Media-Alta</w:t>
            </w:r>
          </w:p>
        </w:tc>
      </w:tr>
      <w:tr w14:paraId="367A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2847EFAE">
            <w:pPr>
              <w:spacing w:before="20" w:after="20"/>
              <w:jc w:val="left"/>
              <w:rPr>
                <w:i/>
                <w:iCs/>
                <w:color w:val="0D0D0D" w:themeColor="text1" w:themeTint="F2"/>
                <w:sz w:val="18"/>
                <w:szCs w:val="18"/>
                <w14:textFill>
                  <w14:solidFill>
                    <w14:schemeClr w14:val="tx1">
                      <w14:lumMod w14:val="95000"/>
                      <w14:lumOff w14:val="5000"/>
                    </w14:schemeClr>
                  </w14:solidFill>
                </w14:textFill>
              </w:rPr>
            </w:pPr>
            <w:r>
              <w:rPr>
                <w:rFonts w:ascii="Arial" w:hAnsi="Arial" w:eastAsia="Arial" w:cs="Arial"/>
                <w:b w:val="0"/>
                <w:bCs w:val="0"/>
                <w:i w:val="0"/>
                <w:iCs w:val="0"/>
                <w:color w:val="0F172A"/>
                <w:sz w:val="20"/>
                <w:szCs w:val="20"/>
              </w:rPr>
              <w:t>Fallo en cadena por no disponibilidad de API IESS sin degradación elegante arquitectónicamente diseñada.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6AC2A54D">
            <w:pPr>
              <w:jc w:val="center"/>
              <w:rPr>
                <w:i/>
                <w:iCs/>
                <w:color w:val="0D0D0D" w:themeColor="text1" w:themeTint="F2"/>
                <w:sz w:val="18"/>
                <w:szCs w:val="18"/>
                <w:lang w:val="es-ES"/>
                <w14:textFill>
                  <w14:solidFill>
                    <w14:schemeClr w14:val="tx1">
                      <w14:lumMod w14:val="95000"/>
                      <w14:lumOff w14:val="5000"/>
                    </w14:schemeClr>
                  </w14:solidFill>
                </w14:textFill>
              </w:rPr>
            </w:pPr>
            <w:r>
              <w:rPr>
                <w:i/>
                <w:iCs/>
                <w:color w:val="0D0D0D" w:themeColor="text1" w:themeTint="F2"/>
                <w:sz w:val="18"/>
                <w:szCs w:val="18"/>
                <w:lang w:val="es-ES"/>
                <w14:textFill>
                  <w14:solidFill>
                    <w14:schemeClr w14:val="tx1">
                      <w14:lumMod w14:val="95000"/>
                      <w14:lumOff w14:val="5000"/>
                    </w14:schemeClr>
                  </w14:solidFill>
                </w14:textFill>
              </w:rPr>
              <w:t xml:space="preserve">Alta </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484C6991">
            <w:pPr>
              <w:jc w:val="center"/>
              <w:rPr>
                <w:rFonts w:hint="default"/>
                <w:i/>
                <w:iCs/>
                <w:color w:val="0D0D0D" w:themeColor="text1" w:themeTint="F2"/>
                <w:sz w:val="18"/>
                <w:szCs w:val="18"/>
                <w:lang w:val="es-ES"/>
                <w14:textFill>
                  <w14:solidFill>
                    <w14:schemeClr w14:val="tx1">
                      <w14:lumMod w14:val="95000"/>
                      <w14:lumOff w14:val="5000"/>
                    </w14:schemeClr>
                  </w14:solidFill>
                </w14:textFill>
              </w:rPr>
            </w:pPr>
            <w:r>
              <w:rPr>
                <w:rFonts w:hint="default"/>
                <w:i/>
                <w:iCs/>
                <w:color w:val="0D0D0D" w:themeColor="text1" w:themeTint="F2"/>
                <w:sz w:val="18"/>
                <w:szCs w:val="18"/>
                <w:lang w:val="es-ES"/>
                <w14:textFill>
                  <w14:solidFill>
                    <w14:schemeClr w14:val="tx1">
                      <w14:lumMod w14:val="95000"/>
                      <w14:lumOff w14:val="5000"/>
                    </w14:schemeClr>
                  </w14:solidFill>
                </w14:textFill>
              </w:rPr>
              <w:t>Media</w:t>
            </w:r>
          </w:p>
        </w:tc>
      </w:tr>
      <w:tr w14:paraId="6F73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09988805">
            <w:pPr>
              <w:spacing w:before="20" w:after="20"/>
              <w:jc w:val="left"/>
              <w:rPr>
                <w:i/>
                <w:iCs/>
                <w:color w:val="0D0D0D" w:themeColor="text1" w:themeTint="F2"/>
                <w:sz w:val="18"/>
                <w:szCs w:val="18"/>
                <w14:textFill>
                  <w14:solidFill>
                    <w14:schemeClr w14:val="tx1">
                      <w14:lumMod w14:val="95000"/>
                      <w14:lumOff w14:val="5000"/>
                    </w14:schemeClr>
                  </w14:solidFill>
                </w14:textFill>
              </w:rPr>
            </w:pPr>
            <w:r>
              <w:rPr>
                <w:rFonts w:ascii="Arial" w:hAnsi="Arial" w:eastAsia="Arial" w:cs="Arial"/>
                <w:b w:val="0"/>
                <w:bCs w:val="0"/>
                <w:i w:val="0"/>
                <w:iCs w:val="0"/>
                <w:color w:val="0F172A"/>
                <w:sz w:val="20"/>
                <w:szCs w:val="20"/>
              </w:rPr>
              <w:t>Incumplimiento de RNF-15 (XAI 100%) por ausencia de contrato API explícito que exija explanation en cada respuesta de Med-Gemini.</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3BA6E509">
            <w:pPr>
              <w:jc w:val="center"/>
              <w:rPr>
                <w:i/>
                <w:iCs/>
                <w:color w:val="0D0D0D" w:themeColor="text1" w:themeTint="F2"/>
                <w:sz w:val="18"/>
                <w:szCs w:val="18"/>
                <w:lang w:val="es-ES"/>
                <w14:textFill>
                  <w14:solidFill>
                    <w14:schemeClr w14:val="tx1">
                      <w14:lumMod w14:val="95000"/>
                      <w14:lumOff w14:val="5000"/>
                    </w14:schemeClr>
                  </w14:solidFill>
                </w14:textFill>
              </w:rPr>
            </w:pPr>
            <w:r>
              <w:rPr>
                <w:i/>
                <w:iCs/>
                <w:color w:val="0D0D0D" w:themeColor="text1" w:themeTint="F2"/>
                <w:sz w:val="18"/>
                <w:szCs w:val="18"/>
                <w:lang w:val="es-ES"/>
                <w14:textFill>
                  <w14:solidFill>
                    <w14:schemeClr w14:val="tx1">
                      <w14:lumMod w14:val="95000"/>
                      <w14:lumOff w14:val="5000"/>
                    </w14:schemeClr>
                  </w14:solidFill>
                </w14:textFill>
              </w:rPr>
              <w:t>Alta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0CAD4D1C">
            <w:pPr>
              <w:jc w:val="center"/>
              <w:rPr>
                <w:i/>
                <w:iCs/>
                <w:color w:val="0D0D0D" w:themeColor="text1" w:themeTint="F2"/>
                <w:sz w:val="18"/>
                <w:szCs w:val="18"/>
                <w:lang w:val="es-ES"/>
                <w14:textFill>
                  <w14:solidFill>
                    <w14:schemeClr w14:val="tx1">
                      <w14:lumMod w14:val="95000"/>
                      <w14:lumOff w14:val="5000"/>
                    </w14:schemeClr>
                  </w14:solidFill>
                </w14:textFill>
              </w:rPr>
            </w:pPr>
            <w:r>
              <w:rPr>
                <w:i/>
                <w:iCs/>
                <w:color w:val="0D0D0D" w:themeColor="text1" w:themeTint="F2"/>
                <w:sz w:val="18"/>
                <w:szCs w:val="18"/>
                <w:lang w:val="es-ES"/>
                <w14:textFill>
                  <w14:solidFill>
                    <w14:schemeClr w14:val="tx1">
                      <w14:lumMod w14:val="95000"/>
                      <w14:lumOff w14:val="5000"/>
                    </w14:schemeClr>
                  </w14:solidFill>
                </w14:textFill>
              </w:rPr>
              <w:t>Media</w:t>
            </w:r>
          </w:p>
        </w:tc>
      </w:tr>
      <w:tr w14:paraId="71F1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4D6A0C0D">
            <w:pPr>
              <w:spacing w:before="20" w:after="20"/>
              <w:jc w:val="left"/>
              <w:rPr>
                <w:i/>
                <w:iCs/>
                <w:color w:val="0D0D0D" w:themeColor="text1" w:themeTint="F2"/>
                <w:sz w:val="18"/>
                <w:szCs w:val="18"/>
                <w14:textFill>
                  <w14:solidFill>
                    <w14:schemeClr w14:val="tx1">
                      <w14:lumMod w14:val="95000"/>
                      <w14:lumOff w14:val="5000"/>
                    </w14:schemeClr>
                  </w14:solidFill>
                </w14:textFill>
              </w:rPr>
            </w:pPr>
            <w:r>
              <w:rPr>
                <w:rFonts w:ascii="Arial" w:hAnsi="Arial" w:eastAsia="Arial" w:cs="Arial"/>
                <w:b w:val="0"/>
                <w:bCs w:val="0"/>
                <w:i w:val="0"/>
                <w:iCs w:val="0"/>
                <w:color w:val="0F172A"/>
                <w:sz w:val="20"/>
                <w:szCs w:val="20"/>
              </w:rPr>
              <w:t>Deriva de calidad visual y accesibilidad entre módulos sin design system formal, comprometiendo RNF-03 y WCAG 2.1 AA.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785D3885">
            <w:pPr>
              <w:jc w:val="center"/>
              <w:rPr>
                <w:rFonts w:hint="default"/>
                <w:i/>
                <w:iCs/>
                <w:color w:val="0D0D0D" w:themeColor="text1" w:themeTint="F2"/>
                <w:sz w:val="18"/>
                <w:szCs w:val="18"/>
                <w:lang w:val="es-ES"/>
                <w14:textFill>
                  <w14:solidFill>
                    <w14:schemeClr w14:val="tx1">
                      <w14:lumMod w14:val="95000"/>
                      <w14:lumOff w14:val="5000"/>
                    </w14:schemeClr>
                  </w14:solidFill>
                </w14:textFill>
              </w:rPr>
            </w:pPr>
            <w:r>
              <w:rPr>
                <w:i/>
                <w:iCs/>
                <w:color w:val="0D0D0D" w:themeColor="text1" w:themeTint="F2"/>
                <w:sz w:val="18"/>
                <w:szCs w:val="18"/>
                <w:lang w:val="es-ES"/>
                <w14:textFill>
                  <w14:solidFill>
                    <w14:schemeClr w14:val="tx1">
                      <w14:lumMod w14:val="95000"/>
                      <w14:lumOff w14:val="5000"/>
                    </w14:schemeClr>
                  </w14:solidFill>
                </w14:textFill>
              </w:rPr>
              <w:t xml:space="preserve">Alta </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2B4E3271">
            <w:pPr>
              <w:jc w:val="center"/>
              <w:rPr>
                <w:rFonts w:hint="default"/>
                <w:i/>
                <w:iCs/>
                <w:color w:val="0D0D0D" w:themeColor="text1" w:themeTint="F2"/>
                <w:sz w:val="18"/>
                <w:szCs w:val="18"/>
                <w:lang w:val="es-ES"/>
                <w14:textFill>
                  <w14:solidFill>
                    <w14:schemeClr w14:val="tx1">
                      <w14:lumMod w14:val="95000"/>
                      <w14:lumOff w14:val="5000"/>
                    </w14:schemeClr>
                  </w14:solidFill>
                </w14:textFill>
              </w:rPr>
            </w:pPr>
            <w:r>
              <w:rPr>
                <w:rFonts w:hint="default"/>
                <w:i/>
                <w:iCs/>
                <w:color w:val="0D0D0D" w:themeColor="text1" w:themeTint="F2"/>
                <w:sz w:val="18"/>
                <w:szCs w:val="18"/>
                <w:lang w:val="es-ES"/>
                <w14:textFill>
                  <w14:solidFill>
                    <w14:schemeClr w14:val="tx1">
                      <w14:lumMod w14:val="95000"/>
                      <w14:lumOff w14:val="5000"/>
                    </w14:schemeClr>
                  </w14:solidFill>
                </w14:textFill>
              </w:rPr>
              <w:t>Media</w:t>
            </w:r>
          </w:p>
        </w:tc>
      </w:tr>
      <w:tr w14:paraId="2C12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shd w:val="clear" w:color="auto" w:fill="auto"/>
            <w:tcMar>
              <w:top w:w="50" w:type="dxa"/>
              <w:left w:w="80" w:type="dxa"/>
              <w:bottom w:w="50" w:type="dxa"/>
              <w:right w:w="80" w:type="dxa"/>
            </w:tcMar>
            <w:vAlign w:val="top"/>
          </w:tcPr>
          <w:p w14:paraId="2BB5F498">
            <w:pPr>
              <w:spacing w:before="20" w:after="20"/>
              <w:jc w:val="left"/>
              <w:rPr>
                <w:rFonts w:ascii="Arial" w:hAnsi="Arial" w:eastAsia="Arial" w:cs="Arial"/>
                <w:sz w:val="22"/>
                <w:szCs w:val="22"/>
                <w:lang w:val="zh-CN" w:eastAsia="en-US" w:bidi="ar-SA"/>
              </w:rPr>
            </w:pPr>
            <w:r>
              <w:rPr>
                <w:rFonts w:ascii="Arial" w:hAnsi="Arial" w:eastAsia="Arial" w:cs="Arial"/>
                <w:b w:val="0"/>
                <w:bCs w:val="0"/>
                <w:i w:val="0"/>
                <w:iCs w:val="0"/>
                <w:color w:val="0F172A"/>
                <w:sz w:val="20"/>
                <w:szCs w:val="20"/>
              </w:rPr>
              <w:t>Inconsistencia entre módulos si el API Gateway no centraliza la validación JWT, permitiendo acceso no autorizado a datos clínicos.</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1311D2EC">
            <w:pPr>
              <w:jc w:val="center"/>
              <w:rPr>
                <w:rFonts w:hint="default"/>
                <w:i/>
                <w:iCs/>
                <w:color w:val="0D0D0D" w:themeColor="text1" w:themeTint="F2"/>
                <w:sz w:val="18"/>
                <w:szCs w:val="18"/>
                <w:lang w:val="es-ES"/>
                <w14:textFill>
                  <w14:solidFill>
                    <w14:schemeClr w14:val="tx1">
                      <w14:lumMod w14:val="95000"/>
                      <w14:lumOff w14:val="5000"/>
                    </w14:schemeClr>
                  </w14:solidFill>
                </w14:textFill>
              </w:rPr>
            </w:pPr>
            <w:r>
              <w:rPr>
                <w:rFonts w:hint="default"/>
                <w:i/>
                <w:iCs/>
                <w:color w:val="0D0D0D" w:themeColor="text1" w:themeTint="F2"/>
                <w:sz w:val="18"/>
                <w:szCs w:val="18"/>
                <w:lang w:val="es-ES"/>
                <w14:textFill>
                  <w14:solidFill>
                    <w14:schemeClr w14:val="tx1">
                      <w14:lumMod w14:val="95000"/>
                      <w14:lumOff w14:val="5000"/>
                    </w14:schemeClr>
                  </w14:solidFill>
                </w14:textFill>
              </w:rPr>
              <w:t>Media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47D3A2FA">
            <w:pPr>
              <w:jc w:val="center"/>
              <w:rPr>
                <w:rFonts w:hint="default"/>
                <w:i/>
                <w:iCs/>
                <w:color w:val="0D0D0D" w:themeColor="text1" w:themeTint="F2"/>
                <w:sz w:val="18"/>
                <w:szCs w:val="18"/>
                <w:lang w:val="es-ES"/>
                <w14:textFill>
                  <w14:solidFill>
                    <w14:schemeClr w14:val="tx1">
                      <w14:lumMod w14:val="95000"/>
                      <w14:lumOff w14:val="5000"/>
                    </w14:schemeClr>
                  </w14:solidFill>
                </w14:textFill>
              </w:rPr>
            </w:pPr>
            <w:r>
              <w:rPr>
                <w:rFonts w:hint="default"/>
                <w:i/>
                <w:iCs/>
                <w:color w:val="0D0D0D" w:themeColor="text1" w:themeTint="F2"/>
                <w:sz w:val="18"/>
                <w:szCs w:val="18"/>
                <w:lang w:val="es-ES"/>
                <w14:textFill>
                  <w14:solidFill>
                    <w14:schemeClr w14:val="tx1">
                      <w14:lumMod w14:val="95000"/>
                      <w14:lumOff w14:val="5000"/>
                    </w14:schemeClr>
                  </w14:solidFill>
                </w14:textFill>
              </w:rPr>
              <w:t>Alta</w:t>
            </w:r>
          </w:p>
        </w:tc>
      </w:tr>
    </w:tbl>
    <w:p w14:paraId="634570A4">
      <w:pPr>
        <w:spacing w:before="200"/>
        <w:rPr>
          <w:color w:val="0D0D0D" w:themeColor="text1" w:themeTint="F2"/>
          <w14:textFill>
            <w14:solidFill>
              <w14:schemeClr w14:val="tx1">
                <w14:lumMod w14:val="95000"/>
                <w14:lumOff w14:val="5000"/>
              </w14:schemeClr>
            </w14:solidFill>
          </w14:textFill>
        </w:rPr>
      </w:pPr>
    </w:p>
    <w:p w14:paraId="09B97A5F">
      <w:pPr>
        <w:pStyle w:val="2"/>
        <w:rPr>
          <w:color w:val="auto"/>
          <w:sz w:val="22"/>
          <w:szCs w:val="22"/>
        </w:rPr>
      </w:pPr>
      <w:r>
        <w:rPr>
          <w:color w:val="auto"/>
          <w:sz w:val="22"/>
          <w:szCs w:val="22"/>
        </w:rPr>
        <w:t>5. Recomendaciones y consideraciones técnicas</w:t>
      </w:r>
    </w:p>
    <w:p w14:paraId="17EBE5EE">
      <w:pPr>
        <w:pStyle w:val="4"/>
        <w:rPr>
          <w:color w:val="auto"/>
          <w:sz w:val="22"/>
          <w:szCs w:val="22"/>
        </w:rPr>
      </w:pPr>
      <w:r>
        <w:rPr>
          <w:color w:val="auto"/>
          <w:sz w:val="22"/>
          <w:szCs w:val="22"/>
        </w:rPr>
        <w:t>5.1 Principales recomendaciones</w:t>
      </w:r>
    </w:p>
    <w:p w14:paraId="494B7306">
      <w:pPr>
        <w:pStyle w:val="19"/>
        <w:numPr>
          <w:ilvl w:val="0"/>
          <w:numId w:val="1"/>
        </w:numPr>
        <w:spacing w:before="40" w:after="40"/>
        <w:rPr>
          <w:color w:val="auto"/>
          <w:sz w:val="22"/>
          <w:szCs w:val="22"/>
        </w:rPr>
      </w:pPr>
      <w:r>
        <w:rPr>
          <w:rFonts w:ascii="Arial" w:hAnsi="Arial" w:eastAsia="Arial" w:cs="Arial"/>
          <w:b/>
          <w:bCs/>
          <w:color w:val="auto"/>
          <w:sz w:val="22"/>
          <w:szCs w:val="22"/>
        </w:rPr>
        <w:t xml:space="preserve">Mantener el patrón hexagonal para Med-Gemini: </w:t>
      </w:r>
      <w:r>
        <w:rPr>
          <w:rFonts w:ascii="Arial" w:hAnsi="Arial" w:eastAsia="Arial" w:cs="Arial"/>
          <w:color w:val="auto"/>
          <w:sz w:val="22"/>
          <w:szCs w:val="22"/>
        </w:rPr>
        <w:t>El motor clínico Med-Gemini está integrado mediante patrón hexagonal (Ports &amp; Adapters). La recomendación de mantener el ciclo de vida del modelo independiente del sistema está arquitectónicamente garantizada: el adaptador es el único punto de cambio ante actualizaciones de la API de Google o migración a otro motor clínico. El equipo MLOps debe mantener el contrato OpenAPI actualizado ante cada nueva versión de Med-Gemini.</w:t>
      </w:r>
    </w:p>
    <w:p w14:paraId="4C2549AA">
      <w:pPr>
        <w:spacing w:before="40" w:after="40"/>
        <w:rPr>
          <w:color w:val="auto"/>
          <w:sz w:val="22"/>
          <w:szCs w:val="22"/>
        </w:rPr>
      </w:pPr>
    </w:p>
    <w:p w14:paraId="3C77B72E">
      <w:pPr>
        <w:pStyle w:val="19"/>
        <w:numPr>
          <w:ilvl w:val="0"/>
          <w:numId w:val="1"/>
        </w:numPr>
        <w:spacing w:before="40" w:after="40"/>
        <w:rPr>
          <w:color w:val="auto"/>
          <w:sz w:val="22"/>
          <w:szCs w:val="22"/>
        </w:rPr>
      </w:pPr>
      <w:r>
        <w:rPr>
          <w:rFonts w:ascii="Arial" w:hAnsi="Arial" w:eastAsia="Arial" w:cs="Arial"/>
          <w:b/>
          <w:bCs/>
          <w:color w:val="auto"/>
          <w:sz w:val="22"/>
          <w:szCs w:val="22"/>
        </w:rPr>
        <w:t xml:space="preserve">Preservar la arquitectura orientada a eventos con BullMQ: </w:t>
      </w:r>
      <w:r>
        <w:rPr>
          <w:rFonts w:ascii="Arial" w:hAnsi="Arial" w:eastAsia="Arial" w:cs="Arial"/>
          <w:color w:val="auto"/>
          <w:sz w:val="22"/>
          <w:szCs w:val="22"/>
        </w:rPr>
        <w:t>BullMQ sobre Redis gestiona la comunicación asíncrona entre M2 (triaje), M3 (alertas IoT) y M5 (auditoría). Las colas persistentes garantizan que ningún evento se pierda ante fallos transitorios. Cloud Pub/Sub complementa para los eventos IoT de alta frecuencia del módulo M3. Esta arquitectura debe mantenerse para todos los flujos donde la latencia acumulada sería inaceptable en comunicación síncrona.</w:t>
      </w:r>
    </w:p>
    <w:p w14:paraId="0CF3918A">
      <w:pPr>
        <w:spacing w:before="40" w:after="40"/>
        <w:rPr>
          <w:color w:val="auto"/>
          <w:sz w:val="22"/>
          <w:szCs w:val="22"/>
        </w:rPr>
      </w:pPr>
    </w:p>
    <w:p w14:paraId="14C6ED24">
      <w:pPr>
        <w:pStyle w:val="19"/>
        <w:numPr>
          <w:ilvl w:val="0"/>
          <w:numId w:val="1"/>
        </w:numPr>
        <w:spacing w:before="40" w:after="40"/>
        <w:rPr>
          <w:color w:val="auto"/>
          <w:sz w:val="22"/>
          <w:szCs w:val="22"/>
        </w:rPr>
      </w:pPr>
      <w:r>
        <w:rPr>
          <w:rFonts w:ascii="Arial" w:hAnsi="Arial" w:eastAsia="Arial" w:cs="Arial"/>
          <w:b/>
          <w:bCs/>
          <w:color w:val="auto"/>
          <w:sz w:val="22"/>
          <w:szCs w:val="22"/>
        </w:rPr>
        <w:t xml:space="preserve">Mantener la validación JWT centralizada en el API Gateway: </w:t>
      </w:r>
      <w:r>
        <w:rPr>
          <w:rFonts w:ascii="Arial" w:hAnsi="Arial" w:eastAsia="Arial" w:cs="Arial"/>
          <w:color w:val="auto"/>
          <w:sz w:val="22"/>
          <w:szCs w:val="22"/>
        </w:rPr>
        <w:t>El API Gateway de Cloud Run valida el JWT de M1 en cada petición antes de enrutar al microservicio correspondiente. Esta validación centralizada debe mantenerse como política de seguridad no negociable. TLS 1.3 cubre todos los canales: Frontend ↔ Backend, Backend ↔ Med-Gemini API, Backend ↔ API IESS. AES-256 con pgcrypto cubre todos los datos en reposo.</w:t>
      </w:r>
    </w:p>
    <w:p w14:paraId="406E6FC7">
      <w:pPr>
        <w:spacing w:before="40" w:after="40"/>
        <w:rPr>
          <w:color w:val="auto"/>
          <w:sz w:val="22"/>
          <w:szCs w:val="22"/>
        </w:rPr>
      </w:pPr>
    </w:p>
    <w:p w14:paraId="50D0F625">
      <w:pPr>
        <w:pStyle w:val="19"/>
        <w:numPr>
          <w:ilvl w:val="0"/>
          <w:numId w:val="1"/>
        </w:numPr>
        <w:spacing w:before="40" w:after="40"/>
        <w:rPr>
          <w:color w:val="auto"/>
          <w:sz w:val="22"/>
          <w:szCs w:val="22"/>
        </w:rPr>
      </w:pPr>
      <w:r>
        <w:rPr>
          <w:rFonts w:ascii="Arial" w:hAnsi="Arial" w:eastAsia="Arial" w:cs="Arial"/>
          <w:b/>
          <w:bCs/>
          <w:color w:val="auto"/>
          <w:sz w:val="22"/>
          <w:szCs w:val="22"/>
        </w:rPr>
        <w:t xml:space="preserve">Formalizar el contrato de evento de auditoría como requisito de incorporación de módulos: </w:t>
      </w:r>
      <w:r>
        <w:rPr>
          <w:rFonts w:ascii="Arial" w:hAnsi="Arial" w:eastAsia="Arial" w:cs="Arial"/>
          <w:color w:val="auto"/>
          <w:sz w:val="22"/>
          <w:szCs w:val="22"/>
        </w:rPr>
        <w:t>M5 debe operar como bus de auditoría transversal para cualquier módulo nuevo que se incorpore al sistema. El contrato de evento de auditoría (módulo_origen, actor, acción, timestamp, hash SHA-256) debe ser implementado por cada nuevo servicio antes de su despliegue en producción. Sin este contrato, el sistema no puede ser certificado por el MSP.</w:t>
      </w:r>
    </w:p>
    <w:p w14:paraId="5346D33F">
      <w:pPr>
        <w:pStyle w:val="4"/>
        <w:rPr>
          <w:color w:val="auto"/>
          <w:sz w:val="22"/>
          <w:szCs w:val="22"/>
        </w:rPr>
      </w:pPr>
    </w:p>
    <w:p w14:paraId="4971890E">
      <w:pPr>
        <w:pStyle w:val="4"/>
        <w:rPr>
          <w:color w:val="auto"/>
          <w:sz w:val="22"/>
          <w:szCs w:val="22"/>
        </w:rPr>
      </w:pPr>
      <w:r>
        <w:rPr>
          <w:color w:val="auto"/>
          <w:sz w:val="22"/>
          <w:szCs w:val="22"/>
        </w:rPr>
        <w:t>5.2 Trade-offs identificados</w:t>
      </w:r>
    </w:p>
    <w:p w14:paraId="4B87F6FE">
      <w:pPr>
        <w:pStyle w:val="4"/>
        <w:spacing w:before="180" w:after="60"/>
        <w:jc w:val="left"/>
        <w:rPr>
          <w:color w:val="auto"/>
          <w:sz w:val="22"/>
          <w:szCs w:val="22"/>
        </w:rPr>
      </w:pPr>
      <w:r>
        <w:rPr>
          <w:rFonts w:ascii="Arial" w:hAnsi="Arial" w:eastAsia="Arial" w:cs="Arial"/>
          <w:b/>
          <w:bCs/>
          <w:color w:val="auto"/>
          <w:sz w:val="22"/>
          <w:szCs w:val="22"/>
        </w:rPr>
        <w:t>Trade-off 1: Disponibilidad 24/7 (RNF-11) vs. consistencia del historial clínico (M5)</w:t>
      </w:r>
    </w:p>
    <w:p w14:paraId="207533B8">
      <w:pPr>
        <w:spacing w:before="60" w:after="60"/>
        <w:jc w:val="left"/>
        <w:rPr>
          <w:color w:val="auto"/>
          <w:sz w:val="22"/>
          <w:szCs w:val="22"/>
        </w:rPr>
      </w:pPr>
      <w:r>
        <w:rPr>
          <w:rFonts w:ascii="Arial" w:hAnsi="Arial" w:eastAsia="Arial" w:cs="Arial"/>
          <w:b w:val="0"/>
          <w:bCs w:val="0"/>
          <w:i w:val="0"/>
          <w:iCs w:val="0"/>
          <w:color w:val="auto"/>
          <w:sz w:val="22"/>
          <w:szCs w:val="22"/>
        </w:rPr>
        <w:t>La arquitectura adopta consistencia eventual para datos operacionales (estados de solicitudes, disponibilidad de recursos en tiempo real) mediante BullMQ, y consistencia fuerte obligatoria para el historial clínico y los logs de auditoría en PostgreSQL. Esta separación permite al sistema continuar operando ante fallos parciales sin comprometer la integridad de los registros médicos auditables. Resolución verificada en el prototipo: 1.842 logs con integridad SHA-256 en el módulo M5.</w:t>
      </w:r>
    </w:p>
    <w:p w14:paraId="236CAC71">
      <w:pPr>
        <w:spacing w:before="40" w:after="40"/>
        <w:jc w:val="left"/>
        <w:rPr>
          <w:color w:val="auto"/>
          <w:sz w:val="22"/>
          <w:szCs w:val="22"/>
        </w:rPr>
      </w:pPr>
    </w:p>
    <w:p w14:paraId="73769787">
      <w:pPr>
        <w:pStyle w:val="4"/>
        <w:spacing w:before="180" w:after="60"/>
        <w:jc w:val="left"/>
        <w:rPr>
          <w:color w:val="auto"/>
          <w:sz w:val="22"/>
          <w:szCs w:val="22"/>
        </w:rPr>
      </w:pPr>
      <w:r>
        <w:rPr>
          <w:rFonts w:ascii="Arial" w:hAnsi="Arial" w:eastAsia="Arial" w:cs="Arial"/>
          <w:b/>
          <w:bCs/>
          <w:color w:val="auto"/>
          <w:sz w:val="22"/>
          <w:szCs w:val="22"/>
        </w:rPr>
        <w:t>Trade-off 2: Precisión de Med-Gemini (RNF-08) vs. latencia de respuesta (RNF-06, RNF-09)</w:t>
      </w:r>
    </w:p>
    <w:p w14:paraId="623E3DB4">
      <w:pPr>
        <w:spacing w:before="60" w:after="60"/>
        <w:jc w:val="left"/>
        <w:rPr>
          <w:color w:val="auto"/>
          <w:sz w:val="22"/>
          <w:szCs w:val="22"/>
        </w:rPr>
      </w:pPr>
      <w:r>
        <w:rPr>
          <w:rFonts w:ascii="Arial" w:hAnsi="Arial" w:eastAsia="Arial" w:cs="Arial"/>
          <w:b w:val="0"/>
          <w:bCs w:val="0"/>
          <w:i w:val="0"/>
          <w:iCs w:val="0"/>
          <w:color w:val="auto"/>
          <w:sz w:val="22"/>
          <w:szCs w:val="22"/>
        </w:rPr>
        <w:t>Med-Gemini no está en el path crítico del video (WebRTC directo) ni del IoT stream (TimescaleDB directo). Las sugerencias diagnósticas y las clasificaciones de triaje se procesan en paralelo al canal de comunicación, no en serie. Esto permite que el video opere a 145ms y el XAI a 1.1s simultáneamente. El circuit breaker garantiza que un timeout de Med-Gemini no bloquee ningún flujo clínico. Resolución verificada en el prototipo: latencia video 145ms, XAI 1.1s, ambos simultáneos en M4.</w:t>
      </w:r>
    </w:p>
    <w:p w14:paraId="3D0CD302">
      <w:pPr>
        <w:spacing w:before="40" w:after="40"/>
        <w:jc w:val="left"/>
        <w:rPr>
          <w:color w:val="auto"/>
          <w:sz w:val="22"/>
          <w:szCs w:val="22"/>
        </w:rPr>
      </w:pPr>
    </w:p>
    <w:p w14:paraId="6D83B28D">
      <w:pPr>
        <w:pStyle w:val="4"/>
        <w:spacing w:before="180" w:after="60"/>
        <w:jc w:val="left"/>
        <w:rPr>
          <w:color w:val="auto"/>
          <w:sz w:val="22"/>
          <w:szCs w:val="22"/>
        </w:rPr>
      </w:pPr>
      <w:r>
        <w:rPr>
          <w:rFonts w:ascii="Arial" w:hAnsi="Arial" w:eastAsia="Arial" w:cs="Arial"/>
          <w:b/>
          <w:bCs/>
          <w:color w:val="auto"/>
          <w:sz w:val="22"/>
          <w:szCs w:val="22"/>
        </w:rPr>
        <w:t>Trade-off 3: Explicabilidad completa XAI (RNF-15) vs. rendimiento y costo cloud</w:t>
      </w:r>
    </w:p>
    <w:p w14:paraId="690194C5">
      <w:pPr>
        <w:spacing w:before="60" w:after="60"/>
        <w:jc w:val="left"/>
        <w:rPr>
          <w:color w:val="auto"/>
          <w:sz w:val="22"/>
          <w:szCs w:val="22"/>
        </w:rPr>
      </w:pPr>
      <w:r>
        <w:rPr>
          <w:rFonts w:ascii="Arial" w:hAnsi="Arial" w:eastAsia="Arial" w:cs="Arial"/>
          <w:b w:val="0"/>
          <w:bCs w:val="0"/>
          <w:i w:val="0"/>
          <w:iCs w:val="0"/>
          <w:color w:val="auto"/>
          <w:sz w:val="22"/>
          <w:szCs w:val="22"/>
        </w:rPr>
        <w:t>El contrato OpenAPI exige el campo explanation como obligatorio, pero la implementación usa explicaciones estructuradas comprimidas en producción (factores más relevantes en JSON) y trazas completas almacenadas asíncronamente en M5 via BullMQ, sin impactar la latencia de respuesta al usuario. En el prototipo, cada tarjeta XAI muestra el razonamiento clínico, el porcentaje de confianza y la verificación de equidad RNF-16, con un overhead de ≤200ms sobre la respuesta base. Resolución: 100% de decisiones con XAI visible, verificado en M2, M3 y M4.</w:t>
      </w:r>
    </w:p>
    <w:p w14:paraId="0ECA2495">
      <w:pPr>
        <w:spacing w:before="40" w:after="40"/>
        <w:jc w:val="left"/>
        <w:rPr>
          <w:color w:val="auto"/>
          <w:sz w:val="22"/>
          <w:szCs w:val="22"/>
        </w:rPr>
      </w:pPr>
    </w:p>
    <w:p w14:paraId="2270A0E4">
      <w:pPr>
        <w:pStyle w:val="4"/>
        <w:spacing w:before="180" w:after="60"/>
        <w:jc w:val="left"/>
        <w:rPr>
          <w:color w:val="auto"/>
          <w:sz w:val="22"/>
          <w:szCs w:val="22"/>
        </w:rPr>
      </w:pPr>
      <w:r>
        <w:rPr>
          <w:rFonts w:ascii="Arial" w:hAnsi="Arial" w:eastAsia="Arial" w:cs="Arial"/>
          <w:b/>
          <w:bCs/>
          <w:color w:val="auto"/>
          <w:sz w:val="22"/>
          <w:szCs w:val="22"/>
        </w:rPr>
        <w:t>Trade-off 4 (nuevo): Separación de roles de interfaz vs. complejidad de mantenimiento del frontend</w:t>
      </w:r>
    </w:p>
    <w:p w14:paraId="0A127698">
      <w:pPr>
        <w:pStyle w:val="2"/>
        <w:jc w:val="left"/>
        <w:rPr>
          <w:rFonts w:ascii="Arial" w:hAnsi="Arial" w:eastAsia="Arial" w:cs="Arial"/>
          <w:b w:val="0"/>
          <w:bCs w:val="0"/>
          <w:i w:val="0"/>
          <w:iCs w:val="0"/>
          <w:color w:val="auto"/>
          <w:sz w:val="22"/>
          <w:szCs w:val="22"/>
        </w:rPr>
      </w:pPr>
      <w:r>
        <w:rPr>
          <w:rFonts w:ascii="Arial" w:hAnsi="Arial" w:eastAsia="Arial" w:cs="Arial"/>
          <w:b w:val="0"/>
          <w:bCs w:val="0"/>
          <w:i w:val="0"/>
          <w:iCs w:val="0"/>
          <w:color w:val="auto"/>
          <w:sz w:val="22"/>
          <w:szCs w:val="22"/>
        </w:rPr>
        <w:t>Paciente, médico, administrativo, MSP y DPO tienen interfaces completamente separadas con información diferenciada por rol, lo que aumenta la superficie del frontend. La resolución adoptada es un design system con componentes reutilizables (tarjeta XAI, badge de riesgo, tabla de auditoría) que son compartidos entre vistas pero parametrizados por rol. Esto reduce la duplicación de código sin comprometer la separación de información. Resolución implementada en el prototipo con React + Tailwind CSS + Storybook.</w:t>
      </w:r>
    </w:p>
    <w:p w14:paraId="45FCBBAD">
      <w:pPr>
        <w:pStyle w:val="2"/>
        <w:jc w:val="left"/>
        <w:rPr>
          <w:rFonts w:ascii="Arial" w:hAnsi="Arial" w:eastAsia="Arial" w:cs="Arial"/>
          <w:b w:val="0"/>
          <w:bCs w:val="0"/>
          <w:i w:val="0"/>
          <w:iCs w:val="0"/>
          <w:color w:val="auto"/>
          <w:sz w:val="22"/>
          <w:szCs w:val="22"/>
        </w:rPr>
      </w:pPr>
    </w:p>
    <w:p w14:paraId="5D51F40F">
      <w:pPr>
        <w:pStyle w:val="2"/>
        <w:rPr>
          <w:color w:val="auto"/>
          <w:sz w:val="22"/>
          <w:szCs w:val="22"/>
        </w:rPr>
      </w:pPr>
      <w:r>
        <w:rPr>
          <w:color w:val="auto"/>
          <w:sz w:val="22"/>
          <w:szCs w:val="22"/>
        </w:rPr>
        <w:t>6. Relación con los artefactos de ingeniería de requisitos</w:t>
      </w:r>
    </w:p>
    <w:p w14:paraId="0095883F">
      <w:pPr>
        <w:pStyle w:val="4"/>
        <w:rPr>
          <w:color w:val="auto"/>
          <w:sz w:val="22"/>
          <w:szCs w:val="22"/>
        </w:rPr>
      </w:pPr>
      <w:r>
        <w:rPr>
          <w:color w:val="auto"/>
          <w:sz w:val="22"/>
          <w:szCs w:val="22"/>
        </w:rPr>
        <w:t>6.1 Influencia de la matriz de stakeholders</w:t>
      </w:r>
    </w:p>
    <w:p w14:paraId="7B30C478">
      <w:pPr>
        <w:spacing w:before="60" w:after="60"/>
        <w:jc w:val="left"/>
        <w:rPr>
          <w:color w:val="auto"/>
          <w:sz w:val="22"/>
          <w:szCs w:val="22"/>
        </w:rPr>
      </w:pPr>
      <w:r>
        <w:rPr>
          <w:rFonts w:ascii="Arial" w:hAnsi="Arial" w:eastAsia="Arial" w:cs="Arial"/>
          <w:b w:val="0"/>
          <w:bCs w:val="0"/>
          <w:i w:val="0"/>
          <w:iCs w:val="0"/>
          <w:color w:val="auto"/>
          <w:sz w:val="22"/>
          <w:szCs w:val="22"/>
        </w:rPr>
        <w:t>La Matriz de Stakeholders define ocho stakeholders clave (ST01–ST08). Los de cuadrante Alto Poder / Alto Interés impusieron las restricciones arquitectónicas más determinantes:</w:t>
      </w:r>
    </w:p>
    <w:p w14:paraId="359228F1">
      <w:pPr>
        <w:spacing w:before="40" w:after="40"/>
        <w:jc w:val="left"/>
        <w:rPr>
          <w:color w:val="auto"/>
          <w:sz w:val="22"/>
          <w:szCs w:val="22"/>
        </w:rPr>
      </w:pPr>
    </w:p>
    <w:p w14:paraId="5BF3C9E8">
      <w:pPr>
        <w:pStyle w:val="19"/>
        <w:numPr>
          <w:ilvl w:val="0"/>
          <w:numId w:val="1"/>
        </w:numPr>
        <w:spacing w:before="40" w:after="40"/>
        <w:jc w:val="left"/>
        <w:rPr>
          <w:color w:val="auto"/>
          <w:sz w:val="22"/>
          <w:szCs w:val="22"/>
        </w:rPr>
      </w:pPr>
      <w:r>
        <w:rPr>
          <w:rFonts w:ascii="Arial" w:hAnsi="Arial" w:eastAsia="Arial" w:cs="Arial"/>
          <w:color w:val="auto"/>
          <w:sz w:val="22"/>
          <w:szCs w:val="22"/>
        </w:rPr>
        <w:t>ST05 (MSP Zona 7 — Dr. Marco Villareal) define la necesidad de logs de auditoría inmutables con decisiones de Med-Gemini, lo que obligó a diseñar M5 como componente transversal de primera clase. Verificado en el prototipo: 1.842 logs con SHA-256 auditables, panel de auditoría dedicado, exportación PDF firmada por DPO.</w:t>
      </w:r>
    </w:p>
    <w:p w14:paraId="3B5FC6FC">
      <w:pPr>
        <w:pStyle w:val="19"/>
        <w:numPr>
          <w:ilvl w:val="0"/>
          <w:numId w:val="1"/>
        </w:numPr>
        <w:spacing w:before="40" w:after="40"/>
        <w:jc w:val="left"/>
        <w:rPr>
          <w:color w:val="auto"/>
          <w:sz w:val="22"/>
          <w:szCs w:val="22"/>
        </w:rPr>
      </w:pPr>
      <w:r>
        <w:rPr>
          <w:rFonts w:ascii="Arial" w:hAnsi="Arial" w:eastAsia="Arial" w:cs="Arial"/>
          <w:color w:val="auto"/>
          <w:sz w:val="22"/>
          <w:szCs w:val="22"/>
        </w:rPr>
        <w:t>ST06 (DPO) refuerza la exigencia añadiendo trazabilidad del consentimiento en cada operación de acceso a datos clínicos. La arquitectura garantiza que el estado del consentimiento LOPDP sea capturado por M5 en cada acción relevante. Verificado en el prototipo: tabla de consentimientos con estado vigente/revocado y firma digital del DPO.</w:t>
      </w:r>
    </w:p>
    <w:p w14:paraId="15FBAD57">
      <w:pPr>
        <w:pStyle w:val="19"/>
        <w:numPr>
          <w:ilvl w:val="0"/>
          <w:numId w:val="1"/>
        </w:numPr>
        <w:spacing w:before="40" w:after="40"/>
        <w:jc w:val="left"/>
        <w:rPr>
          <w:color w:val="auto"/>
          <w:sz w:val="22"/>
          <w:szCs w:val="22"/>
        </w:rPr>
      </w:pPr>
      <w:r>
        <w:rPr>
          <w:rFonts w:ascii="Arial" w:hAnsi="Arial" w:eastAsia="Arial" w:cs="Arial"/>
          <w:color w:val="auto"/>
          <w:sz w:val="22"/>
          <w:szCs w:val="22"/>
        </w:rPr>
        <w:t>ST07 (Equipo MLOps / Med-Gemini) requiere interfaces arquitectónicas que soporten el ciclo de vida completo del modelo: versionado, despliegue sin downtime, monitoreo en producción y rollback. El patrón hexagonal implementado satisface estos requisitos de forma estructural. La versión activa de Med-Gemini (v2.1) es visible en el topbar de la interfaz para todos los roles.</w:t>
      </w:r>
    </w:p>
    <w:p w14:paraId="7708128B">
      <w:pPr>
        <w:pStyle w:val="19"/>
        <w:numPr>
          <w:ilvl w:val="0"/>
          <w:numId w:val="1"/>
        </w:numPr>
        <w:spacing w:before="40" w:after="40"/>
        <w:jc w:val="left"/>
        <w:rPr>
          <w:color w:val="auto"/>
          <w:sz w:val="22"/>
          <w:szCs w:val="22"/>
        </w:rPr>
      </w:pPr>
      <w:r>
        <w:rPr>
          <w:rFonts w:ascii="Arial" w:hAnsi="Arial" w:eastAsia="Arial" w:cs="Arial"/>
          <w:color w:val="auto"/>
          <w:sz w:val="22"/>
          <w:szCs w:val="22"/>
        </w:rPr>
        <w:t>ST01 (Paciente — Carlos Mendoza, 68 a., Loja) impuso la restricción de usabilidad más exigente: completar cualquier tarea en ≤3 pasos con fuentes ≥16px y botones ≥44px. Esta restricción fue resuelta arquitectónicamente mediante la separación de la interfaz del paciente (navegación inferior móvil, opciones predefinidas en bot) del resto de vistas.</w:t>
      </w:r>
    </w:p>
    <w:p w14:paraId="216BE042">
      <w:pPr>
        <w:spacing w:before="40" w:after="40"/>
        <w:jc w:val="left"/>
        <w:rPr>
          <w:color w:val="auto"/>
          <w:sz w:val="22"/>
          <w:szCs w:val="22"/>
        </w:rPr>
      </w:pPr>
    </w:p>
    <w:p w14:paraId="0FC34CA6">
      <w:pPr>
        <w:pStyle w:val="4"/>
        <w:rPr>
          <w:color w:val="auto"/>
          <w:sz w:val="22"/>
          <w:szCs w:val="22"/>
        </w:rPr>
      </w:pPr>
      <w:r>
        <w:rPr>
          <w:color w:val="auto"/>
          <w:sz w:val="22"/>
          <w:szCs w:val="22"/>
        </w:rPr>
        <w:t>6.2 Influencia de los casos de uso y escenarios</w:t>
      </w:r>
    </w:p>
    <w:p w14:paraId="08C41FF3">
      <w:pPr>
        <w:spacing w:before="60" w:after="60"/>
        <w:jc w:val="left"/>
        <w:rPr>
          <w:color w:val="auto"/>
          <w:sz w:val="22"/>
          <w:szCs w:val="22"/>
        </w:rPr>
      </w:pPr>
      <w:r>
        <w:rPr>
          <w:rFonts w:ascii="Arial" w:hAnsi="Arial" w:eastAsia="Arial" w:cs="Arial"/>
          <w:b w:val="0"/>
          <w:bCs w:val="0"/>
          <w:i w:val="0"/>
          <w:iCs w:val="0"/>
          <w:color w:val="auto"/>
          <w:sz w:val="22"/>
          <w:szCs w:val="22"/>
        </w:rPr>
        <w:t>El flujo de emergencia con bot + triaje Med-Gemini + matching inteligente fue el escenario más determinante para la arquitectura base. Analizar este flujo (M2 → M3 → M4) desde la perspectiva arquitectónica confirmó que una arquitectura de capas tradicional sería insuficiente para satisfacer simultáneamente RNF-05 (≤5s), RNF-06 (≤2s) y RNF-09 (≤200ms). La solución adoptada —BullMQ para asincronía, WebRTC para video independiente del path de Med-Gemini, circuit breaker para tolerancia a fallos— fue verificada en el prototipo funcional con valores 2.3s, 1.1s y 145ms respectivamente.</w:t>
      </w:r>
    </w:p>
    <w:p w14:paraId="74F5413B">
      <w:pPr>
        <w:spacing w:before="40" w:after="40"/>
        <w:jc w:val="left"/>
        <w:rPr>
          <w:color w:val="auto"/>
          <w:sz w:val="22"/>
          <w:szCs w:val="22"/>
        </w:rPr>
      </w:pPr>
    </w:p>
    <w:p w14:paraId="2717F3DB">
      <w:pPr>
        <w:spacing w:before="60" w:after="60"/>
        <w:jc w:val="left"/>
        <w:rPr>
          <w:color w:val="auto"/>
          <w:sz w:val="22"/>
          <w:szCs w:val="22"/>
        </w:rPr>
      </w:pPr>
      <w:r>
        <w:rPr>
          <w:rFonts w:ascii="Arial" w:hAnsi="Arial" w:eastAsia="Arial" w:cs="Arial"/>
          <w:b w:val="0"/>
          <w:bCs w:val="0"/>
          <w:i w:val="0"/>
          <w:iCs w:val="0"/>
          <w:color w:val="auto"/>
          <w:sz w:val="22"/>
          <w:szCs w:val="22"/>
        </w:rPr>
        <w:t>El escenario de alertas predictivas biométricas (M3) reveló el requisito de notificación simultánea: el sistema debe notificar al paciente, al médico y al centro de asistencia en paralelo, no en secuencia. La arquitectura de eventos de BullMQ implementa este patrón de forma natural: Med-Gemini publica la alerta y tres consumidores la procesan independientemente. Verificado en el prototipo: alerta mostrada en el panel del paciente, en el panel del médico y registrada en M5 de forma simultánea.</w:t>
      </w:r>
    </w:p>
    <w:p w14:paraId="406B5F5E">
      <w:pPr>
        <w:pStyle w:val="4"/>
        <w:rPr>
          <w:rFonts w:hint="eastAsia" w:eastAsiaTheme="minorEastAsia"/>
          <w:color w:val="auto"/>
          <w:sz w:val="22"/>
          <w:szCs w:val="22"/>
          <w:lang w:eastAsia="zh-CN"/>
        </w:rPr>
      </w:pPr>
    </w:p>
    <w:p w14:paraId="50F197ED">
      <w:pPr>
        <w:pStyle w:val="4"/>
        <w:rPr>
          <w:color w:val="auto"/>
          <w:sz w:val="22"/>
          <w:szCs w:val="22"/>
        </w:rPr>
      </w:pPr>
      <w:r>
        <w:rPr>
          <w:color w:val="auto"/>
          <w:sz w:val="22"/>
          <w:szCs w:val="22"/>
        </w:rPr>
        <w:t>6.3 Brechas o supuestos identificados</w:t>
      </w:r>
    </w:p>
    <w:p w14:paraId="41762FBF">
      <w:pPr>
        <w:pStyle w:val="2"/>
        <w:rPr>
          <w:rFonts w:hint="default" w:eastAsia="SimSun"/>
          <w:b w:val="0"/>
          <w:bCs w:val="0"/>
          <w:color w:val="auto"/>
          <w:sz w:val="22"/>
          <w:szCs w:val="22"/>
          <w:lang w:val="en-US" w:eastAsia="zh-CN" w:bidi="ar"/>
        </w:rPr>
      </w:pPr>
      <w:r>
        <w:rPr>
          <w:rFonts w:hint="default" w:eastAsia="SimSun"/>
          <w:b w:val="0"/>
          <w:bCs w:val="0"/>
          <w:color w:val="auto"/>
          <w:sz w:val="22"/>
          <w:szCs w:val="22"/>
          <w:lang w:val="en-US" w:eastAsia="zh-CN" w:bidi="ar"/>
        </w:rPr>
        <w:t>• Brecha en la integración entre Med-Gemini y el bot conversacional: Inicialmente no se definía cómo se intercambiaba la información entre el motor de IA y el asistente conversacional. Esta brecha fue resuelta en el prototipo mediante APIs documentadas que permiten transferir síntomas, historial clínico y explicaciones XAI de forma estructurada.</w:t>
      </w:r>
    </w:p>
    <w:p w14:paraId="103D9753">
      <w:pPr>
        <w:pStyle w:val="2"/>
        <w:rPr>
          <w:rFonts w:hint="default" w:eastAsia="SimSun"/>
          <w:b w:val="0"/>
          <w:bCs w:val="0"/>
          <w:color w:val="auto"/>
          <w:sz w:val="22"/>
          <w:szCs w:val="22"/>
          <w:lang w:val="en-US" w:eastAsia="zh-CN" w:bidi="ar"/>
        </w:rPr>
      </w:pPr>
      <w:r>
        <w:rPr>
          <w:rFonts w:hint="default" w:eastAsia="SimSun"/>
          <w:b w:val="0"/>
          <w:bCs w:val="0"/>
          <w:color w:val="auto"/>
          <w:sz w:val="22"/>
          <w:szCs w:val="22"/>
          <w:lang w:val="en-US" w:eastAsia="zh-CN" w:bidi="ar"/>
        </w:rPr>
        <w:t>• Supuesto sobre la interoperabilidad HL7/FHIR del consorcio médico: Se asumió que los centros de asistencia podrían integrarse mediante estándares HL7/FHIR. En el prototipo esta integración fue simulada exitosamente; sin embargo, la compatibilidad real de todos los centros deberá validarse durante una implementación futura.</w:t>
      </w:r>
    </w:p>
    <w:p w14:paraId="572DC010">
      <w:pPr>
        <w:pStyle w:val="2"/>
        <w:rPr>
          <w:rFonts w:hint="default" w:eastAsia="SimSun"/>
          <w:b w:val="0"/>
          <w:bCs w:val="0"/>
          <w:color w:val="auto"/>
          <w:sz w:val="22"/>
          <w:szCs w:val="22"/>
          <w:lang w:val="en-US" w:eastAsia="zh-CN" w:bidi="ar"/>
        </w:rPr>
      </w:pPr>
      <w:r>
        <w:rPr>
          <w:rFonts w:hint="default" w:eastAsia="SimSun"/>
          <w:b w:val="0"/>
          <w:bCs w:val="0"/>
          <w:color w:val="auto"/>
          <w:sz w:val="22"/>
          <w:szCs w:val="22"/>
          <w:lang w:val="en-US" w:eastAsia="zh-CN" w:bidi="ar"/>
        </w:rPr>
        <w:t>• Brecha en el mecanismo de escalamiento bot–médico: La documentación inicial no especificaba cómo se transfería el contexto completo de una conversación al personal médico. Esta brecha fue resuelta mediante un panel médico que muestra el historial del paciente, resultados del triaje y datos biométricos relevantes.</w:t>
      </w:r>
    </w:p>
    <w:p w14:paraId="4FA61F93">
      <w:pPr>
        <w:pStyle w:val="2"/>
        <w:rPr>
          <w:rFonts w:hint="default" w:eastAsia="SimSun"/>
          <w:b w:val="0"/>
          <w:bCs w:val="0"/>
          <w:color w:val="auto"/>
          <w:sz w:val="22"/>
          <w:szCs w:val="22"/>
          <w:lang w:val="en-US" w:eastAsia="zh-CN" w:bidi="ar"/>
        </w:rPr>
      </w:pPr>
      <w:r>
        <w:rPr>
          <w:rFonts w:hint="default" w:eastAsia="SimSun"/>
          <w:b w:val="0"/>
          <w:bCs w:val="0"/>
          <w:color w:val="auto"/>
          <w:sz w:val="22"/>
          <w:szCs w:val="22"/>
          <w:lang w:val="en-US" w:eastAsia="zh-CN" w:bidi="ar"/>
        </w:rPr>
        <w:t>• Supuesto sobre capacidades de Edge AI en dispositivos del paciente: Aunque inicialmente se consideró procesamiento local en dispositivos IoT, esta funcionalidad quedó fuera del alcance del prototipo. Las lecturas biométricas son enviadas al backend para su procesamiento centralizado.</w:t>
      </w:r>
    </w:p>
    <w:p w14:paraId="384E83E7">
      <w:pPr>
        <w:pStyle w:val="2"/>
        <w:rPr>
          <w:rFonts w:hint="default" w:eastAsia="SimSun"/>
          <w:b w:val="0"/>
          <w:bCs w:val="0"/>
          <w:color w:val="auto"/>
          <w:sz w:val="22"/>
          <w:szCs w:val="22"/>
          <w:lang w:val="en-US" w:eastAsia="zh-CN" w:bidi="ar"/>
        </w:rPr>
      </w:pPr>
      <w:r>
        <w:rPr>
          <w:rFonts w:hint="default" w:eastAsia="SimSun"/>
          <w:b w:val="0"/>
          <w:bCs w:val="0"/>
          <w:color w:val="auto"/>
          <w:sz w:val="22"/>
          <w:szCs w:val="22"/>
          <w:lang w:val="en-US" w:eastAsia="zh-CN" w:bidi="ar"/>
        </w:rPr>
        <w:t>• Nueva brecha identificada: Durante el diseño arquitectónico se identificó la necesidad de definir un mecanismo de autenticación seguro entre microservicios. Esta especificación queda pendiente para una futura implementación en producción.</w:t>
      </w:r>
    </w:p>
    <w:p w14:paraId="5C031FB4">
      <w:pPr>
        <w:pStyle w:val="2"/>
        <w:rPr>
          <w:rFonts w:hint="default" w:eastAsia="SimSun"/>
          <w:b w:val="0"/>
          <w:bCs w:val="0"/>
          <w:color w:val="auto"/>
          <w:sz w:val="22"/>
          <w:szCs w:val="22"/>
          <w:lang w:val="en-US" w:eastAsia="zh-CN" w:bidi="ar"/>
        </w:rPr>
      </w:pPr>
    </w:p>
    <w:p w14:paraId="3B11B400">
      <w:pPr>
        <w:pStyle w:val="2"/>
        <w:rPr>
          <w:color w:val="auto"/>
          <w:sz w:val="22"/>
          <w:szCs w:val="22"/>
        </w:rPr>
      </w:pPr>
      <w:r>
        <w:rPr>
          <w:color w:val="auto"/>
          <w:sz w:val="22"/>
          <w:szCs w:val="22"/>
        </w:rPr>
        <w:t>7. Conclusiones y aportes desde mi rol</w:t>
      </w:r>
    </w:p>
    <w:p w14:paraId="15317A48">
      <w:pPr>
        <w:pStyle w:val="4"/>
        <w:rPr>
          <w:color w:val="auto"/>
          <w:sz w:val="22"/>
          <w:szCs w:val="22"/>
        </w:rPr>
      </w:pPr>
      <w:r>
        <w:rPr>
          <w:color w:val="auto"/>
          <w:sz w:val="22"/>
          <w:szCs w:val="22"/>
        </w:rPr>
        <w:t>7.1 Principales aportes de mi rol</w:t>
      </w:r>
    </w:p>
    <w:p w14:paraId="203A97A6">
      <w:pPr>
        <w:pStyle w:val="19"/>
        <w:numPr>
          <w:ilvl w:val="0"/>
          <w:numId w:val="1"/>
        </w:numPr>
        <w:spacing w:before="40" w:after="40"/>
        <w:rPr>
          <w:color w:val="auto"/>
          <w:sz w:val="22"/>
          <w:szCs w:val="22"/>
        </w:rPr>
      </w:pPr>
      <w:r>
        <w:rPr>
          <w:rFonts w:ascii="Arial" w:hAnsi="Arial" w:eastAsia="Arial" w:cs="Arial"/>
          <w:b/>
          <w:bCs/>
          <w:color w:val="auto"/>
          <w:sz w:val="22"/>
          <w:szCs w:val="22"/>
        </w:rPr>
        <w:t xml:space="preserve">Definición de la arquitectura base del sistema SAMR v3.2: </w:t>
      </w:r>
      <w:r>
        <w:rPr>
          <w:rFonts w:ascii="Arial" w:hAnsi="Arial" w:eastAsia="Arial" w:cs="Arial"/>
          <w:color w:val="auto"/>
          <w:sz w:val="22"/>
          <w:szCs w:val="22"/>
        </w:rPr>
        <w:t>La arquitectura aprobada traduce la visión del producto en decisiones técnicas concretas y fundamente. La adopción de microservicios con separación de dominios (M1–M5), patrón hexagonal para Med-Gemini, EDA con BullMQ, y despliegue en Cloud Run sobre GCP garantiza que el sistema pueda cumplir simultáneamente con los atributos de calidad exigidos: disponibilidad ≥99.5%, latencia IoT ≤1s, XAI ≤2s, latencia video ≤200ms y explicabilidad del 100% de las decisiones de IA.</w:t>
      </w:r>
    </w:p>
    <w:p w14:paraId="21362E20">
      <w:pPr>
        <w:spacing w:before="40" w:after="40"/>
        <w:rPr>
          <w:color w:val="auto"/>
          <w:sz w:val="22"/>
          <w:szCs w:val="22"/>
        </w:rPr>
      </w:pPr>
    </w:p>
    <w:p w14:paraId="1C13740E">
      <w:pPr>
        <w:pStyle w:val="19"/>
        <w:numPr>
          <w:ilvl w:val="0"/>
          <w:numId w:val="1"/>
        </w:numPr>
        <w:spacing w:before="40" w:after="40"/>
        <w:rPr>
          <w:color w:val="auto"/>
          <w:sz w:val="22"/>
          <w:szCs w:val="22"/>
        </w:rPr>
      </w:pPr>
      <w:r>
        <w:rPr>
          <w:rFonts w:ascii="Arial" w:hAnsi="Arial" w:eastAsia="Arial" w:cs="Arial"/>
          <w:b/>
          <w:bCs/>
          <w:color w:val="auto"/>
          <w:sz w:val="22"/>
          <w:szCs w:val="22"/>
        </w:rPr>
        <w:t xml:space="preserve">Trazabilidad verificada entre RNF y decisiones arquitectónicas: </w:t>
      </w:r>
      <w:r>
        <w:rPr>
          <w:rFonts w:ascii="Arial" w:hAnsi="Arial" w:eastAsia="Arial" w:cs="Arial"/>
          <w:color w:val="auto"/>
          <w:sz w:val="22"/>
          <w:szCs w:val="22"/>
        </w:rPr>
        <w:t>Cada RNF definido en el Documento de Visión v3.2 tiene un mecanismo arquitectónico explícito que lo sostiene y un valor verificado en el prototipo: RNF-05 (2.3s), RNF-06 (1.1s), RNF-08 (98.4%), RNF-09 (145ms), RNF-11 (99.7%), RNF-15 (100% XAI visible), RNF-16 (0 sesgos detectados). La trazabilidad entre RNF y decisión arquitectónica es el valor diferencial del arquitecto en el equipo.</w:t>
      </w:r>
    </w:p>
    <w:p w14:paraId="30B088B5">
      <w:pPr>
        <w:spacing w:before="40" w:after="40"/>
        <w:rPr>
          <w:color w:val="auto"/>
          <w:sz w:val="22"/>
          <w:szCs w:val="22"/>
        </w:rPr>
      </w:pPr>
    </w:p>
    <w:p w14:paraId="525AC9A1">
      <w:pPr>
        <w:pStyle w:val="19"/>
        <w:numPr>
          <w:ilvl w:val="0"/>
          <w:numId w:val="1"/>
        </w:numPr>
        <w:spacing w:before="40" w:after="40"/>
        <w:rPr>
          <w:color w:val="auto"/>
          <w:sz w:val="22"/>
          <w:szCs w:val="22"/>
        </w:rPr>
      </w:pPr>
      <w:r>
        <w:rPr>
          <w:rFonts w:ascii="Arial" w:hAnsi="Arial" w:eastAsia="Arial" w:cs="Arial"/>
          <w:b/>
          <w:bCs/>
          <w:color w:val="auto"/>
          <w:sz w:val="22"/>
          <w:szCs w:val="22"/>
        </w:rPr>
        <w:t xml:space="preserve">Identificación y mitigación temprana de riesgos técnicos: </w:t>
      </w:r>
      <w:r>
        <w:rPr>
          <w:rFonts w:ascii="Arial" w:hAnsi="Arial" w:eastAsia="Arial" w:cs="Arial"/>
          <w:color w:val="auto"/>
          <w:sz w:val="22"/>
          <w:szCs w:val="22"/>
        </w:rPr>
        <w:t>Los seis riesgos técnicos identificados en la sección 4.2 fueron abordados durante el diseño arquitectónico: cinco están mitigados en el prototipo y uno (comunicación interna entre microservicios) permanece como trabajo futuro. Esta identificación temprana en la fase de ingeniería de requisitos evitó que se convirtieran en deuda técnica durante el desarrollo.</w:t>
      </w:r>
    </w:p>
    <w:p w14:paraId="4100169D">
      <w:pPr>
        <w:spacing w:before="40" w:after="40"/>
        <w:rPr>
          <w:color w:val="auto"/>
          <w:sz w:val="22"/>
          <w:szCs w:val="22"/>
        </w:rPr>
      </w:pPr>
    </w:p>
    <w:p w14:paraId="59834721">
      <w:pPr>
        <w:pStyle w:val="19"/>
        <w:numPr>
          <w:ilvl w:val="0"/>
          <w:numId w:val="1"/>
        </w:numPr>
        <w:spacing w:before="40" w:after="40"/>
        <w:rPr>
          <w:color w:val="auto"/>
          <w:sz w:val="22"/>
          <w:szCs w:val="22"/>
        </w:rPr>
      </w:pPr>
      <w:r>
        <w:rPr>
          <w:rFonts w:ascii="Arial" w:hAnsi="Arial" w:eastAsia="Arial" w:cs="Arial"/>
          <w:b/>
          <w:bCs/>
          <w:color w:val="auto"/>
          <w:sz w:val="22"/>
          <w:szCs w:val="22"/>
        </w:rPr>
        <w:t xml:space="preserve">Establecimiento del design system como restricción arquitectónica del frontend: </w:t>
      </w:r>
      <w:r>
        <w:rPr>
          <w:rFonts w:ascii="Arial" w:hAnsi="Arial" w:eastAsia="Arial" w:cs="Arial"/>
          <w:color w:val="auto"/>
          <w:sz w:val="22"/>
          <w:szCs w:val="22"/>
        </w:rPr>
        <w:t>El design system SAMR implementado en el prototipo (paleta institucional navy/blue/teal, tipografía Inter, componentes con border-radius:12px, WCAG 2.1 AA) establece un estándar visual que debe ser mantenido por todos los miembros del equipo en fases posteriores. La separación de interfaces por rol (paciente, médico, administrativo, MSP, DPO) con componentes reutilizables es una decisión arquitectónica del frontend tan importante como las decisiones del backend.</w:t>
      </w:r>
    </w:p>
    <w:p w14:paraId="5FE94BD4">
      <w:pPr>
        <w:ind w:left="720"/>
        <w:rPr>
          <w:rFonts w:eastAsia="SimSun"/>
          <w:color w:val="auto"/>
          <w:sz w:val="22"/>
          <w:szCs w:val="22"/>
          <w:lang w:val="en-US" w:eastAsia="zh-CN" w:bidi="ar"/>
        </w:rPr>
      </w:pPr>
    </w:p>
    <w:p w14:paraId="00D51549">
      <w:pPr>
        <w:ind w:left="720"/>
        <w:rPr>
          <w:color w:val="auto"/>
          <w:sz w:val="22"/>
          <w:szCs w:val="22"/>
        </w:rPr>
      </w:pPr>
    </w:p>
    <w:p w14:paraId="6EE08476">
      <w:pPr>
        <w:pStyle w:val="4"/>
        <w:rPr>
          <w:color w:val="auto"/>
          <w:sz w:val="22"/>
          <w:szCs w:val="22"/>
        </w:rPr>
      </w:pPr>
      <w:r>
        <w:rPr>
          <w:color w:val="auto"/>
          <w:sz w:val="22"/>
          <w:szCs w:val="22"/>
        </w:rPr>
        <w:t>7.2 Aprendizajes Clave</w:t>
      </w:r>
    </w:p>
    <w:p w14:paraId="74B5B08D">
      <w:pPr>
        <w:spacing w:before="60" w:after="60"/>
        <w:jc w:val="left"/>
        <w:rPr>
          <w:color w:val="auto"/>
          <w:sz w:val="22"/>
          <w:szCs w:val="22"/>
        </w:rPr>
      </w:pPr>
      <w:r>
        <w:rPr>
          <w:rFonts w:ascii="Arial" w:hAnsi="Arial" w:eastAsia="Arial" w:cs="Arial"/>
          <w:b w:val="0"/>
          <w:bCs w:val="0"/>
          <w:i w:val="0"/>
          <w:iCs w:val="0"/>
          <w:color w:val="auto"/>
          <w:sz w:val="22"/>
          <w:szCs w:val="22"/>
        </w:rPr>
        <w:t>Al analizar los casos de uso y la Matriz de Stakeholders desde la perspectiva del Arquitecto de Software, y al llevar esas decisiones hasta el prototipo funcional verificado, comprendí que la transformación del sistema SAMR mediante IA y bots conversacionales no es la adición de funcionalidades a un sistema existente, sino la construcción de una plataforma distribuida de nueva generación donde la IA</w:t>
      </w:r>
      <w:r>
        <w:rPr>
          <w:rFonts w:hint="default" w:cs="Arial"/>
          <w:b w:val="0"/>
          <w:bCs w:val="0"/>
          <w:i w:val="0"/>
          <w:iCs w:val="0"/>
          <w:color w:val="auto"/>
          <w:sz w:val="22"/>
          <w:szCs w:val="22"/>
          <w:lang w:val="es-ES"/>
        </w:rPr>
        <w:t xml:space="preserve"> </w:t>
      </w:r>
      <w:r>
        <w:rPr>
          <w:rFonts w:ascii="Arial" w:hAnsi="Arial" w:eastAsia="Arial" w:cs="Arial"/>
          <w:b w:val="0"/>
          <w:bCs w:val="0"/>
          <w:i w:val="0"/>
          <w:iCs w:val="0"/>
          <w:color w:val="auto"/>
          <w:sz w:val="22"/>
          <w:szCs w:val="22"/>
        </w:rPr>
        <w:t>es un ciudadano de primera clase con requisitos propios de ciclo de vida, explicabilidad y ética.</w:t>
      </w:r>
    </w:p>
    <w:p w14:paraId="44AED666">
      <w:pPr>
        <w:spacing w:before="40" w:after="40"/>
        <w:jc w:val="left"/>
        <w:rPr>
          <w:color w:val="auto"/>
          <w:sz w:val="22"/>
          <w:szCs w:val="22"/>
        </w:rPr>
      </w:pPr>
    </w:p>
    <w:p w14:paraId="581FF25B">
      <w:pPr>
        <w:spacing w:before="60" w:after="60"/>
        <w:jc w:val="left"/>
        <w:rPr>
          <w:color w:val="auto"/>
          <w:sz w:val="22"/>
          <w:szCs w:val="22"/>
        </w:rPr>
      </w:pPr>
      <w:r>
        <w:rPr>
          <w:rFonts w:ascii="Arial" w:hAnsi="Arial" w:eastAsia="Arial" w:cs="Arial"/>
          <w:b w:val="0"/>
          <w:bCs w:val="0"/>
          <w:i w:val="0"/>
          <w:iCs w:val="0"/>
          <w:color w:val="auto"/>
          <w:sz w:val="22"/>
          <w:szCs w:val="22"/>
        </w:rPr>
        <w:t>La construcción del prototipo hasta el nivel de interfaz funcional reveló una dimensión que no había considerado suficientemente en la versión original de este informe: la arquitectura de la experiencia de usuario es tan crítica como la arquitectura de los servicios. Un sistema con latencias impecables pero una interfaz que un paciente de 68 años no puede operar en situación de emergencia no cumple su propósito. El design system SAMR con cumplimiento WCAG 2.1 AA es, en este sentido, un requisito arquitectónico no funcional tan importante como la disponibilidad del 99.5%.</w:t>
      </w:r>
    </w:p>
    <w:p w14:paraId="7C51C519">
      <w:pPr>
        <w:spacing w:before="40" w:after="40"/>
        <w:jc w:val="left"/>
        <w:rPr>
          <w:color w:val="auto"/>
          <w:sz w:val="22"/>
          <w:szCs w:val="22"/>
        </w:rPr>
      </w:pPr>
    </w:p>
    <w:p w14:paraId="0CAAB78B">
      <w:pPr>
        <w:spacing w:before="60" w:after="60"/>
        <w:jc w:val="left"/>
        <w:rPr>
          <w:color w:val="auto"/>
          <w:sz w:val="22"/>
          <w:szCs w:val="22"/>
        </w:rPr>
      </w:pPr>
      <w:r>
        <w:rPr>
          <w:rFonts w:ascii="Arial" w:hAnsi="Arial" w:eastAsia="Arial" w:cs="Arial"/>
          <w:b w:val="0"/>
          <w:bCs w:val="0"/>
          <w:i w:val="0"/>
          <w:iCs w:val="0"/>
          <w:color w:val="auto"/>
          <w:sz w:val="22"/>
          <w:szCs w:val="22"/>
        </w:rPr>
        <w:t xml:space="preserve">La restricción de trabajar con el stack definitivo aprobado (Node.js, React, PostgreSQL/TimescaleDB, BullMQ, Docker/GCP, Med-Gemini API) en lugar de tecnologías genéricas cambió la naturaleza de las decisiones arquitectónicas: dejaron de ser recomendaciones abstractas y se convirtieron en compromisos verificables con valores medibles en el prototipo. Esta experiencia </w:t>
      </w:r>
      <w:r>
        <w:rPr>
          <w:rFonts w:hint="default" w:cs="Arial"/>
          <w:b w:val="0"/>
          <w:bCs w:val="0"/>
          <w:i w:val="0"/>
          <w:iCs w:val="0"/>
          <w:color w:val="auto"/>
          <w:sz w:val="22"/>
          <w:szCs w:val="22"/>
          <w:lang w:val="es-ES"/>
        </w:rPr>
        <w:t>me hizo ver</w:t>
      </w:r>
      <w:r>
        <w:rPr>
          <w:rFonts w:ascii="Arial" w:hAnsi="Arial" w:eastAsia="Arial" w:cs="Arial"/>
          <w:b w:val="0"/>
          <w:bCs w:val="0"/>
          <w:i w:val="0"/>
          <w:iCs w:val="0"/>
          <w:color w:val="auto"/>
          <w:sz w:val="22"/>
          <w:szCs w:val="22"/>
        </w:rPr>
        <w:t xml:space="preserve"> que el valor del arquitecto no está en recomendar buenas prácticas genéricas, sino en tomar decisiones concretas que hagan el sistema simultáneamente correcto, eficiente, seguro y humano.</w:t>
      </w:r>
      <w:bookmarkStart w:id="0" w:name="_GoBack"/>
      <w:bookmarkEnd w:id="0"/>
    </w:p>
    <w:p w14:paraId="7BB2D872">
      <w:pPr>
        <w:jc w:val="left"/>
        <w:rPr>
          <w:rFonts w:hint="eastAsia"/>
          <w:color w:val="auto"/>
        </w:rPr>
      </w:pPr>
    </w:p>
    <w:sectPr>
      <w:headerReference r:id="rId3" w:type="default"/>
      <w:footerReference r:id="rId4" w:type="default"/>
      <w:pgSz w:w="11900" w:h="16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0B8F1">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E9CD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spacing w:before="40" w:after="40"/>
        <w:ind w:left="540" w:hanging="360"/>
      </w:pPr>
    </w:lvl>
    <w:lvl w:ilvl="1" w:tentative="0">
      <w:start w:val="1"/>
      <w:numFmt w:val="bullet"/>
      <w:lvlText w:val="◦"/>
      <w:lvlJc w:val="left"/>
      <w:pPr>
        <w:spacing w:before="30" w:after="30"/>
        <w:ind w:left="900" w:hanging="360"/>
      </w:pPr>
    </w:lvl>
  </w:abstractNum>
  <w:abstractNum w:abstractNumId="1">
    <w:nsid w:val="1B9E3388"/>
    <w:multiLevelType w:val="singleLevel"/>
    <w:tmpl w:val="1B9E3388"/>
    <w:lvl w:ilvl="0" w:tentative="0">
      <w:start w:val="4"/>
      <w:numFmt w:val="decimal"/>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C05"/>
    <w:rsid w:val="00016E1F"/>
    <w:rsid w:val="000C4C5A"/>
    <w:rsid w:val="00133F5E"/>
    <w:rsid w:val="001413F0"/>
    <w:rsid w:val="00194272"/>
    <w:rsid w:val="003A2A86"/>
    <w:rsid w:val="004D3FEE"/>
    <w:rsid w:val="004F4B98"/>
    <w:rsid w:val="00E54804"/>
    <w:rsid w:val="00F52D98"/>
    <w:rsid w:val="00FD2C05"/>
    <w:rsid w:val="00FD38BC"/>
    <w:rsid w:val="07420D75"/>
    <w:rsid w:val="11B26F34"/>
    <w:rsid w:val="25076190"/>
    <w:rsid w:val="3EC10855"/>
    <w:rsid w:val="5B565677"/>
    <w:rsid w:val="66C51067"/>
    <w:rsid w:val="739F10A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lang w:val="zh-CN" w:eastAsia="en-US" w:bidi="ar-SA"/>
    </w:rPr>
  </w:style>
  <w:style w:type="paragraph" w:styleId="2">
    <w:name w:val="heading 1"/>
    <w:qFormat/>
    <w:uiPriority w:val="9"/>
    <w:pPr>
      <w:spacing w:before="280" w:after="140"/>
      <w:outlineLvl w:val="0"/>
    </w:pPr>
    <w:rPr>
      <w:rFonts w:ascii="Arial" w:hAnsi="Arial" w:eastAsia="Arial" w:cs="Arial"/>
      <w:b/>
      <w:bCs/>
      <w:color w:val="1F4E79"/>
      <w:sz w:val="28"/>
      <w:szCs w:val="28"/>
      <w:lang w:val="zh-CN" w:eastAsia="en-US" w:bidi="ar-SA"/>
    </w:rPr>
  </w:style>
  <w:style w:type="paragraph" w:styleId="3">
    <w:name w:val="heading 2"/>
    <w:unhideWhenUsed/>
    <w:qFormat/>
    <w:uiPriority w:val="9"/>
    <w:pPr>
      <w:spacing w:before="200" w:after="100"/>
      <w:outlineLvl w:val="1"/>
    </w:pPr>
    <w:rPr>
      <w:rFonts w:ascii="Arial" w:hAnsi="Arial" w:eastAsia="Arial" w:cs="Arial"/>
      <w:b/>
      <w:bCs/>
      <w:color w:val="2E75B6"/>
      <w:sz w:val="24"/>
      <w:szCs w:val="24"/>
      <w:lang w:val="zh-CN" w:eastAsia="en-US" w:bidi="ar-SA"/>
    </w:rPr>
  </w:style>
  <w:style w:type="paragraph" w:styleId="4">
    <w:name w:val="heading 3"/>
    <w:next w:val="1"/>
    <w:unhideWhenUsed/>
    <w:qFormat/>
    <w:uiPriority w:val="9"/>
    <w:pPr>
      <w:spacing w:before="160" w:after="80"/>
      <w:outlineLvl w:val="2"/>
    </w:pPr>
    <w:rPr>
      <w:rFonts w:ascii="Arial" w:hAnsi="Arial" w:eastAsia="Arial" w:cs="Arial"/>
      <w:b/>
      <w:bCs/>
      <w:color w:val="404040"/>
      <w:sz w:val="22"/>
      <w:szCs w:val="22"/>
      <w:lang w:val="zh-CN"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zh-CN"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zh-CN"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zh-CN"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20"/>
    <w:semiHidden/>
    <w:unhideWhenUsed/>
    <w:qFormat/>
    <w:uiPriority w:val="99"/>
    <w:rPr>
      <w:rFonts w:ascii="Arial" w:hAnsi="Arial" w:eastAsia="Arial" w:cs="Arial"/>
      <w:lang w:val="zh-CN" w:eastAsia="en-US" w:bidi="ar-SA"/>
    </w:rPr>
  </w:style>
  <w:style w:type="paragraph" w:styleId="14">
    <w:name w:val="endnote text"/>
    <w:link w:val="21"/>
    <w:semiHidden/>
    <w:unhideWhenUsed/>
    <w:qFormat/>
    <w:uiPriority w:val="99"/>
    <w:rPr>
      <w:rFonts w:ascii="Arial" w:hAnsi="Arial" w:eastAsia="Arial" w:cs="Arial"/>
      <w:lang w:val="zh-CN" w:eastAsia="en-US" w:bidi="ar-SA"/>
    </w:rPr>
  </w:style>
  <w:style w:type="paragraph" w:styleId="15">
    <w:name w:val="header"/>
    <w:basedOn w:val="1"/>
    <w:link w:val="22"/>
    <w:unhideWhenUsed/>
    <w:qFormat/>
    <w:uiPriority w:val="99"/>
    <w:pPr>
      <w:tabs>
        <w:tab w:val="center" w:pos="4680"/>
        <w:tab w:val="right" w:pos="9360"/>
      </w:tabs>
    </w:pPr>
  </w:style>
  <w:style w:type="paragraph" w:styleId="16">
    <w:name w:val="footer"/>
    <w:basedOn w:val="1"/>
    <w:link w:val="23"/>
    <w:unhideWhenUsed/>
    <w:qFormat/>
    <w:uiPriority w:val="99"/>
    <w:pPr>
      <w:tabs>
        <w:tab w:val="center" w:pos="4680"/>
        <w:tab w:val="right" w:pos="9360"/>
      </w:tabs>
    </w:pPr>
  </w:style>
  <w:style w:type="paragraph" w:styleId="17">
    <w:name w:val="Title"/>
    <w:qFormat/>
    <w:uiPriority w:val="10"/>
    <w:rPr>
      <w:rFonts w:ascii="Arial" w:hAnsi="Arial" w:eastAsia="Arial" w:cs="Arial"/>
      <w:sz w:val="56"/>
      <w:szCs w:val="56"/>
      <w:lang w:val="zh-CN" w:eastAsia="en-US" w:bidi="ar-SA"/>
    </w:rPr>
  </w:style>
  <w:style w:type="paragraph" w:customStyle="1" w:styleId="18">
    <w:name w:val="Strong1"/>
    <w:qFormat/>
    <w:uiPriority w:val="0"/>
    <w:rPr>
      <w:rFonts w:ascii="Arial" w:hAnsi="Arial" w:eastAsia="Arial" w:cs="Arial"/>
      <w:b/>
      <w:bCs/>
      <w:sz w:val="22"/>
      <w:szCs w:val="22"/>
      <w:lang w:val="zh-CN" w:eastAsia="en-US" w:bidi="ar-SA"/>
    </w:rPr>
  </w:style>
  <w:style w:type="paragraph" w:styleId="19">
    <w:name w:val="List Paragraph"/>
    <w:qFormat/>
    <w:uiPriority w:val="0"/>
    <w:rPr>
      <w:rFonts w:ascii="Arial" w:hAnsi="Arial" w:eastAsia="Arial" w:cs="Arial"/>
      <w:sz w:val="22"/>
      <w:szCs w:val="22"/>
      <w:lang w:val="zh-CN" w:eastAsia="en-US" w:bidi="ar-SA"/>
    </w:rPr>
  </w:style>
  <w:style w:type="character" w:customStyle="1" w:styleId="20">
    <w:name w:val="Texto nota pie Car"/>
    <w:link w:val="13"/>
    <w:semiHidden/>
    <w:unhideWhenUsed/>
    <w:qFormat/>
    <w:uiPriority w:val="99"/>
    <w:rPr>
      <w:sz w:val="20"/>
      <w:szCs w:val="20"/>
    </w:rPr>
  </w:style>
  <w:style w:type="character" w:customStyle="1" w:styleId="21">
    <w:name w:val="Texto nota al final Car"/>
    <w:link w:val="14"/>
    <w:semiHidden/>
    <w:unhideWhenUsed/>
    <w:qFormat/>
    <w:uiPriority w:val="99"/>
    <w:rPr>
      <w:sz w:val="20"/>
      <w:szCs w:val="20"/>
    </w:rPr>
  </w:style>
  <w:style w:type="character" w:customStyle="1" w:styleId="22">
    <w:name w:val="Encabezado Car"/>
    <w:basedOn w:val="8"/>
    <w:link w:val="15"/>
    <w:qFormat/>
    <w:uiPriority w:val="99"/>
  </w:style>
  <w:style w:type="character" w:customStyle="1" w:styleId="23">
    <w:name w:val="Pie de página Car"/>
    <w:basedOn w:val="8"/>
    <w:link w:val="16"/>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500</Words>
  <Characters>3055</Characters>
  <Lines>180</Lines>
  <Paragraphs>51</Paragraphs>
  <TotalTime>15</TotalTime>
  <ScaleCrop>false</ScaleCrop>
  <LinksUpToDate>false</LinksUpToDate>
  <CharactersWithSpaces>3527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2026-05-20T16:20:00Z</dcterms:created>
  <dc:creator>Un-named</dc:creator>
  <cp:lastModifiedBy>Lady Robalino</cp:lastModifiedBy>
  <dcterms:modified xsi:type="dcterms:W3CDTF">2026-06-03T16:07:19Z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eyJoZGlkIjoiOTBiYWJiNmVmZjA4NmYxOTkwNTY0NjU3YzAyNjgxZWEiLCJ1c2VySWQiOiIxODAwNDUwNDAxNzc5OCJ9</vt:lpwstr>
  </property>
  <property fmtid="{D5CDD505-2E9C-101B-9397-08002B2CF9AE}" pid="3" name="KSOProductBuildVer">
    <vt:lpwstr>3082-12.1.0.26372</vt:lpwstr>
  </property>
  <property fmtid="{D5CDD505-2E9C-101B-9397-08002B2CF9AE}" pid="4" name="ICV">
    <vt:lpwstr>F28B8215AFE64D3290C842C4FA605DFC_12</vt:lpwstr>
  </property>
</Properties>
</file>