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t xml:space="preserve"/>
      </w:r>
    </w:p>
    <w:p>
      <w:pPr>
        <w:spacing w:after="60"/>
        <w:jc w:val="center"/>
      </w:pPr>
      <w:r>
        <w:rPr>
          <w:rFonts w:ascii="Arial" w:cs="Arial" w:eastAsia="Arial" w:hAnsi="Arial"/>
          <w:b/>
          <w:bCs/>
          <w:color w:val="1F4E79"/>
          <w:sz w:val="22"/>
          <w:szCs w:val="22"/>
        </w:rPr>
        <w:t xml:space="preserve">UNIVERSIDAD TÉCNICA PARTICULAR DE LOJA</w:t>
      </w:r>
    </w:p>
    <w:p>
      <w:pPr>
        <w:spacing w:after="320"/>
        <w:jc w:val="center"/>
      </w:pPr>
      <w:r>
        <w:rPr>
          <w:rFonts w:ascii="Arial" w:cs="Arial" w:eastAsia="Arial" w:hAnsi="Arial"/>
          <w:color w:val="595959"/>
          <w:sz w:val="20"/>
          <w:szCs w:val="20"/>
        </w:rPr>
        <w:t xml:space="preserve">Vicerrectorado Académico</w:t>
      </w:r>
    </w:p>
    <w:p>
      <w:pPr>
        <w:spacing w:after="120"/>
        <w:jc w:val="center"/>
      </w:pPr>
      <w:r>
        <w:rPr>
          <w:rFonts w:ascii="Arial" w:cs="Arial" w:eastAsia="Arial" w:hAnsi="Arial"/>
          <w:b/>
          <w:bCs/>
          <w:color w:val="1F4E79"/>
          <w:sz w:val="30"/>
          <w:szCs w:val="30"/>
        </w:rPr>
        <w:t xml:space="preserve">DOCUMENTO DE VISIÓN DEL PRODUCTO</w:t>
      </w:r>
    </w:p>
    <w:p>
      <w:pPr>
        <w:spacing w:after="80"/>
        <w:jc w:val="center"/>
      </w:pPr>
      <w:r>
        <w:rPr>
          <w:rFonts w:ascii="Arial" w:cs="Arial" w:eastAsia="Arial" w:hAnsi="Arial"/>
          <w:b/>
          <w:bCs/>
          <w:color w:val="2E75B6"/>
          <w:sz w:val="52"/>
          <w:szCs w:val="52"/>
        </w:rPr>
        <w:t xml:space="preserve">SAMR</w:t>
      </w:r>
    </w:p>
    <w:p>
      <w:pPr>
        <w:spacing w:after="60"/>
        <w:jc w:val="center"/>
      </w:pPr>
      <w:r>
        <w:rPr>
          <w:rFonts w:ascii="Arial" w:cs="Arial" w:eastAsia="Arial" w:hAnsi="Arial"/>
          <w:b/>
          <w:bCs/>
          <w:color w:val="1F4E79"/>
          <w:sz w:val="28"/>
          <w:szCs w:val="28"/>
        </w:rPr>
        <w:t xml:space="preserve">Sistema de Atención Médica Remota</w:t>
      </w:r>
    </w:p>
    <w:p>
      <w:pPr>
        <w:spacing w:after="60"/>
        <w:jc w:val="center"/>
      </w:pPr>
      <w:r>
        <w:rPr>
          <w:rFonts w:ascii="Arial" w:cs="Arial" w:eastAsia="Arial" w:hAnsi="Arial"/>
          <w:i/>
          <w:iCs/>
          <w:color w:val="595959"/>
          <w:sz w:val="22"/>
          <w:szCs w:val="22"/>
        </w:rPr>
        <w:t xml:space="preserve">Transformado mediante IA e Interfaces Conversacionales</w:t>
      </w:r>
    </w:p>
    <w:p>
      <w:pPr>
        <w:spacing w:after="180"/>
      </w:pPr>
      <w:r>
        <w:t xml:space="preserve"/>
      </w:r>
    </w:p>
    <w:p>
      <w:pPr>
        <w:spacing w:after="60"/>
        <w:jc w:val="center"/>
      </w:pPr>
      <w:r>
        <w:rPr>
          <w:rFonts w:ascii="Arial" w:cs="Arial" w:eastAsia="Arial" w:hAnsi="Arial"/>
          <w:b/>
          <w:bCs/>
          <w:color w:val="2E75B6"/>
          <w:sz w:val="22"/>
          <w:szCs w:val="22"/>
        </w:rPr>
        <w:t xml:space="preserve">Versión 3.3  |  Junio 2026</w:t>
      </w:r>
    </w:p>
    <w:p>
      <w:pPr>
        <w:spacing w:after="180"/>
      </w:pPr>
      <w:r>
        <w:t xml:space="preserve"/>
      </w:r>
    </w:p>
    <w:p>
      <w:pPr>
        <w:spacing w:after="60"/>
        <w:jc w:val="center"/>
      </w:pPr>
      <w:r>
        <w:rPr>
          <w:rFonts w:ascii="Arial" w:cs="Arial" w:eastAsia="Arial" w:hAnsi="Arial"/>
          <w:b/>
          <w:bCs/>
          <w:color w:val="1F4E79"/>
          <w:sz w:val="20"/>
          <w:szCs w:val="20"/>
        </w:rPr>
        <w:t xml:space="preserve">Integrantes del equipo:</w:t>
      </w:r>
    </w:p>
    <w:p>
      <w:pPr>
        <w:spacing w:after="36"/>
        <w:jc w:val="center"/>
      </w:pPr>
      <w:r>
        <w:rPr>
          <w:rFonts w:ascii="Arial" w:cs="Arial" w:eastAsia="Arial" w:hAnsi="Arial"/>
          <w:b/>
          <w:bCs/>
          <w:color w:val="1F4E79"/>
          <w:sz w:val="20"/>
          <w:szCs w:val="20"/>
        </w:rPr>
        <w:t xml:space="preserve">Julio Maldonado</w:t>
      </w:r>
      <w:r>
        <w:rPr>
          <w:rFonts w:ascii="Arial" w:cs="Arial" w:eastAsia="Arial" w:hAnsi="Arial"/>
          <w:color w:val="595959"/>
          <w:sz w:val="20"/>
          <w:szCs w:val="20"/>
        </w:rPr>
        <w:t xml:space="preserve"> — Administrador de Base de Datos</w:t>
      </w:r>
    </w:p>
    <w:p>
      <w:pPr>
        <w:spacing w:after="36"/>
        <w:jc w:val="center"/>
      </w:pPr>
      <w:r>
        <w:rPr>
          <w:rFonts w:ascii="Arial" w:cs="Arial" w:eastAsia="Arial" w:hAnsi="Arial"/>
          <w:b/>
          <w:bCs/>
          <w:color w:val="1F4E79"/>
          <w:sz w:val="20"/>
          <w:szCs w:val="20"/>
        </w:rPr>
        <w:t xml:space="preserve">Antonela Parra</w:t>
      </w:r>
      <w:r>
        <w:rPr>
          <w:rFonts w:ascii="Arial" w:cs="Arial" w:eastAsia="Arial" w:hAnsi="Arial"/>
          <w:color w:val="595959"/>
          <w:sz w:val="20"/>
          <w:szCs w:val="20"/>
        </w:rPr>
        <w:t xml:space="preserve"> — Desarrollador Backend</w:t>
      </w:r>
    </w:p>
    <w:p>
      <w:pPr>
        <w:spacing w:after="36"/>
        <w:jc w:val="center"/>
      </w:pPr>
      <w:r>
        <w:rPr>
          <w:rFonts w:ascii="Arial" w:cs="Arial" w:eastAsia="Arial" w:hAnsi="Arial"/>
          <w:b/>
          <w:bCs/>
          <w:color w:val="1F4E79"/>
          <w:sz w:val="20"/>
          <w:szCs w:val="20"/>
        </w:rPr>
        <w:t xml:space="preserve">Paula López</w:t>
      </w:r>
      <w:r>
        <w:rPr>
          <w:rFonts w:ascii="Arial" w:cs="Arial" w:eastAsia="Arial" w:hAnsi="Arial"/>
          <w:color w:val="595959"/>
          <w:sz w:val="20"/>
          <w:szCs w:val="20"/>
        </w:rPr>
        <w:t xml:space="preserve"> — Desarrollador Frontend</w:t>
      </w:r>
    </w:p>
    <w:p>
      <w:pPr>
        <w:spacing w:after="36"/>
        <w:jc w:val="center"/>
      </w:pPr>
      <w:r>
        <w:rPr>
          <w:rFonts w:ascii="Arial" w:cs="Arial" w:eastAsia="Arial" w:hAnsi="Arial"/>
          <w:b/>
          <w:bCs/>
          <w:color w:val="1F4E79"/>
          <w:sz w:val="20"/>
          <w:szCs w:val="20"/>
        </w:rPr>
        <w:t xml:space="preserve">Leydi Robalino</w:t>
      </w:r>
      <w:r>
        <w:rPr>
          <w:rFonts w:ascii="Arial" w:cs="Arial" w:eastAsia="Arial" w:hAnsi="Arial"/>
          <w:color w:val="595959"/>
          <w:sz w:val="20"/>
          <w:szCs w:val="20"/>
        </w:rPr>
        <w:t xml:space="preserve"> — Arquitecto de Software</w:t>
      </w:r>
    </w:p>
    <w:p>
      <w:pPr>
        <w:spacing w:after="36"/>
        <w:jc w:val="center"/>
      </w:pPr>
      <w:r>
        <w:rPr>
          <w:rFonts w:ascii="Arial" w:cs="Arial" w:eastAsia="Arial" w:hAnsi="Arial"/>
          <w:b/>
          <w:bCs/>
          <w:color w:val="1F4E79"/>
          <w:sz w:val="20"/>
          <w:szCs w:val="20"/>
        </w:rPr>
        <w:t xml:space="preserve">Alisson Condoy</w:t>
      </w:r>
      <w:r>
        <w:rPr>
          <w:rFonts w:ascii="Arial" w:cs="Arial" w:eastAsia="Arial" w:hAnsi="Arial"/>
          <w:color w:val="595959"/>
          <w:sz w:val="20"/>
          <w:szCs w:val="20"/>
        </w:rPr>
        <w:t xml:space="preserve"> — Especialista en Seguridad</w:t>
      </w:r>
    </w:p>
    <w:p>
      <w:pPr>
        <w:spacing w:after="36"/>
        <w:jc w:val="center"/>
      </w:pPr>
      <w:r>
        <w:rPr>
          <w:rFonts w:ascii="Arial" w:cs="Arial" w:eastAsia="Arial" w:hAnsi="Arial"/>
          <w:b/>
          <w:bCs/>
          <w:color w:val="1F4E79"/>
          <w:sz w:val="20"/>
          <w:szCs w:val="20"/>
        </w:rPr>
        <w:t xml:space="preserve">David León</w:t>
      </w:r>
      <w:r>
        <w:rPr>
          <w:rFonts w:ascii="Arial" w:cs="Arial" w:eastAsia="Arial" w:hAnsi="Arial"/>
          <w:color w:val="595959"/>
          <w:sz w:val="20"/>
          <w:szCs w:val="20"/>
        </w:rPr>
        <w:t xml:space="preserve"> — Analista de Requisitos</w:t>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 Control de Cambios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400"/>
        <w:gridCol w:w="4000"/>
        <w:gridCol w:w="1460"/>
      </w:tblGrid>
      <w:tr>
        <w:trPr>
          <w:tblHeader/>
        </w:trPr>
        <w:tc>
          <w:tcPr>
            <w:tcW w:type="dxa" w:w="9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Versión</w:t>
            </w:r>
          </w:p>
        </w:tc>
        <w:tc>
          <w:tcPr>
            <w:tcW w:type="dxa" w:w="1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Fecha</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Autor</w:t>
            </w:r>
          </w:p>
        </w:tc>
        <w:tc>
          <w:tcPr>
            <w:tcW w:type="dxa" w:w="4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c>
          <w:tcPr>
            <w:tcW w:type="dxa" w:w="14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0.1</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15/04/2026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de Trabajo</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Borrador inicial: conceptualización preliminar.</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Descartado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1.0</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11/05/2026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Versión con 10 módulos bajo ISO/IEC 25010.</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2.0</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19/05/2026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Transformación con IA y bots conversacionales.</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3.0</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24/05/2026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Reestructuración a 5 módulos esenciales.</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3.1</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27/05/2026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Reducción a 8 stakeholders esenciales. Actualización en cascada de RF, RNF, riesgos, criterios de éxito y trazabilidad.</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3.2</w:t>
            </w:r>
          </w:p>
        </w:tc>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29/05/2026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Incorporación de Med-Gemini como motor clínico de IA.</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Superado</w:t>
            </w:r>
          </w:p>
        </w:tc>
      </w:tr>
      <w:tr>
        <w:tc>
          <w:tcPr>
            <w:tcW w:type="dxa" w:w="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3.3</w:t>
            </w:r>
          </w:p>
        </w:tc>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02/06/2026</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4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Rediseño de M2 y M3: separación del bot, dos tipos de solicitud (síntomas y alerta IoT). RF actualizados en cascada.</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Vigente</w:t>
            </w:r>
          </w:p>
        </w:tc>
      </w:tr>
    </w:tbl>
    <w:p>
      <w:pPr>
        <w:spacing w:after="160"/>
      </w:pPr>
      <w:r>
        <w:t xml:space="preserve"/>
      </w:r>
    </w:p>
    <w:p>
      <w:pPr>
        <w:pStyle w:val="Heading1"/>
        <w:pBdr>
          <w:bottom w:val="single" w:color="2E75B6" w:sz="8" w:space="4"/>
        </w:pBdr>
        <w:spacing w:after="160" w:before="340"/>
      </w:pPr>
      <w:r>
        <w:rPr>
          <w:rFonts w:ascii="Arial" w:cs="Arial" w:eastAsia="Arial" w:hAnsi="Arial"/>
          <w:b/>
          <w:bCs/>
          <w:color w:val="1F4E79"/>
          <w:sz w:val="30"/>
          <w:szCs w:val="30"/>
        </w:rPr>
        <w:t xml:space="preserve">2. Aprobaciones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1400"/>
        <w:gridCol w:w="1460"/>
      </w:tblGrid>
      <w:tr>
        <w:trPr>
          <w:tblHeader/>
        </w:trPr>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Nombre</w:t>
            </w:r>
          </w:p>
        </w:tc>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Rol / Cargo</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Organización</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Fecha</w:t>
            </w:r>
          </w:p>
        </w:tc>
        <w:tc>
          <w:tcPr>
            <w:tcW w:type="dxa" w:w="14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Firma</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LLdE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Analistas de Requisitos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UTPL</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27/05/2026</w:t>
            </w:r>
          </w:p>
        </w:tc>
        <w:tc>
          <w:tcPr>
            <w:tcW w:type="dxa" w:w="14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
            </w:r>
          </w:p>
        </w:tc>
      </w:tr>
      <w:tr>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Docente de Ingeniería de Requisitos</w:t>
            </w:r>
          </w:p>
        </w:tc>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Revisor y aprobador</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UTPL</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27/05/2026</w:t>
            </w:r>
          </w:p>
        </w:tc>
        <w:tc>
          <w:tcPr>
            <w:tcW w:type="dxa" w:w="14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3. Introducción</w:t>
      </w:r>
    </w:p>
    <w:p>
      <w:pPr>
        <w:pStyle w:val="Heading2"/>
        <w:spacing w:after="100" w:before="240"/>
      </w:pPr>
      <w:r>
        <w:rPr>
          <w:rFonts w:ascii="Arial" w:cs="Arial" w:eastAsia="Arial" w:hAnsi="Arial"/>
          <w:b/>
          <w:bCs/>
          <w:color w:val="2E75B6"/>
          <w:sz w:val="24"/>
          <w:szCs w:val="24"/>
        </w:rPr>
        <w:t xml:space="preserve">3.1 Propósito del documento</w:t>
      </w:r>
    </w:p>
    <w:p>
      <w:pPr>
        <w:spacing w:after="110"/>
        <w:jc w:val="both"/>
      </w:pPr>
      <w:r>
        <w:rPr>
          <w:rFonts w:ascii="Arial" w:cs="Arial" w:eastAsia="Arial" w:hAnsi="Arial"/>
          <w:sz w:val="20"/>
          <w:szCs w:val="20"/>
        </w:rPr>
        <w:t xml:space="preserve">El presente documento define la visión de negocio, el alcance y los objetivos estratégicos del Sistema de Atención Médica Remota (SAMR), transformado mediante Inteligencia Artificial e interfaces conversacionales. Sirve como fundamento para el proceso de elicitación y análisis de requisitos, alineando a todos los interesados con la dirección del proyecto conforme a las guías del IEEE BABOK v3 y el estándar ISO/IEC 25010.</w:t>
      </w:r>
    </w:p>
    <w:p>
      <w:pPr>
        <w:spacing w:after="80"/>
      </w:pPr>
      <w:r>
        <w:t xml:space="preserve"/>
      </w:r>
    </w:p>
    <w:p>
      <w:pPr>
        <w:pStyle w:val="Heading2"/>
        <w:spacing w:after="100" w:before="240"/>
      </w:pPr>
      <w:r>
        <w:rPr>
          <w:rFonts w:ascii="Arial" w:cs="Arial" w:eastAsia="Arial" w:hAnsi="Arial"/>
          <w:b/>
          <w:bCs/>
          <w:color w:val="2E75B6"/>
          <w:sz w:val="24"/>
          <w:szCs w:val="24"/>
        </w:rPr>
        <w:t xml:space="preserve">3.2 Alcance del documento</w:t>
      </w:r>
    </w:p>
    <w:p>
      <w:pPr>
        <w:spacing w:after="110"/>
        <w:jc w:val="both"/>
      </w:pPr>
      <w:r>
        <w:rPr>
          <w:rFonts w:ascii="Arial" w:cs="Arial" w:eastAsia="Arial" w:hAnsi="Arial"/>
          <w:sz w:val="20"/>
          <w:szCs w:val="20"/>
        </w:rPr>
        <w:t xml:space="preserve">Este documento cubre la visión, objetivos, stakeholders, alcance del producto y la identificación de requerimientos funcionales y no funcionales del sistema SAMR en su versión v3.1 con arquitectura de 5 módulos esenciales y 8 stakeholders clave. No incluye especificaciones técnicas detalladas ni requisitos de bajo nivel.</w:t>
      </w:r>
    </w:p>
    <w:p>
      <w:pPr>
        <w:spacing w:after="80"/>
      </w:pPr>
      <w:r>
        <w:t xml:space="preserve"/>
      </w:r>
    </w:p>
    <w:p>
      <w:pPr>
        <w:pStyle w:val="Heading2"/>
        <w:spacing w:after="100" w:before="240"/>
      </w:pPr>
      <w:r>
        <w:rPr>
          <w:rFonts w:ascii="Arial" w:cs="Arial" w:eastAsia="Arial" w:hAnsi="Arial"/>
          <w:b/>
          <w:bCs/>
          <w:color w:val="2E75B6"/>
          <w:sz w:val="24"/>
          <w:szCs w:val="24"/>
        </w:rPr>
        <w:t xml:space="preserve">3.3 Definiciones, acrónimos y abreviaturas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Término</w:t>
            </w:r>
          </w:p>
        </w:tc>
        <w:tc>
          <w:tcPr>
            <w:tcW w:type="dxa" w:w="61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Definición</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SAMR</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Sistema de Atención Médica Remota</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Requisito Funcional</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Requisito No Funcional</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MSP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Ministerio de Salud Pública del Ecuador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IESS</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Instituto Ecuatoriano de Seguridad Social</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LOPDP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Ley Orgánica de Protección de Datos Personales del Ecuador</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EKG / ECG</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Electrocardiograma — registra la actividad eléctrica del corazón</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EEG</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Electroencefalograma — registra la actividad eléctrica del cerebro</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HL7/FHIR</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Estándares internacionales de interoperabilidad para intercambio de información clínica</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NLP</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Natural Language Processing — Procesamiento de Lenguaje Natural</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XAI</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Explainable AI — capacidad del sistema de explicar sus decisiones automatizadas</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Bot</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Interfaz conversacional automatizada (chatbot de texto o voicebot de voz)</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MLOps</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Prácticas de operaciones para el ciclo de vida de modelos de machine learning</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MFA</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Multi-Factor Authentication — Autenticación de múltiples factores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SLA</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Service Level Agreement — Acuerdo de Nivel de Servicio</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RTO</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Recovery Time Objective — tiempo máximo para restablecer el sistema tras una falla</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w:t>
            </w:r>
          </w:p>
        </w:tc>
        <w:tc>
          <w:tcPr>
            <w:tcW w:type="dxa" w:w="6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Modelo de Inteligencia Artificial multimodal de Google, específicamente entrenado en datos clínicos. Actúa como motor de razonamiento médico del sistema SAMR para triaje, detección predictiva de anomalías biométricas y soporte diagnóstico en teleconsulta con explicabilidad (XAI).</w:t>
            </w:r>
          </w:p>
        </w:tc>
      </w:tr>
      <w:tr>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Log de auditoría</w:t>
            </w:r>
          </w:p>
        </w:tc>
        <w:tc>
          <w:tcPr>
            <w:tcW w:type="dxa" w:w="6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Registro inmutable de cada acción realizada en el sistema</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4. Declaración del Problema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problema de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carencia de un sistema estructurado para el monitoreo continuo y la atención remota de pacientes domiciliarios, que dificulta la detección oportuna de anomalías clínicas y la gestión eficiente de emergencias médicas a distancia.</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Afecta 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 Pacientes con enfermedades crónicas o en seguimiento domiciliario (ST01)
• Médicos y centros de asistencia que brindan atención remota (ST02, ST04)
• Ministerio de Salud Pública como ente regulador (ST05)
• Oficial de Protección de Datos responsable del cumplimiento legal (ST06)</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impacto es</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Pérdida de visibilidad clínica entre consultas · Diagnósticos remotos sin historial integrado · Riesgos de privacidad en transmisión de datos médicos · Ansiedad del paciente sin retroalimentación en tiempo real · Decisiones médicas sin soporte predictivo ni explicable</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Una solución exitosa permitiría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Monitoreo continuo predictivo con alertas tempranas y explicables · Bot conversacional como primera línea accesible · Teleconsulta con historial integrado y soporte de IA · Interoperabilidad con IESS/MSP bajo HL7/FHIR · Seguridad y auditoría bajo LOPDP</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5. Enunciado de Visión del Producto</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Para</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Pacientes con enfermedades crónicas o en seguimiento domiciliario · Médicos y profesionales de la salud que realizan teleconsultas · Centros de asistencia del consorcio médico</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Quién(es)</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Requieren monitoreo continuo con alertas predictivas y explicables · Necesitan acceso al historial clínico con soporte de IA durante la teleconsulta · Deben garantizar seguridad, privacidad y trazabilidad bajo la LOPDP y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El producto</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SAMR — Sistema de Atención Médica Remota con IA e Interfaces Conversacionales</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Que</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Ofrece un bot conversacional como primera línea de interacción natural para el paciente · Realiza triaje automatizado con NLP y clasificación de riesgo explicable · Monitorea signos vitales con modelos predictivos y alertas proactivas · Brinda teleconsulta con historial integrado y sugerencias de IA con XAI · Garantiza trazabilidad regulatoria completa ante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A diferencia de</w:t>
            </w:r>
          </w:p>
        </w:tc>
        <w:tc>
          <w:tcPr>
            <w:tcW w:type="dxa" w:w="65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sistemas actuales que no ofrecen monitoreo predictivo, no cuentan con interfaces conversacionales accesibles, no explican sus decisiones automatizadas y no mantienen registro auditable para el MSP</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30"/>
              <w:bottom w:type="dxa" w:w="80"/>
              <w:right w:type="dxa" w:w="130"/>
            </w:tcMar>
          </w:tcPr>
          <w:p>
            <w:r>
              <w:rPr>
                <w:rFonts w:ascii="Arial" w:cs="Arial" w:eastAsia="Arial" w:hAnsi="Arial"/>
                <w:b/>
                <w:bCs/>
                <w:color w:val="1F4E79"/>
                <w:sz w:val="18"/>
                <w:szCs w:val="18"/>
              </w:rPr>
              <w:t xml:space="preserve">Esta aplicación garantiza</w:t>
            </w:r>
          </w:p>
        </w:tc>
        <w:tc>
          <w:tcPr>
            <w:tcW w:type="dxa" w:w="65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Servicio confiable 24/7 · Explicabilidad de todas las decisiones de IA para pacientes y reguladores · Protección de datos con cifrado y consentimiento explícito bajo la LOPDP · Repositorio persistente y logs de auditoría inmutables</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6. Objetivos de Negocio (SMART)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2400"/>
        <w:gridCol w:w="1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4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Objetivo (SMART)</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Métrica de éxito</w:t>
            </w:r>
          </w:p>
        </w:tc>
        <w:tc>
          <w:tcPr>
            <w:tcW w:type="dxa" w:w="1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Plazo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c>
          <w:tcPr>
            <w:tcW w:type="dxa" w:w="4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Atender el 95% de las solicitudes de urgencia domiciliaria dentro de 10 minutos desde la recepción, con soporte del bot conversacional para guía inicial. (M2)</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Tiempo de respuesta ≤ 10 min en el 95% de los casos</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3 meses</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c>
          <w:tcPr>
            <w:tcW w:type="dxa" w:w="4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Monitorear continuamente al 99% de los pacientes domiciliarios activos y detectar anomalías biométricas con precisión ≥ 98% mediante modelos predictivos con alertas explicables. (M3)</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Tasa de detección ≥ 98% con falsos positivos ≤ 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 meses</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c>
          <w:tcPr>
            <w:tcW w:type="dxa" w:w="4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Garantizar disponibilidad del servicio 24/7 durante los primeros 6 meses de operación productiva. (M1–M5)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Tiempo de actividad ≥ 99.5%</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6 meses</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c>
          <w:tcPr>
            <w:tcW w:type="dxa" w:w="4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Garantizar que el 100% de las interacciones con el bot y decisiones de IA queden registradas en el log de auditoría inmutable, cumpliendo la LOPDP y el MSP. (M5)</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Auditoría regulatoria sin observaciones en el primer ciclo</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3 meses</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7. Análisis de Interesados</w:t>
      </w:r>
    </w:p>
    <w:p>
      <w:pPr>
        <w:pStyle w:val="Heading2"/>
        <w:spacing w:after="100" w:before="240"/>
      </w:pPr>
      <w:r>
        <w:rPr>
          <w:rFonts w:ascii="Arial" w:cs="Arial" w:eastAsia="Arial" w:hAnsi="Arial"/>
          <w:b/>
          <w:bCs/>
          <w:color w:val="2E75B6"/>
          <w:sz w:val="24"/>
          <w:szCs w:val="24"/>
        </w:rPr>
        <w:t xml:space="preserve">7.1 Registro de interesados</w:t>
      </w:r>
    </w:p>
    <w:p>
      <w:pPr>
        <w:spacing w:after="110"/>
        <w:jc w:val="both"/>
      </w:pPr>
      <w:r>
        <w:rPr>
          <w:rFonts w:ascii="Arial" w:cs="Arial" w:eastAsia="Arial" w:hAnsi="Arial"/>
          <w:sz w:val="20"/>
          <w:szCs w:val="20"/>
        </w:rPr>
        <w:t xml:space="preserve">Los siguientes 8 stakeholders fueron identificados como esenciales para el funcionamiento del sistema SAMR. Cada uno tiene responsabilidad directa sobre al menos un módulo o requisito del sistema.</w:t>
      </w:r>
    </w:p>
    <w:p>
      <w:pPr>
        <w:spacing w:after="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800"/>
        <w:gridCol w:w="800"/>
        <w:gridCol w:w="800"/>
        <w:gridCol w:w="16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Nombre / Grupo</w:t>
            </w:r>
          </w:p>
        </w:tc>
        <w:tc>
          <w:tcPr>
            <w:tcW w:type="dxa" w:w="2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Rol en el proyecto</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Poder</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Interés</w:t>
            </w:r>
          </w:p>
        </w:tc>
        <w:tc>
          <w:tcPr>
            <w:tcW w:type="dxa" w:w="16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Usuario principal y beneficiario directo. Interactúa con el bot y la app para solicitar atención y recibir monitoreo.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Mantener informado y satisfecho</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Personal Médico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Ejecuta teleconsultas (M4), diagnostica, valida sugerencias de IA y recibe alertas biométricas del monitoreo (M3).</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ST03</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Personal Administrativo</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Operador diario del sistema: gestiona solicitudes, asigna recursos y supervisa el panel de estados (M2).</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ST04</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Centro de Asistencia / Consorcio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Institución que recibe y responde solicitudes de atención. Opera los módulos M2, M3 y M4.</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ST05</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Ministerio de Salud Pública (MSP)</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Ente regulador: certifica y audita el sistema completo incluyendo IA, bot y logs de auditoría (M5).</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ST06</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Oficial de Protección de Datos (DPO)</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Garantiza cumplimiento de la LOPDP en IA, bot, historial clínico y gestión del consentimiento (M5).</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ST07</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Equipo MLOps / Med-Gemini</w:t>
            </w:r>
          </w:p>
        </w:tc>
        <w:tc>
          <w:tcPr>
            <w:tcW w:type="dxa" w:w="2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 el ciclo de vida de Med-Gemini en el sistema SAMR: integración, configuración clínica, monitoreo de precisión, reentrenamiento y auditoría de equidad. Responsable de M2 y M3.</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Colaborar activamente</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ST08</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Patrocinador — Ing. Armando Cabrera</w:t>
            </w:r>
          </w:p>
        </w:tc>
        <w:tc>
          <w:tcPr>
            <w:tcW w:type="dxa" w:w="2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Financia el proyecto, aprueba el presupuesto y el alcance estratégico. Responsable de la viabilidad del sistema.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Gestionar de cerca</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7.2 Mapa de poder / interés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360"/>
      </w:tblGrid>
      <w:tr>
        <w:trPr>
          <w:tblHeader/>
        </w:trPr>
        <w:tc>
          <w:tcPr>
            <w:tcW w:type="dxa" w:w="2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Cuadrante</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Stakeholders</w:t>
            </w:r>
          </w:p>
        </w:tc>
        <w:tc>
          <w:tcPr>
            <w:tcW w:type="dxa" w:w="4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 Poder / Alto Interés</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ST04, ST05, ST06, ST08</w:t>
            </w:r>
          </w:p>
        </w:tc>
        <w:tc>
          <w:tcPr>
            <w:tcW w:type="dxa" w:w="4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de cerca. Reuniones frecuentes, validación constante de requisitos y acceso prioritario a decisiones del proyecto.</w:t>
            </w:r>
          </w:p>
        </w:tc>
      </w:tr>
      <w:tr>
        <w:tc>
          <w:tcPr>
            <w:tcW w:type="dxa" w:w="2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 Poder / Alto Interés</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 ST03, ST07</w:t>
            </w:r>
          </w:p>
        </w:tc>
        <w:tc>
          <w:tcPr>
            <w:tcW w:type="dxa" w:w="4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Colaborar activamente. Participación en elicitación, talleres y validación de prototipos.</w:t>
            </w:r>
          </w:p>
        </w:tc>
      </w:tr>
      <w:tr>
        <w:tc>
          <w:tcPr>
            <w:tcW w:type="dxa" w:w="2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Bajo Poder / Alto Interés</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w:t>
            </w:r>
          </w:p>
        </w:tc>
        <w:tc>
          <w:tcPr>
            <w:tcW w:type="dxa" w:w="4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Mantener informado y satisfecho. Pruebas de usuario y encuestas de satisfacción.</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7.3 Perfil de usuarios clave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600"/>
        <w:gridCol w:w="4060"/>
      </w:tblGrid>
      <w:tr>
        <w:trPr>
          <w:tblHeader/>
        </w:trPr>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Usuario</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Nivel técnico</w:t>
            </w:r>
          </w:p>
        </w:tc>
        <w:tc>
          <w:tcPr>
            <w:tcW w:type="dxa" w:w="1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Frecuencia de uso</w:t>
            </w:r>
          </w:p>
        </w:tc>
        <w:tc>
          <w:tcPr>
            <w:tcW w:type="dxa" w:w="4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Necesidad principal</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Paciente (ST01)</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Básico — medio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Variable según estado de salud</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Interactuar con el bot para reportar síntomas, solicitar ayuda y recibir guía comprensible en situaciones de emergencia.</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Médico (ST02)</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Medio — alto</w:t>
            </w:r>
          </w:p>
        </w:tc>
        <w:tc>
          <w:tcPr>
            <w:tcW w:type="dxa" w:w="1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Diaria</w:t>
            </w:r>
          </w:p>
        </w:tc>
        <w:tc>
          <w:tcPr>
            <w:tcW w:type="dxa" w:w="4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Acceder al historial clínico completo, recibir alertas con XAI y realizar teleconsultas con soporte diagnóstico de IA.</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Administrativo (ST03)</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Diaria intensiva</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solicitudes entrantes, asignar recursos y supervisar el panel de estados del sistema.</w:t>
            </w:r>
          </w:p>
        </w:tc>
      </w:tr>
      <w:tr>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MSP / Auditor (ST05)</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1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Periódica — auditorías</w:t>
            </w:r>
          </w:p>
        </w:tc>
        <w:tc>
          <w:tcPr>
            <w:tcW w:type="dxa" w:w="4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Acceder a logs inmutables con decisiones de IA y conversaciones con bot para certificación regulatoria.</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MLOps / Med-Gemini (ST07)</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1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Continua</w:t>
            </w:r>
          </w:p>
        </w:tc>
        <w:tc>
          <w:tcPr>
            <w:tcW w:type="dxa" w:w="4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Gestionar la integración y operación de Med-Gemini en SAMR. Monitorear precisión clínica, equidad algorítmica y explicabilidad de las decisiones del modelo.</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8. Alcance del Producto</w:t>
      </w:r>
    </w:p>
    <w:p>
      <w:pPr>
        <w:pStyle w:val="Heading2"/>
        <w:spacing w:after="100" w:before="240"/>
      </w:pPr>
      <w:r>
        <w:rPr>
          <w:rFonts w:ascii="Arial" w:cs="Arial" w:eastAsia="Arial" w:hAnsi="Arial"/>
          <w:b/>
          <w:bCs/>
          <w:color w:val="2E75B6"/>
          <w:sz w:val="24"/>
          <w:szCs w:val="24"/>
        </w:rPr>
        <w:t xml:space="preserve">8.1 Declaración de alcance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680"/>
        <w:gridCol w:w="4280"/>
      </w:tblGrid>
      <w:tr>
        <w:trPr>
          <w:tblHeader/>
        </w:trPr>
        <w:tc>
          <w:tcPr>
            <w:tcW w:type="dxa" w:w="468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DENTRO del alcance</w:t>
            </w:r>
          </w:p>
        </w:tc>
        <w:tc>
          <w:tcPr>
            <w:tcW w:type="dxa" w:w="428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FUERA del alcance (esta versión)</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Gestión de Usuarios y Acceso: Registro, login y perfiles con roles diferenciados (paciente, médico, administrativo). Autenticación MFA. Validación automatizada de elegibilidad en el IESS/MSP. Registro de consentimiento LOPDP.</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Gestión de pagos, cobros y pasarelas financieras. Facturación electrónica o flujos de reembolso.</w:t>
            </w:r>
          </w:p>
        </w:tc>
      </w:tr>
      <w:tr>
        <w:tc>
          <w:tcPr>
            <w:tcW w:type="dxa" w:w="46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Inteligente y Gestión de Solicitudes: Bot que guía al paciente paso a paso para crear la solicitud (preguntas simples, sin tecnicismos). Motor NLP Med-Gemini para clasificación clínica del riesgo. Dos tipos de solicitud: (1) Solicitud de reporte de síntomas — generada tras el triaje con el bot; (2) Alerta de emergencia con datos IoT — el paciente envía alerta directa con todas las lecturas biométricas capturadas en ese momento. Procesamiento asíncrono de ambos tipos. Motor de matching inteligente. Panel dinámico de estados en tiempo real.</w:t>
            </w:r>
          </w:p>
        </w:tc>
        <w:tc>
          <w:tcPr>
            <w:tcW w:type="dxa" w:w="42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Implementación de modelos NLP avanzados en producción (Fase 1 usa reglas; modelos reales en Fase 2). Logística física de ambulancias.</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Monitoreo Biométrico Predictivo: Captura continua de flujos IoT (EKG, EEG, oxímetro). Med-Gemini detecta patrones precursores de eventos críticos. Generación de alerta proactiva con los datos IoT capturados en el momento exacto de la detección. El bot explica la alerta al paciente en lenguaje comprensible — no la genera, solo la comunica.</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Diagnóstico automatizado definitivo — el sistema alerta y explica, pero la decisión médica final es humana. Calibración o mantenimiento físico de dispositivos.</w:t>
            </w:r>
          </w:p>
        </w:tc>
      </w:tr>
      <w:tr>
        <w:tc>
          <w:tcPr>
            <w:tcW w:type="dxa" w:w="46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Teleconsulta y Atención Médica: Canal de video/audio de baja latencia. Historial clínico completo integrado con datos del IESS/MSP bajo HL7/FHIR. Sugerencias diagnósticas de IA con XAI. Emisión de recetas digitales con firma electrónica. Derivación de emergencia presencial.</w:t>
            </w:r>
          </w:p>
        </w:tc>
        <w:tc>
          <w:tcPr>
            <w:tcW w:type="dxa" w:w="428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Módulo de agendamiento presencial de citas en consultorios. Gestión contable interna del consorcio.</w:t>
            </w:r>
          </w:p>
        </w:tc>
      </w:tr>
      <w:tr>
        <w:tc>
          <w:tcPr>
            <w:tcW w:type="dxa" w:w="46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Auditoría y Cumplimiento: Cifrado AES-256 en reposo y TLS 1.3 en tránsito. Consentimiento explícito LOPDP. Repositorio centralizado con retención regulada. Logs de auditoría inmutables con hash criptográfico que incluyen decisiones de IA y conversaciones con bot, listos para inspección del MSP.</w:t>
            </w:r>
          </w:p>
        </w:tc>
        <w:tc>
          <w:tcPr>
            <w:tcW w:type="dxa" w:w="428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 física perimetral de servidores. Validación de veracidad médica de datos introducidos por error humano.</w:t>
            </w:r>
          </w:p>
        </w:tc>
      </w:tr>
    </w:tbl>
    <w:p>
      <w:pPr>
        <w:spacing w:after="160"/>
      </w:pPr>
      <w:r>
        <w:t xml:space="preserve"/>
      </w:r>
    </w:p>
    <w:p>
      <w:r>
        <w:br w:type="page"/>
      </w:r>
    </w:p>
    <w:p>
      <w:pPr>
        <w:pStyle w:val="Heading2"/>
        <w:spacing w:after="100" w:before="240"/>
      </w:pPr>
      <w:r>
        <w:rPr>
          <w:rFonts w:ascii="Arial" w:cs="Arial" w:eastAsia="Arial" w:hAnsi="Arial"/>
          <w:b/>
          <w:bCs/>
          <w:color w:val="2E75B6"/>
          <w:sz w:val="24"/>
          <w:szCs w:val="24"/>
        </w:rPr>
        <w:t xml:space="preserve">8.2 Características principales del sistema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100"/>
        <w:gridCol w:w="3300"/>
        <w:gridCol w:w="760"/>
      </w:tblGrid>
      <w:tr>
        <w:trPr>
          <w:tblHeader/>
        </w:trPr>
        <w:tc>
          <w:tcPr>
            <w:tcW w:type="dxa" w:w="1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w:t>
            </w:r>
          </w:p>
        </w:tc>
        <w:tc>
          <w:tcPr>
            <w:tcW w:type="dxa" w:w="21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Característica</w:t>
            </w:r>
          </w:p>
        </w:tc>
        <w:tc>
          <w:tcPr>
            <w:tcW w:type="dxa" w:w="3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c>
          <w:tcPr>
            <w:tcW w:type="dxa" w:w="7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Prioridad</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M01-C01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Gestión de Usuarios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 y gestión de perfiles con roles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 login y perfiles con roles: paciente, médico y administrativo, con autenticación MFA obligatoria.</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M01-C02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 — Gestión de Usuarios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de elegibilidad en línea</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Consulta automatizada al IESS/MSP para verificar la cobertura del paciente antes de activar servicios.</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 conversacional de primera línea</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Chatbot de texto y voicebot que guía al paciente en el reporte natural de síntomas con fallback seguro a humano cuando el bot no puede resolver la situación.</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 Motor de triaje clínico</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analiza la descripción de síntomas recibida por el bot, aplica razonamiento clínico especializado y clasifica la solicitud por nivel de prioridad médica con explicación XAI comprensible para el paciente y el médico.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Procesamiento asíncrono de solicitudes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Gestión de solicitudes manuales (vía bot) y automáticas (alertas IoT) sin bloqueo del sistema.</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M02-C04</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Motor de matching inteligente</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Algoritmo que asigna cada caso al centro y médico más idóneo según especialidad, disponibilidad, ubicación y tiempo estimado de respuesta.</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M02-C05</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Triaje y Solicitudes</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Panel dinámico de estados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Tablero en tiempo real del ciclo de vida del auxilio: Recibido → Asignado → En Atención → Atendido.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Captura continua de flujos IoT</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Recepción y procesamiento de datos biométricos en tiempo real desde dispositivos del paciente (EKG, EEG, oxímetro).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 Detección predictiva de anomalías</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analiza los flujos biométricos continuos (EKG, EEG, oxímetro), identifica patrones precursores de eventos críticos con anticipación y genera alertas proactivas con explicación clínica del riesgo detectado.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Monitoreo Biométrico</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Explicación de alertas vía bot (XAI)</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bot explica al paciente en lenguaje comprensible las razones de cada alerta generada por el modelo predictivo.</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Teleconsulta con Med-Gemini y XAI</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Canal de videollamada de baja latencia con historial clínico completo. Med-Gemini genera sugerencias diagnósticas basadas en el contexto clínico del paciente con explicación XAI visible para el médico en tiempo real.</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Emisión de recetas digitales</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Generación y firma electrónica de recetas e instrucciones médicas durante la teleconsulta.</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Derivación de emergencia presencial</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Botón de atención inmediata para solicitar despacho de emergencia cuando el médico determina un caso crítico.</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M04-C04</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Teleconsulta y Atención</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Rechazar y reasignar solicitud de emergencia</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Permite al Personal Médico rechazar una solicitud de emergencia cuando no pueda atenderla (sobrecarga, falta de especialidad, indisponibilidad temporal), seleccionando un motivo obligatorio. El sistema reasigna automáticamente la solicitud al médico o Centro de Asistencia más idóneo según disponibilidad, especialidad y zona geográfica. Si no hay médico disponible en 5 minutos, escala al Centro de Asistencia o sistema de emergencias.</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Cifrado de datos en reposo y tránsito</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AES-256 en reposo y TLS 1.3 en tránsito para todas las comunicaciones y datos, incluyendo conversaciones con bot.</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Consentimiento explícito LOPDP</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Gestión del consentimiento del paciente para acceso al historial y uso de conversaciones con bot para reentrenamiento de modelos.</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Repositorio centralizado persistente</w:t>
            </w:r>
          </w:p>
        </w:tc>
        <w:tc>
          <w:tcPr>
            <w:tcW w:type="dxa" w:w="3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Almacenamiento centralizado con retención regulada del historial clínico, solicitudes y conversaciones con bot.</w:t>
            </w:r>
          </w:p>
        </w:tc>
        <w:tc>
          <w:tcPr>
            <w:tcW w:type="dxa" w:w="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r>
      <w:tr>
        <w:tc>
          <w:tcPr>
            <w:tcW w:type="dxa" w:w="1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M05-C04</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Seguridad y Auditoría</w:t>
            </w:r>
          </w:p>
        </w:tc>
        <w:tc>
          <w:tcPr>
            <w:tcW w:type="dxa" w:w="2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Logs de auditoría inmutables con IA</w:t>
            </w:r>
          </w:p>
        </w:tc>
        <w:tc>
          <w:tcPr>
            <w:tcW w:type="dxa" w:w="3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Registros con hash criptográfico que incluyen decisiones de IA y conversaciones con bot, listos para el MSP.</w:t>
            </w:r>
          </w:p>
        </w:tc>
        <w:tc>
          <w:tcPr>
            <w:tcW w:type="dxa" w:w="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9. Restricciones, Suposiciones y Dependencias</w:t>
      </w:r>
    </w:p>
    <w:p>
      <w:pPr>
        <w:pStyle w:val="Heading2"/>
        <w:spacing w:after="100" w:before="240"/>
      </w:pPr>
      <w:r>
        <w:rPr>
          <w:rFonts w:ascii="Arial" w:cs="Arial" w:eastAsia="Arial" w:hAnsi="Arial"/>
          <w:b/>
          <w:bCs/>
          <w:color w:val="2E75B6"/>
          <w:sz w:val="24"/>
          <w:szCs w:val="24"/>
        </w:rPr>
        <w:t xml:space="preserve">9.1 Restricciones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67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Tipo</w:t>
            </w:r>
          </w:p>
        </w:tc>
        <w:tc>
          <w:tcPr>
            <w:tcW w:type="dxa" w:w="67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R-01</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requiere que el paciente cuente con acceso a Internet para el monitoreo, la teleconsulta y la interacción con el bot.</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R-02</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Legal / Normativa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debe cumplir con la LOPDP, la Ley Orgánica de Salud del Ecuador, las regulaciones del MSP y los estándares HL7/FHIR.</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R-03</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Legal / Normativa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validez legal de las recetas digitales y las decisiones de IA está condicionada al marco regulatorio vigente del MSP en Ecuador.</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R-04</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 precisión del monitoreo biométrico depende de la calidad y calibración de los dispositivos del paciente, externos al sistema.</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R-05</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Técnica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Las APIs del IESS y la Red de Salud Pública deben estar disponibles y accesibles para el sistema.</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R-06</w:t>
            </w:r>
          </w:p>
        </w:tc>
        <w:tc>
          <w:tcPr>
            <w:tcW w:type="dxa" w:w="1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Ética / IA</w:t>
            </w:r>
          </w:p>
        </w:tc>
        <w:tc>
          <w:tcPr>
            <w:tcW w:type="dxa" w:w="67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Los modelos de IA y el bot deben ser auditables, explicables y libres de sesgos discriminatorios verificables por el ST07 (MLOps).</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R-07</w:t>
            </w:r>
          </w:p>
        </w:tc>
        <w:tc>
          <w:tcPr>
            <w:tcW w:type="dxa" w:w="1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Legal / IA</w:t>
            </w:r>
          </w:p>
        </w:tc>
        <w:tc>
          <w:tcPr>
            <w:tcW w:type="dxa" w:w="67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consentimiento explícito del paciente (ST01) es obligatorio antes de usar sus conversaciones con el bot para reentrenamiento de modelos (ST07).</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9.2 Suposiciones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81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81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Suposición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SA-01</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pacientes (ST01) cuentan con al menos un dispositivo con acceso a Internet para interactuar con el sistema y el bot.</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SA-02</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Las APIs del IESS y la Red de Salud Pública estarán disponibles y técnicamente accesibles para integración bajo HL7/FHIR.</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SA-03</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proveedores de infraestructura cloud garantizarán disponibilidad mínima del 99.5% conforme al SLA del proyecto.</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SA-04</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personal médico (ST02) y administrativo (ST03) recibirán capacitación básica antes de la puesta en producción.</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SA-05</w:t>
            </w:r>
          </w:p>
        </w:tc>
        <w:tc>
          <w:tcPr>
            <w:tcW w:type="dxa" w:w="81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Los umbrales clínicos para el triaje y los modelos predictivos serán proporcionados y avalados por médicos especialistas del consorcio (ST04) antes del diseño.</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SA-06</w:t>
            </w:r>
          </w:p>
        </w:tc>
        <w:tc>
          <w:tcPr>
            <w:tcW w:type="dxa" w:w="81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equipo MLOps (ST07) dispondrá de datos de entrenamiento suficientes y etiquetados para construir los modelos iniciales de triaje y detección de anomalías.</w:t>
            </w:r>
          </w:p>
        </w:tc>
      </w:tr>
    </w:tbl>
    <w:p>
      <w:pPr>
        <w:spacing w:after="80"/>
      </w:pPr>
      <w:r>
        <w:t xml:space="preserve"/>
      </w:r>
    </w:p>
    <w:p>
      <w:pPr>
        <w:pStyle w:val="Heading2"/>
        <w:spacing w:after="100" w:before="240"/>
      </w:pPr>
      <w:r>
        <w:rPr>
          <w:rFonts w:ascii="Arial" w:cs="Arial" w:eastAsia="Arial" w:hAnsi="Arial"/>
          <w:b/>
          <w:bCs/>
          <w:color w:val="2E75B6"/>
          <w:sz w:val="24"/>
          <w:szCs w:val="24"/>
        </w:rPr>
        <w:t xml:space="preserve">9.3 Dependencias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100"/>
        <w:gridCol w:w="2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Dependencia</w:t>
            </w:r>
          </w:p>
        </w:tc>
        <w:tc>
          <w:tcPr>
            <w:tcW w:type="dxa" w:w="31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Impacto si no se cumple</w:t>
            </w:r>
          </w:p>
        </w:tc>
        <w:tc>
          <w:tcPr>
            <w:tcW w:type="dxa" w:w="2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Responsable</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D-01</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Integración con el IESS (API externa)</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No se podrá validar la elegibilidad del paciente ni importar historial externo.</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ST04 — Equipo TI del consorcio</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D-02</w:t>
            </w:r>
          </w:p>
        </w:tc>
        <w:tc>
          <w:tcPr>
            <w:tcW w:type="dxa" w:w="2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Integración con la Red de Salud Pública (HL7/FHIR)</w:t>
            </w:r>
          </w:p>
        </w:tc>
        <w:tc>
          <w:tcPr>
            <w:tcW w:type="dxa" w:w="3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historial médico del paciente estará incompleto durante la teleconsulta.</w:t>
            </w:r>
          </w:p>
        </w:tc>
        <w:tc>
          <w:tcPr>
            <w:tcW w:type="dxa" w:w="2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MSP / Proveedor de red</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D-03</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Infraestructura cloud (AWS / Azure / GCP)</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 disponibilidad 24/7 y la escalabilidad del sistema no podrán garantizarse.</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Proveedor externo (no stakeholder)</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D-04</w:t>
            </w:r>
          </w:p>
        </w:tc>
        <w:tc>
          <w:tcPr>
            <w:tcW w:type="dxa" w:w="2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Dispositivos médicos del paciente (EKG, EEG, oxímetro)</w:t>
            </w:r>
          </w:p>
        </w:tc>
        <w:tc>
          <w:tcPr>
            <w:tcW w:type="dxa" w:w="31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módulo M3 de monitoreo biométrico y los modelos predictivos no funcionarán.</w:t>
            </w:r>
          </w:p>
        </w:tc>
        <w:tc>
          <w:tcPr>
            <w:tcW w:type="dxa" w:w="2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Paciente / ST04 Centro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D-05</w:t>
            </w:r>
          </w:p>
        </w:tc>
        <w:tc>
          <w:tcPr>
            <w:tcW w:type="dxa" w:w="2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operativo e integrado al sistema</w:t>
            </w:r>
          </w:p>
        </w:tc>
        <w:tc>
          <w:tcPr>
            <w:tcW w:type="dxa" w:w="31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triaje clínico (M2), la detección predictiva (M3) y el soporte diagnóstico (M4) no estarán disponibles. El sistema operaría en modo básico reactivo sin capacidades de IA.</w:t>
            </w:r>
          </w:p>
        </w:tc>
        <w:tc>
          <w:tcPr>
            <w:tcW w:type="dxa" w:w="2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ST07 Equipo MLOps / Med-Gemini</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10. Estrategia de Mitigación de Riesgos de Requisitos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700"/>
        <w:gridCol w:w="800"/>
        <w:gridCol w:w="800"/>
        <w:gridCol w:w="33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29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Riesgo</w:t>
            </w:r>
          </w:p>
        </w:tc>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Prob.</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Impacto</w:t>
            </w:r>
          </w:p>
        </w:tc>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Nivel</w:t>
            </w:r>
          </w:p>
        </w:tc>
        <w:tc>
          <w:tcPr>
            <w:tcW w:type="dxa" w:w="3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Estrategia de mitigación</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RR-01</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Baja adopción por resistencia al cambio del personal médico (ST02) y administrativo (ST03).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Sesiones de capacitación previas al despliegue. Involucrar médicos referentes como champions del sistema junto con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RR-02</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Umbrales clínicos de Med-Gemini ambiguos para alertas biométricas — ¿qué patrón activa la alerta?</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Definir umbrales clínicos con ST02 y ST04 antes de configurar Med-Gemini. Validar la precisión del modelo en un entorno controlado antes del despliegue productivo.</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RR-03</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Dependencia de APIs externas no disponibles (IESS, Red de Salud Pública).</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Acordar SLA con proveedores (D-01, D-02) antes del inicio del desarrollo. Implementar modo degradado sin validación de elegibilidad.</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RR-04</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Problemas de conectividad en zonas rurales que afecten calidad del monitoreo y teleconsulta.</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Implementar mecanismos de tolerancia a fallos y comunicación alternativa (SMS, almacenamiento temporal local).</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RR-05</w:t>
            </w:r>
          </w:p>
        </w:tc>
        <w:tc>
          <w:tcPr>
            <w:tcW w:type="dxa" w:w="29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Sesgo o inequidad en Med-Gemini que perjudique a grupos de pacientes (ST01) por factores demográficos.</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Media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Auditorías de equidad de Med-Gemini ejecutadas por ST07 con supervisión del ST06 (DPO). Validar que los datos de configuración del modelo representen adecuadamente la población ecuatoriana.</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RR-06</w:t>
            </w:r>
          </w:p>
        </w:tc>
        <w:tc>
          <w:tcPr>
            <w:tcW w:type="dxa" w:w="29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Explicabilidad de Med-Gemini insuficiente para satisfacer los criterios de aprobación regulatoria del MSP (ST05).</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Alta</w:t>
            </w:r>
          </w:p>
        </w:tc>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Crítico</w:t>
            </w:r>
          </w:p>
        </w:tc>
        <w:tc>
          <w:tcPr>
            <w:tcW w:type="dxa" w:w="3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Definir criterios de XAI aceptables con ST05 y ST06 desde la Fase 1. Validar que las explicaciones de Med-Gemini sean comprensibles para el personal médico (ST02) y los auditores del MSP.</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11. Criterios de Éxito del Proyecto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200"/>
        <w:gridCol w:w="8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3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Criterio de éxito</w:t>
            </w:r>
          </w:p>
        </w:tc>
        <w:tc>
          <w:tcPr>
            <w:tcW w:type="dxa" w:w="32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Forma de medición</w:t>
            </w:r>
          </w:p>
        </w:tc>
        <w:tc>
          <w:tcPr>
            <w:tcW w:type="dxa" w:w="8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OB</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CE-01</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95% de las solicitudes de urgencia son atendidas dentro de los 10 minutos posteriores a su recepción, incluyendo las iniciadas por el bot (M2).</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Logs del sistema — tiempo entre creación de solicitud y confirmación de asignación de médico.</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CE-02</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La tasa de detección de anomalías biométricas del módulo M3 alcanza ≥ 98% con falsos positivos ≤ 2%.</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clínica cruzada con datos reales durante las pruebas del módulo M3, supervisada por ST02 y ST07.</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CE-03</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mantiene disponibilidad ≥ 99.5% durante los primeros 6 meses de operación productiva.</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Dashboard de infraestructura con métricas de uptime en tiempo real.</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MSP (ST05) valida los logs de auditoría del módulo M5 — incluyendo conversaciones con bot y decisiones de IA — como suficientes para la certificación regulatoria.</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Revisión formal del ST05 de al menos un ciclo completo de auditoría del sistema.</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CE-05</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90% de los usuarios (ST01 y ST02) califica la usabilidad del sistema y del bot como satisfactoria o mejor.</w:t>
            </w:r>
          </w:p>
        </w:tc>
        <w:tc>
          <w:tcPr>
            <w:tcW w:type="dxa" w:w="32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Encuesta de satisfacción post-implementación aplicada a ST01 y ST02.</w:t>
            </w:r>
          </w:p>
        </w:tc>
        <w:tc>
          <w:tcPr>
            <w:tcW w:type="dxa" w:w="8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OB-01/OB-03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CE-06</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100% de las decisiones automatizadas de IA incluyen explicación comprensible verificada por ST06 (DPO) y ST07 (MLOps).</w:t>
            </w:r>
          </w:p>
        </w:tc>
        <w:tc>
          <w:tcPr>
            <w:tcW w:type="dxa" w:w="32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Revisión de muestra aleatoria de 100 decisiones del sistema por ST06 y ST07.</w:t>
            </w:r>
          </w:p>
        </w:tc>
        <w:tc>
          <w:tcPr>
            <w:tcW w:type="dxa" w:w="8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OB-04</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12. Requerimientos Funcionales y No Funcionales</w:t>
      </w:r>
    </w:p>
    <w:p>
      <w:pPr>
        <w:spacing w:after="110"/>
        <w:jc w:val="both"/>
      </w:pPr>
      <w:r>
        <w:rPr>
          <w:rFonts w:ascii="Arial" w:cs="Arial" w:eastAsia="Arial" w:hAnsi="Arial"/>
          <w:sz w:val="20"/>
          <w:szCs w:val="20"/>
        </w:rPr>
        <w:t xml:space="preserve">Los siguientes requerimientos fueron derivados directamente de las características del sistema definidas en la sección 8.2, manteniendo trazabilidad completa hacia los módulos y stakeholders que los originan.</w:t>
      </w:r>
    </w:p>
    <w:p>
      <w:pPr>
        <w:spacing w:after="80"/>
      </w:pPr>
      <w:r>
        <w:t xml:space="preserve"/>
      </w:r>
    </w:p>
    <w:p>
      <w:pPr>
        <w:pStyle w:val="Heading2"/>
        <w:spacing w:after="100" w:before="240"/>
      </w:pPr>
      <w:r>
        <w:rPr>
          <w:rFonts w:ascii="Arial" w:cs="Arial" w:eastAsia="Arial" w:hAnsi="Arial"/>
          <w:b/>
          <w:bCs/>
          <w:color w:val="2E75B6"/>
          <w:sz w:val="24"/>
          <w:szCs w:val="24"/>
        </w:rPr>
        <w:t xml:space="preserve">12.1 Requerimientos Funcionales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5300"/>
        <w:gridCol w:w="20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w:t>
            </w:r>
          </w:p>
        </w:tc>
        <w:tc>
          <w:tcPr>
            <w:tcW w:type="dxa" w:w="53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del Requerimiento Funcional</w:t>
            </w:r>
          </w:p>
        </w:tc>
        <w:tc>
          <w:tcPr>
            <w:tcW w:type="dxa" w:w="2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Trazabilidad</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permitirá el registro, inicio de sesión y gestión de perfiles con roles: paciente (ST01), médico (ST02) y administrativo (ST03), con autenticación MFA obligatoria.</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M01-C01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RF-02</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validará automáticamente la elegibilidad del paciente en el IESS/MSP antes de activar los servicios ambulatorios.</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M01-C02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ofrecerá un bot conversacional (chatbot de texto y voicebot) como primera línea de interacción para que el paciente (ST01) reporte síntomas de forma natural.</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escalará automáticamente a un profesional humano (ST02) cuando el bot no pueda resolver la situación, manteniendo el contexto completo de la conversación.</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M02-C01</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RF-05</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utilizará Med-Gemini para analizar la descripción de síntomas reportada por el bot, aplicar razonamiento clínico especializado y clasificar la solicitud por nivel de prioridad médica con explicación XAI comprensible para el paciente (ST01) y el médico (ST02).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M02-C02</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RF-06</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procesará de forma asíncrona las solicitudes de auxilio, tanto las manuales (vía bot) como las automáticas generadas por el monitoreo IoT.</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ejecutará un motor de matching inteligente que asignará cada caso al centro (ST04) y médico (ST02) más idóneo según especialidad, disponibilidad, ubicación y tiempo de respuesta.</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M02-C04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visualizará en un panel dinámico en tiempo real el estado de cada solicitud activa durante todo su ciclo de vida para ST01 y ST03.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M02-C05</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capturará y procesará flujos biométricos continuos desde los dispositivos del paciente (ST01): EKG, EEG, oxímetro.</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RF-10</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utilizará Med-Gemini para analizar los flujos biométricos continuos, detectar patrones precursores de eventos críticos con anticipación y generar alertas proactivas con explicación clínica del riesgo detectado.</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explicará a través del bot, en lenguaje comprensible para el paciente (ST01), las razones de cada alerta biométrica generada por el modelo predictivo.</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M03-C03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enviará alertas críticas de forma simultánea al paciente (ST01), al médico responsable (ST02) y al centro de asistencia asignado (ST04).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M03-C03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habilitará un canal de videollamada de baja latencia con historial clínico completo integrado. Med-Gemini generará sugerencias diagnósticas basadas en el contexto clínico del paciente con explicación XAI visible para el médico (ST02) en tiempo real.</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RF-15</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permitirá al médico (ST02) emitir recetas digitales con firma electrónica durante la teleconsulta.</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RF-16</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proveerá un mecanismo de derivación inmediata para solicitar el despacho de emergencia presencial cuando el médico (ST02) lo determine.</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RF-21</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permitirá al Personal Médico (ST02) rechazar una solicitud de emergencia seleccionando un motivo obligatorio. El sistema reasignará automáticamente la solicitud al médico o Centro de Asistencia más idóneo (ST04) según disponibilidad, especialidad y zona geográfica. Si no hay recurso disponible en ≤ 5 minutos, escalará automáticamente al Centro de Asistencia o Sistema de Emergencias.</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M04-C04</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RF-17</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cifrará todos los datos almacenados y en tránsito (AES-256 en reposo, TLS 1.3 en tránsito) incluyendo conversaciones con bot, bajo supervisión del ST06 (DPO).</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M05-C01</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RF-18</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registrará el consentimiento explícito del paciente (ST01) bajo la LOPDP antes de acceder al historial o usar conversaciones con bot para reentrenamiento de modelos (ST07).</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RF-19</w:t>
            </w:r>
          </w:p>
        </w:tc>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sistema almacenará de forma persistente el historial clínico, solicitudes y conversaciones con bot en un repositorio centralizado con retención mínima de 5 años.</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M05-C03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RF-19</w:t>
            </w:r>
          </w:p>
        </w:tc>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w:t>
            </w:r>
          </w:p>
        </w:tc>
        <w:tc>
          <w:tcPr>
            <w:tcW w:type="dxa" w:w="53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generará logs de auditoría inmutables con hash criptográfico que incluyan decisiones de IA y conversaciones con bot, listos para inspecciones del MSP (ST05).</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M05-C04</w:t>
            </w:r>
          </w:p>
        </w:tc>
      </w:tr>
    </w:tbl>
    <w:p>
      <w:pPr>
        <w:spacing w:after="160"/>
      </w:pPr>
      <w:r>
        <w:t xml:space="preserve"/>
      </w:r>
    </w:p>
    <w:p>
      <w:r>
        <w:br w:type="page"/>
      </w:r>
    </w:p>
    <w:p>
      <w:pPr>
        <w:pStyle w:val="Heading2"/>
        <w:spacing w:after="100" w:before="240"/>
      </w:pPr>
      <w:r>
        <w:rPr>
          <w:rFonts w:ascii="Arial" w:cs="Arial" w:eastAsia="Arial" w:hAnsi="Arial"/>
          <w:b/>
          <w:bCs/>
          <w:color w:val="2E75B6"/>
          <w:sz w:val="24"/>
          <w:szCs w:val="24"/>
        </w:rPr>
        <w:t xml:space="preserve">12.2 Requerimientos No Funcionales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600"/>
        <w:gridCol w:w="1500"/>
        <w:gridCol w:w="1360"/>
      </w:tblGrid>
      <w:tr>
        <w:trPr>
          <w:tblHeader/>
        </w:trPr>
        <w:tc>
          <w:tcPr>
            <w:tcW w:type="dxa" w:w="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ID</w:t>
            </w:r>
          </w:p>
        </w:tc>
        <w:tc>
          <w:tcPr>
            <w:tcW w:type="dxa" w:w="1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Atributo ISO/IEC 25010</w:t>
            </w:r>
          </w:p>
        </w:tc>
        <w:tc>
          <w:tcPr>
            <w:tcW w:type="dxa" w:w="36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y Métrica</w:t>
            </w:r>
          </w:p>
        </w:tc>
        <w:tc>
          <w:tcPr>
            <w:tcW w:type="dxa" w:w="15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RF Asociado</w:t>
            </w:r>
          </w:p>
        </w:tc>
        <w:tc>
          <w:tcPr>
            <w:tcW w:type="dxa" w:w="13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Trazabilidad</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RNF-01</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Autenticación MFA y OAuth 2.0. Métrica: 0 accesos no autorizados en auditorías. Responsable: ST06.</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 RF-02</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R-02</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RNF-02</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Escalabilidad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Soportar 5.000 usuarios concurrentes sin degradación. Métrica: Tiempo de respuesta ≤ 3s bajo carga máxima.</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RF-01</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SA-03</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RNF-03</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Usabilidad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Flujo del paciente completable en máximo 3 pasos. Métrica: Tasa de error ST01 ≤ 10%.</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 RF-08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CE-05</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RNF-04</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Panel dinámico se refresca en ≤ 500ms. Métrica: Latencia de actualización ≤ 500ms.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M02-C05</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RNF-05</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Procesamiento y asignación asíncrona en ≤ 5 segundos en el 99% de los casos.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RF-06</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RNF-06</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clasifica síntomas y genera la clasificación de riesgo con XAI en ≤ 2 segundos. Métrica: Tiempo de respuesta ≤ 2s. Responsable: ST07.</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RF-05</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M02-C02</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RNF-07</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Fiabilidad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Latencia máxima de 1 segundo en procesamiento de flujos IoT en el 99.9999% de las muestras.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 RF-12</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RNF-08</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Fiabilidad (Precisión)</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detecta anomalías biométricas con tasa ≥ 98% y falsos positivos ≤ 2%. Validada por ST07 con supervisión clínica de ST02.</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RF-11, RF-12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OB-02</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RNF-09</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Eficiencia</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Latencia en transmisión de video/audio en teleconsulta ≤ 200ms en el 95% de las sesiones.</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M04-C01</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RNF-10</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Cumplimiento Legal</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Almacenamiento del 100% de registros clínicos y conversaciones con bot. Supervisado por ST06.</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RF-14, RF-15, RF-19, RF-20</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RNF-11</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Disponibilidad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Disponibilidad garantizada ≥ 99.5%. Métrica: Tiempo de inactividad ≤ 4h/año.</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 RF-08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OB-03</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RNF-12</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Fiabilidad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Entrega de alertas críticas en ≤ 30 segundos en el 99.9999% de los eventos.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OB-01</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RNF-13</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Seguridad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Auditorías semestrales de seguridad ejecutadas por ST06. Métrica: 0 vulnerabilidades críticas sin mitigar.</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RF-17, RF-18</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R-02, R-06</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RNF-14</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Resiliencia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Backups automáticos diarios con retención de 5 años. Métrica: RTO ≤ 4h, RPO ≤ 24h.</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RF-19, RF-20</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CE-04</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RNF-15</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Explicabilidad (XAI)</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El 100% de las decisiones generadas por Med-Gemini (triaje, detección de anomalías, soporte diagnóstico) incluyen explicación comprensible para el paciente, el médico y el auditor. Verificado por ST06 y ST07.</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RF-04, RF-11, RF-08, RF-13</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CE-06</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RNF-16</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Equidad</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no presentará sesgos discriminatorios verificables en sus decisiones clínicas. Auditoría de equidad ejecutada por ST07 antes del despliegue y semestralmente. Métrica: 0 sesgos críticos.</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 RF-11</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R-06</w:t>
            </w:r>
          </w:p>
        </w:tc>
      </w:tr>
      <w:tr>
        <w:tc>
          <w:tcPr>
            <w:tcW w:type="dxa" w:w="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RNF-17</w:t>
            </w:r>
          </w:p>
        </w:tc>
        <w:tc>
          <w:tcPr>
            <w:tcW w:type="dxa" w:w="1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Mantenibilidad</w:t>
            </w:r>
          </w:p>
        </w:tc>
        <w:tc>
          <w:tcPr>
            <w:tcW w:type="dxa" w:w="36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Arquitectura extensible que permite integrar nuevos modelos de IA (ST07) y dispositivos sin rediseño estructural.</w:t>
            </w:r>
          </w:p>
        </w:tc>
        <w:tc>
          <w:tcPr>
            <w:tcW w:type="dxa" w:w="15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13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D-05</w:t>
            </w:r>
          </w:p>
        </w:tc>
      </w:tr>
      <w:tr>
        <w:tc>
          <w:tcPr>
            <w:tcW w:type="dxa" w:w="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RNF-18</w:t>
            </w:r>
          </w:p>
        </w:tc>
        <w:tc>
          <w:tcPr>
            <w:tcW w:type="dxa" w:w="1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Disponibilidad / Tiempo de respuesta</w:t>
            </w:r>
          </w:p>
        </w:tc>
        <w:tc>
          <w:tcPr>
            <w:tcW w:type="dxa" w:w="36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El sistema garantizará la reasignación de una solicitud de emergencia rechazada en ≤ 5 minutos. Si no hay médico disponible en ese tiempo, la escalación al Centro de Asistencia o Sistema de Emergencias se ejecutará automáticamente. Métrica: 100% de reasignaciones completadas en ≤ 5 min.</w:t>
            </w:r>
          </w:p>
        </w:tc>
        <w:tc>
          <w:tcPr>
            <w:tcW w:type="dxa" w:w="15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RF-21</w:t>
            </w:r>
          </w:p>
        </w:tc>
        <w:tc>
          <w:tcPr>
            <w:tcW w:type="dxa" w:w="13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M04-C04</w:t>
            </w:r>
          </w:p>
        </w:tc>
      </w:tr>
    </w:tbl>
    <w:p>
      <w:pPr>
        <w:spacing w:after="160"/>
      </w:pPr>
      <w:r>
        <w:t xml:space="preserve"/>
      </w:r>
    </w:p>
    <w:p>
      <w:r>
        <w:br w:type="page"/>
      </w:r>
    </w:p>
    <w:p>
      <w:pPr>
        <w:pStyle w:val="Heading1"/>
        <w:pBdr>
          <w:bottom w:val="single" w:color="2E75B6" w:sz="8" w:space="4"/>
        </w:pBdr>
        <w:spacing w:after="160" w:before="340"/>
      </w:pPr>
      <w:r>
        <w:rPr>
          <w:rFonts w:ascii="Arial" w:cs="Arial" w:eastAsia="Arial" w:hAnsi="Arial"/>
          <w:b/>
          <w:bCs/>
          <w:color w:val="1F4E79"/>
          <w:sz w:val="30"/>
          <w:szCs w:val="30"/>
        </w:rPr>
        <w:t xml:space="preserve">13. Matriz de Trazabilidad Completa</w:t>
      </w:r>
    </w:p>
    <w:p>
      <w:pPr>
        <w:spacing w:after="110"/>
        <w:jc w:val="both"/>
      </w:pPr>
      <w:r>
        <w:rPr>
          <w:rFonts w:ascii="Arial" w:cs="Arial" w:eastAsia="Arial" w:hAnsi="Arial"/>
          <w:sz w:val="20"/>
          <w:szCs w:val="20"/>
        </w:rPr>
        <w:t xml:space="preserve">La siguiente tabla cierra la cadena de trazabilidad completa del sistema SAMR: desde el stakeholder que origina la necesidad, pasando por el módulo que la agrupa y la característica que la describe, hasta el RF que la especifica y el RNF que la califica. Ningún requisito existe sin un stakeholder que lo respalde.</w:t>
      </w:r>
    </w:p>
    <w:p>
      <w:pPr>
        <w:spacing w:after="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000"/>
        <w:gridCol w:w="1800"/>
        <w:gridCol w:w="2060"/>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RF</w:t>
            </w:r>
          </w:p>
        </w:tc>
        <w:tc>
          <w:tcPr>
            <w:tcW w:type="dxa" w:w="24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Descripción resumida</w:t>
            </w:r>
          </w:p>
        </w:tc>
        <w:tc>
          <w:tcPr>
            <w:tcW w:type="dxa" w:w="20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Módulo — Característica</w:t>
            </w:r>
          </w:p>
        </w:tc>
        <w:tc>
          <w:tcPr>
            <w:tcW w:type="dxa" w:w="180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RNF Asociado</w:t>
            </w:r>
          </w:p>
        </w:tc>
        <w:tc>
          <w:tcPr>
            <w:tcW w:type="dxa" w:w="2060"/>
            <w:tcBorders>
              <w:top w:val="single" w:color="BDD7EE" w:sz="4"/>
              <w:left w:val="single" w:color="BDD7EE" w:sz="4"/>
              <w:bottom w:val="single" w:color="BDD7EE" w:sz="4"/>
              <w:right w:val="single" w:color="BDD7EE" w:sz="4"/>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18"/>
                <w:szCs w:val="18"/>
              </w:rPr>
              <w:t xml:space="preserve">Stakeholder que origina</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Registro, login, roles y MFA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M1 — M01-C01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RNF-01, RNF-02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ST03</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RF-02</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Validación elegibilidad IESS/MSP</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M1 — M01-C02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RNF-01</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ST05</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Bot conversacional primera línea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RNF-03, RNF-06</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RF-04</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Fallback bot → humano</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Med-Gemini — triaje clínico con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RNF-06, RNF-15, RNF-16</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RF-06</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Procesamiento asíncrono de solicitudes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RNF-05, RNF-11</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Motor de matching inteligente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M2 — M02-C04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RNF-05,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ST02, ST03,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RF-08</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Panel dinámico de estados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M2 — M02-C05</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RNF-03, RNF-04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ST03</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RF-09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Captura continua de flujos IoT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M03-C01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RNF-07, RNF-17</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RF-10</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Med-Gemini — detección predictiva de anomalías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M03-C02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RNF-07, RNF-08, RNF-15, RNF-16</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Explicación de alertas vía bot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M3 — M03-C03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RNF-08, RNF-12,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RF-12</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Alertas multicanal simultáneas</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M3 — M03-C03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RNF-12</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ST01, ST02, ST04</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Teleconsulta con Med-Gemini y XAI</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M04-C01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RNF-09, RNF-10, RNF-15</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ST02, ST07</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RF-14</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Recetas digitales con firma electrónica</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M4 — M04-C02</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RNF-10</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ST02</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Derivación de emergencia presencial</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M4 — M04-C03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RNF-12</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ST02, ST04</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RF-16</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Cifrado AES-256 / TLS 1.3</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M05-C01</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RNF-13</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ST06</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Consentimiento LOPDP para historial y bot</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M05-C02</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RNF-13</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ST01, ST06</w:t>
            </w:r>
          </w:p>
        </w:tc>
      </w:tr>
      <w:tr>
        <w:tc>
          <w:tcPr>
            <w:tcW w:type="dxa" w:w="7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RF-18</w:t>
            </w:r>
          </w:p>
        </w:tc>
        <w:tc>
          <w:tcPr>
            <w:tcW w:type="dxa" w:w="24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Repositorio centralizado persistente</w:t>
            </w:r>
          </w:p>
        </w:tc>
        <w:tc>
          <w:tcPr>
            <w:tcW w:type="dxa" w:w="20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M5 — M05-C03</w:t>
            </w:r>
          </w:p>
        </w:tc>
        <w:tc>
          <w:tcPr>
            <w:tcW w:type="dxa" w:w="180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RNF-14</w:t>
            </w:r>
          </w:p>
        </w:tc>
        <w:tc>
          <w:tcPr>
            <w:tcW w:type="dxa" w:w="2060"/>
            <w:tcBorders>
              <w:top w:val="single" w:color="BDD7EE" w:sz="4"/>
              <w:left w:val="single" w:color="BDD7EE" w:sz="4"/>
              <w:bottom w:val="single" w:color="BDD7EE" w:sz="4"/>
              <w:right w:val="single" w:color="BDD7EE" w:sz="4"/>
            </w:tcBorders>
            <w:shd w:fill="EBF3FB" w:val="clear"/>
            <w:tcMar>
              <w:top w:type="dxa" w:w="80"/>
              <w:left w:type="dxa" w:w="130"/>
              <w:bottom w:type="dxa" w:w="80"/>
              <w:right w:type="dxa" w:w="130"/>
            </w:tcMar>
          </w:tcPr>
          <w:p>
            <w:r>
              <w:rPr>
                <w:rFonts w:ascii="Arial" w:cs="Arial" w:eastAsia="Arial" w:hAnsi="Arial"/>
                <w:sz w:val="18"/>
                <w:szCs w:val="18"/>
              </w:rPr>
              <w:t xml:space="preserve">ST05, ST06</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RF-19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Logs de auditoría inmutables con IA</w:t>
            </w:r>
          </w:p>
        </w:tc>
        <w:tc>
          <w:tcPr>
            <w:tcW w:type="dxa" w:w="20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M5 — M05-C04</w:t>
            </w:r>
          </w:p>
        </w:tc>
        <w:tc>
          <w:tcPr>
            <w:tcW w:type="dxa" w:w="180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RNF-14, RNF-10</w:t>
            </w:r>
          </w:p>
        </w:tc>
        <w:tc>
          <w:tcPr>
            <w:tcW w:type="dxa" w:w="2060"/>
            <w:tcBorders>
              <w:top w:val="single" w:color="BDD7EE" w:sz="4"/>
              <w:left w:val="single" w:color="BDD7EE" w:sz="4"/>
              <w:bottom w:val="single" w:color="BDD7EE" w:sz="4"/>
              <w:right w:val="single" w:color="BDD7EE" w:sz="4"/>
            </w:tcBorders>
            <w:shd w:fill="FFFFFF" w:val="clear"/>
            <w:tcMar>
              <w:top w:type="dxa" w:w="80"/>
              <w:left w:type="dxa" w:w="130"/>
              <w:bottom w:type="dxa" w:w="80"/>
              <w:right w:type="dxa" w:w="130"/>
            </w:tcMar>
          </w:tcPr>
          <w:p>
            <w:r>
              <w:rPr>
                <w:rFonts w:ascii="Arial" w:cs="Arial" w:eastAsia="Arial" w:hAnsi="Arial"/>
                <w:sz w:val="18"/>
                <w:szCs w:val="18"/>
              </w:rPr>
              <w:t xml:space="preserve">ST05, ST06, ST07</w:t>
            </w:r>
          </w:p>
        </w:tc>
      </w:tr>
    </w:tbl>
    <w:p>
      <w:pPr>
        <w:spacing w:after="16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UTPL — Ingeniería de Requisitos  |  Mayo 2026</w:t>
    </w:r>
    <w:r>
      <w:rPr>
        <w:rFonts w:ascii="Arial" w:cs="Arial" w:eastAsia="Arial" w:hAnsi="Arial"/>
        <w:color w:val="595959"/>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6"/>
        <w:szCs w:val="16"/>
      </w:rPr>
      <w:t xml:space="preserve">SAMR — Documento de Visión v3.3</w:t>
    </w:r>
    <w:r>
      <w:rPr>
        <w:rFonts w:ascii="Arial" w:cs="Arial" w:eastAsia="Arial" w:hAnsi="Arial"/>
        <w:color w:val="595959"/>
        <w:sz w:val="16"/>
        <w:szCs w:val="16"/>
      </w:rPr>
      <w:t xml:space="preserve">  |  5 Módulos · 8 Stakeholders · Med-Gemini · v3.3 — Equipo LLdE — UTPL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2026-06-03T03:38:18.907Z</dcterms:created>
  <dcterms:modified xsi:type="dcterms:W3CDTF">2026-06-03T03:38:18.920Z</dcterms:modified>
</cp:coreProperties>
</file>

<file path=docProps/custom.xml><?xml version="1.0" encoding="utf-8"?>
<Properties xmlns="http://schemas.openxmlformats.org/officeDocument/2006/custom-properties" xmlns:vt="http://schemas.openxmlformats.org/officeDocument/2006/docPropsVTypes"/>
</file>