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7EB0F" w14:textId="4501ABD7" w:rsidR="00EC268D" w:rsidRPr="00EC268D" w:rsidRDefault="00EC268D" w:rsidP="00EC268D">
      <w:pPr>
        <w:rPr>
          <w:rFonts w:ascii="Calibri" w:hAnsi="Calibri" w:cs="Calibri"/>
        </w:rPr>
      </w:pPr>
      <w:r w:rsidRPr="00EC268D">
        <w:rPr>
          <w:rFonts w:ascii="Calibri" w:hAnsi="Calibri" w:cs="Calibri"/>
        </w:rPr>
        <w:t>FLUJO MÓDULO 3</w:t>
      </w:r>
    </w:p>
    <w:p w14:paraId="1C7B4883" w14:textId="3EBF8401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Paciente es monitoreado continuamente mediante dispositivos </w:t>
      </w:r>
      <w:proofErr w:type="spellStart"/>
      <w:r w:rsidRPr="00EC268D">
        <w:rPr>
          <w:rFonts w:ascii="Calibri" w:hAnsi="Calibri" w:cs="Calibri"/>
        </w:rPr>
        <w:t>IoT</w:t>
      </w:r>
      <w:proofErr w:type="spellEnd"/>
      <w:r w:rsidRPr="00EC268D">
        <w:rPr>
          <w:rFonts w:ascii="Calibri" w:hAnsi="Calibri" w:cs="Calibri"/>
        </w:rPr>
        <w:t xml:space="preserve"> (EKG, EEG y SpO2) conectados al Sistema SAMR. </w:t>
      </w:r>
    </w:p>
    <w:p w14:paraId="409998A4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Los dispositivos </w:t>
      </w:r>
      <w:proofErr w:type="spellStart"/>
      <w:r w:rsidRPr="00EC268D">
        <w:rPr>
          <w:rFonts w:ascii="Calibri" w:hAnsi="Calibri" w:cs="Calibri"/>
        </w:rPr>
        <w:t>IoT</w:t>
      </w:r>
      <w:proofErr w:type="spellEnd"/>
      <w:r w:rsidRPr="00EC268D">
        <w:rPr>
          <w:rFonts w:ascii="Calibri" w:hAnsi="Calibri" w:cs="Calibri"/>
        </w:rPr>
        <w:t xml:space="preserve"> envían datos biométricos en tiempo real al Sistema SAMR de forma continua. </w:t>
      </w:r>
    </w:p>
    <w:p w14:paraId="5F819741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Sistema SAMR recibe, consolida y normaliza los datos biométricos del Paciente. </w:t>
      </w:r>
    </w:p>
    <w:p w14:paraId="099483FD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Sistema SAMR envía los datos procesados al sistema Med-Gemini + XAI para análisis predictivo. </w:t>
      </w:r>
    </w:p>
    <w:p w14:paraId="21983F8D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sistema Med-Gemini + XAI analiza los datos biométricos y detecta posibles anomalías o patrones de riesgo. </w:t>
      </w:r>
    </w:p>
    <w:p w14:paraId="68CAD85D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sistema de IA genera un resultado con: </w:t>
      </w:r>
    </w:p>
    <w:p w14:paraId="48DB6750" w14:textId="2FBA7430" w:rsidR="00EC268D" w:rsidRPr="00EC268D" w:rsidRDefault="00EC268D" w:rsidP="00EC268D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nivel de riesgo (bajo, medio o alto) </w:t>
      </w:r>
    </w:p>
    <w:p w14:paraId="241747BF" w14:textId="0FE5EAA0" w:rsidR="00EC268D" w:rsidRPr="00EC268D" w:rsidRDefault="00EC268D" w:rsidP="00EC268D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explicación XAI </w:t>
      </w:r>
    </w:p>
    <w:p w14:paraId="2C284281" w14:textId="0706D7FD" w:rsidR="00EC268D" w:rsidRPr="00EC268D" w:rsidRDefault="00EC268D" w:rsidP="00EC268D">
      <w:pPr>
        <w:pStyle w:val="Prrafodelista"/>
        <w:numPr>
          <w:ilvl w:val="0"/>
          <w:numId w:val="4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tendencias biométricas relevantes </w:t>
      </w:r>
    </w:p>
    <w:p w14:paraId="1F8C19B8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Sistema SAMR recibe el resultado del análisis y clasifica la alerta según su nivel de criticidad. </w:t>
      </w:r>
    </w:p>
    <w:p w14:paraId="5CC36CED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Si la alerta es de baja o media criticidad, el Sistema SAMR notifica al Paciente mediante el Bot Conversacional con recomendaciones preventivas. </w:t>
      </w:r>
    </w:p>
    <w:p w14:paraId="5036AC12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Bot Conversacional envía la notificación y confirma la recepción del mensaje por parte del Paciente. </w:t>
      </w:r>
    </w:p>
    <w:p w14:paraId="5C73FE90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Si la alerta es de alta criticidad, el Sistema SAMR envía una notificación inmediata al Personal Médico con el resumen biométrico y la explicación de la IA. </w:t>
      </w:r>
    </w:p>
    <w:p w14:paraId="68F9B3DA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Personal Médico revisa la alerta y evalúa la condición del Paciente. </w:t>
      </w:r>
    </w:p>
    <w:p w14:paraId="4E758E5B" w14:textId="77777777" w:rsidR="00EC268D" w:rsidRPr="00EC268D" w:rsidRDefault="00EC268D" w:rsidP="00EC268D">
      <w:pPr>
        <w:numPr>
          <w:ilvl w:val="0"/>
          <w:numId w:val="1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Personal Médico toma una decisión clínica: </w:t>
      </w:r>
    </w:p>
    <w:p w14:paraId="0EE322F0" w14:textId="77777777" w:rsidR="00EC268D" w:rsidRPr="00EC268D" w:rsidRDefault="00EC268D" w:rsidP="00EC268D">
      <w:pPr>
        <w:numPr>
          <w:ilvl w:val="0"/>
          <w:numId w:val="2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continuar monitoreo remoto </w:t>
      </w:r>
    </w:p>
    <w:p w14:paraId="3ABFF78D" w14:textId="77777777" w:rsidR="00EC268D" w:rsidRPr="00EC268D" w:rsidRDefault="00EC268D" w:rsidP="00EC268D">
      <w:pPr>
        <w:numPr>
          <w:ilvl w:val="0"/>
          <w:numId w:val="2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o activar atención presencial </w:t>
      </w:r>
    </w:p>
    <w:p w14:paraId="7188B60F" w14:textId="77777777" w:rsidR="00EC268D" w:rsidRPr="00EC268D" w:rsidRDefault="00EC268D" w:rsidP="00EC268D">
      <w:pPr>
        <w:numPr>
          <w:ilvl w:val="0"/>
          <w:numId w:val="3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Si la condición es crítica, el Sistema SAMR activa la notificación al Centro de Asistencia para coordinación de emergencia. </w:t>
      </w:r>
    </w:p>
    <w:p w14:paraId="24BD557D" w14:textId="77777777" w:rsidR="00EC268D" w:rsidRPr="00EC268D" w:rsidRDefault="00EC268D" w:rsidP="00EC268D">
      <w:pPr>
        <w:numPr>
          <w:ilvl w:val="0"/>
          <w:numId w:val="3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t xml:space="preserve">El Centro de Asistencia confirma la recepción de la alerta y coordina la respuesta médica correspondiente. </w:t>
      </w:r>
    </w:p>
    <w:p w14:paraId="0E854F97" w14:textId="77777777" w:rsidR="00EC268D" w:rsidRPr="00EC268D" w:rsidRDefault="00EC268D" w:rsidP="00EC268D">
      <w:pPr>
        <w:numPr>
          <w:ilvl w:val="0"/>
          <w:numId w:val="3"/>
        </w:numPr>
        <w:rPr>
          <w:rFonts w:ascii="Calibri" w:hAnsi="Calibri" w:cs="Calibri"/>
        </w:rPr>
      </w:pPr>
      <w:r w:rsidRPr="00EC268D">
        <w:rPr>
          <w:rFonts w:ascii="Calibri" w:hAnsi="Calibri" w:cs="Calibri"/>
        </w:rPr>
        <w:lastRenderedPageBreak/>
        <w:t>El Sistema SAMR registra todas las alertas, decisiones médicas y respuestas en el historial clínico del Paciente para trazabilidad.</w:t>
      </w:r>
    </w:p>
    <w:p w14:paraId="4738BF9E" w14:textId="77777777" w:rsidR="00EC268D" w:rsidRPr="00EC268D" w:rsidRDefault="00EC268D" w:rsidP="00EC268D"/>
    <w:sectPr w:rsidR="00EC268D" w:rsidRPr="00EC268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8654E"/>
    <w:multiLevelType w:val="hybridMultilevel"/>
    <w:tmpl w:val="4C1AF134"/>
    <w:lvl w:ilvl="0" w:tplc="BEFE9C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866102"/>
    <w:multiLevelType w:val="multilevel"/>
    <w:tmpl w:val="A9327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E10E5F"/>
    <w:multiLevelType w:val="multilevel"/>
    <w:tmpl w:val="F56839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59232B"/>
    <w:multiLevelType w:val="multilevel"/>
    <w:tmpl w:val="DBE68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4873480">
    <w:abstractNumId w:val="3"/>
  </w:num>
  <w:num w:numId="2" w16cid:durableId="1166482322">
    <w:abstractNumId w:val="1"/>
  </w:num>
  <w:num w:numId="3" w16cid:durableId="2026205824">
    <w:abstractNumId w:val="2"/>
  </w:num>
  <w:num w:numId="4" w16cid:durableId="8677142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8D"/>
    <w:rsid w:val="006D4ECF"/>
    <w:rsid w:val="00EC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4C494"/>
  <w15:chartTrackingRefBased/>
  <w15:docId w15:val="{C9CE09D2-5DDC-432E-99FE-88D85F930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2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2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2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2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2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2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2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2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2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2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2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2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268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268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268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268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268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268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2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2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2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2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2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268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268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268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2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268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26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262</Words>
  <Characters>1444</Characters>
  <Application>Microsoft Office Word</Application>
  <DocSecurity>0</DocSecurity>
  <Lines>12</Lines>
  <Paragraphs>3</Paragraphs>
  <ScaleCrop>false</ScaleCrop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Leon</dc:creator>
  <cp:keywords/>
  <dc:description/>
  <cp:lastModifiedBy>David Leon</cp:lastModifiedBy>
  <cp:revision>1</cp:revision>
  <dcterms:created xsi:type="dcterms:W3CDTF">2026-06-22T03:54:00Z</dcterms:created>
  <dcterms:modified xsi:type="dcterms:W3CDTF">2026-06-22T03:59:00Z</dcterms:modified>
</cp:coreProperties>
</file>