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C08972">
      <w:pPr>
        <w:spacing w:before="800" w:after="200"/>
        <w:jc w:val="center"/>
      </w:pPr>
      <w:r>
        <w:rPr>
          <w:b/>
          <w:bCs/>
          <w:sz w:val="32"/>
          <w:szCs w:val="32"/>
        </w:rPr>
        <w:t>UNIVERSIDAD TÉCNICA PARTICULAR DE LOJA</w:t>
      </w:r>
    </w:p>
    <w:p w14:paraId="6C65CAF4">
      <w:pPr>
        <w:spacing w:after="160"/>
        <w:jc w:val="center"/>
      </w:pPr>
      <w:r>
        <w:rPr>
          <w:sz w:val="24"/>
          <w:szCs w:val="24"/>
        </w:rPr>
        <w:t>Vicerrectorado Académico</w:t>
      </w:r>
    </w:p>
    <w:p w14:paraId="1827EC1A">
      <w:pPr>
        <w:spacing w:after="600"/>
        <w:jc w:val="center"/>
      </w:pPr>
      <w:r>
        <w:rPr>
          <w:sz w:val="22"/>
          <w:szCs w:val="22"/>
        </w:rPr>
        <w:t>Ingeniería de Requisitos — Equipo LLdE</w:t>
      </w:r>
    </w:p>
    <w:p w14:paraId="4E9965DB">
      <w:pPr>
        <w:spacing w:after="200"/>
        <w:jc w:val="center"/>
      </w:pPr>
      <w:r>
        <w:rPr>
          <w:b/>
          <w:bCs/>
          <w:sz w:val="32"/>
          <w:szCs w:val="32"/>
        </w:rPr>
        <w:t>ESPECIFICACIÓN DE REQUERIMIENTOS DE SOFTWARE</w:t>
      </w:r>
    </w:p>
    <w:p w14:paraId="6DE5562D">
      <w:pPr>
        <w:spacing w:after="160"/>
        <w:jc w:val="center"/>
      </w:pPr>
      <w:r>
        <w:rPr>
          <w:b/>
          <w:bCs/>
          <w:sz w:val="28"/>
          <w:szCs w:val="28"/>
        </w:rPr>
        <w:t>SAMR — Sistema de Atención Médica Remota</w:t>
      </w:r>
    </w:p>
    <w:p w14:paraId="1227F177">
      <w:pPr>
        <w:spacing w:after="160"/>
        <w:jc w:val="center"/>
      </w:pPr>
      <w:r>
        <w:rPr>
          <w:i/>
          <w:iCs/>
          <w:sz w:val="22"/>
          <w:szCs w:val="22"/>
        </w:rPr>
        <w:t>Transformado mediante IA e Interfaces Conversacionales</w:t>
      </w:r>
    </w:p>
    <w:p w14:paraId="2167121D">
      <w:pPr>
        <w:spacing w:before="300" w:after="160"/>
        <w:jc w:val="center"/>
      </w:pPr>
      <w:r>
        <w:rPr>
          <w:sz w:val="24"/>
          <w:szCs w:val="24"/>
        </w:rPr>
        <w:t>Versión 4.0  |  Junio 2026</w:t>
      </w:r>
    </w:p>
    <w:p w14:paraId="0A2E98A3">
      <w:pPr>
        <w:spacing w:after="400"/>
        <w:jc w:val="center"/>
      </w:pPr>
      <w:r>
        <w:t>Basado en ISO/IEC/IEEE 29148:2018</w:t>
      </w:r>
    </w:p>
    <w:p w14:paraId="38A25E3C">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20956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hemeFill="background1"/>
            <w:tcMar>
              <w:top w:w="80" w:type="dxa"/>
              <w:left w:w="120" w:type="dxa"/>
              <w:bottom w:w="80" w:type="dxa"/>
              <w:right w:w="120" w:type="dxa"/>
            </w:tcMar>
          </w:tcPr>
          <w:p w14:paraId="48060667">
            <w:pPr>
              <w:rPr>
                <w:highlight w:val="none"/>
              </w:rPr>
            </w:pPr>
            <w:r>
              <w:rPr>
                <w:b/>
                <w:bCs/>
                <w:highlight w:val="none"/>
              </w:rPr>
              <w:t>Integrante</w:t>
            </w:r>
          </w:p>
        </w:tc>
        <w:tc>
          <w:tcPr>
            <w:tcW w:w="4680" w:type="dxa"/>
            <w:shd w:val="clear" w:color="auto" w:fill="FFFFFF" w:themeFill="background1"/>
            <w:tcMar>
              <w:top w:w="80" w:type="dxa"/>
              <w:left w:w="120" w:type="dxa"/>
              <w:bottom w:w="80" w:type="dxa"/>
              <w:right w:w="120" w:type="dxa"/>
            </w:tcMar>
          </w:tcPr>
          <w:p w14:paraId="2A3078C2">
            <w:pPr>
              <w:rPr>
                <w:highlight w:val="none"/>
              </w:rPr>
            </w:pPr>
            <w:r>
              <w:rPr>
                <w:b/>
                <w:bCs/>
                <w:highlight w:val="none"/>
              </w:rPr>
              <w:t>Rol</w:t>
            </w:r>
          </w:p>
        </w:tc>
      </w:tr>
      <w:tr w14:paraId="4FB20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cMar>
              <w:top w:w="80" w:type="dxa"/>
              <w:left w:w="120" w:type="dxa"/>
              <w:bottom w:w="80" w:type="dxa"/>
              <w:right w:w="120" w:type="dxa"/>
            </w:tcMar>
          </w:tcPr>
          <w:p w14:paraId="1FAC2F82">
            <w:r>
              <w:t>Julio Maldonado</w:t>
            </w:r>
          </w:p>
        </w:tc>
        <w:tc>
          <w:tcPr>
            <w:tcW w:w="4680" w:type="dxa"/>
            <w:shd w:val="clear" w:color="auto" w:fill="FFFFFF"/>
            <w:tcMar>
              <w:top w:w="80" w:type="dxa"/>
              <w:left w:w="120" w:type="dxa"/>
              <w:bottom w:w="80" w:type="dxa"/>
              <w:right w:w="120" w:type="dxa"/>
            </w:tcMar>
          </w:tcPr>
          <w:p w14:paraId="2BA763F2">
            <w:r>
              <w:t>Administrador de Base de Datos</w:t>
            </w:r>
          </w:p>
        </w:tc>
      </w:tr>
      <w:tr w14:paraId="54F0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cMar>
              <w:top w:w="80" w:type="dxa"/>
              <w:left w:w="120" w:type="dxa"/>
              <w:bottom w:w="80" w:type="dxa"/>
              <w:right w:w="120" w:type="dxa"/>
            </w:tcMar>
          </w:tcPr>
          <w:p w14:paraId="7CA80F3B">
            <w:r>
              <w:t>Antonela Parra</w:t>
            </w:r>
          </w:p>
        </w:tc>
        <w:tc>
          <w:tcPr>
            <w:tcW w:w="4680" w:type="dxa"/>
            <w:shd w:val="clear" w:color="auto" w:fill="FFFFFF"/>
            <w:tcMar>
              <w:top w:w="80" w:type="dxa"/>
              <w:left w:w="120" w:type="dxa"/>
              <w:bottom w:w="80" w:type="dxa"/>
              <w:right w:w="120" w:type="dxa"/>
            </w:tcMar>
          </w:tcPr>
          <w:p w14:paraId="565D50C7">
            <w:r>
              <w:t>Desarrollador Backend</w:t>
            </w:r>
          </w:p>
        </w:tc>
      </w:tr>
      <w:tr w14:paraId="3C371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cMar>
              <w:top w:w="80" w:type="dxa"/>
              <w:left w:w="120" w:type="dxa"/>
              <w:bottom w:w="80" w:type="dxa"/>
              <w:right w:w="120" w:type="dxa"/>
            </w:tcMar>
          </w:tcPr>
          <w:p w14:paraId="365C48C3">
            <w:r>
              <w:t>Paula López</w:t>
            </w:r>
          </w:p>
        </w:tc>
        <w:tc>
          <w:tcPr>
            <w:tcW w:w="4680" w:type="dxa"/>
            <w:shd w:val="clear" w:color="auto" w:fill="FFFFFF"/>
            <w:tcMar>
              <w:top w:w="80" w:type="dxa"/>
              <w:left w:w="120" w:type="dxa"/>
              <w:bottom w:w="80" w:type="dxa"/>
              <w:right w:w="120" w:type="dxa"/>
            </w:tcMar>
          </w:tcPr>
          <w:p w14:paraId="0D60234E">
            <w:r>
              <w:t>Desarrollador Frontend</w:t>
            </w:r>
          </w:p>
        </w:tc>
      </w:tr>
      <w:tr w14:paraId="2C39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cMar>
              <w:top w:w="80" w:type="dxa"/>
              <w:left w:w="120" w:type="dxa"/>
              <w:bottom w:w="80" w:type="dxa"/>
              <w:right w:w="120" w:type="dxa"/>
            </w:tcMar>
          </w:tcPr>
          <w:p w14:paraId="29B6079B">
            <w:r>
              <w:t>Leydi Robalino</w:t>
            </w:r>
          </w:p>
        </w:tc>
        <w:tc>
          <w:tcPr>
            <w:tcW w:w="4680" w:type="dxa"/>
            <w:shd w:val="clear" w:color="auto" w:fill="FFFFFF"/>
            <w:tcMar>
              <w:top w:w="80" w:type="dxa"/>
              <w:left w:w="120" w:type="dxa"/>
              <w:bottom w:w="80" w:type="dxa"/>
              <w:right w:w="120" w:type="dxa"/>
            </w:tcMar>
          </w:tcPr>
          <w:p w14:paraId="474E91BC">
            <w:r>
              <w:t>Arquitecto de Software</w:t>
            </w:r>
          </w:p>
        </w:tc>
      </w:tr>
      <w:tr w14:paraId="5ED5E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cMar>
              <w:top w:w="80" w:type="dxa"/>
              <w:left w:w="120" w:type="dxa"/>
              <w:bottom w:w="80" w:type="dxa"/>
              <w:right w:w="120" w:type="dxa"/>
            </w:tcMar>
          </w:tcPr>
          <w:p w14:paraId="3E2C8548">
            <w:r>
              <w:t>Alisson Condoy</w:t>
            </w:r>
          </w:p>
        </w:tc>
        <w:tc>
          <w:tcPr>
            <w:tcW w:w="4680" w:type="dxa"/>
            <w:shd w:val="clear" w:color="auto" w:fill="FFFFFF"/>
            <w:tcMar>
              <w:top w:w="80" w:type="dxa"/>
              <w:left w:w="120" w:type="dxa"/>
              <w:bottom w:w="80" w:type="dxa"/>
              <w:right w:w="120" w:type="dxa"/>
            </w:tcMar>
          </w:tcPr>
          <w:p w14:paraId="4D01F30C">
            <w:r>
              <w:t>Especialista en Seguridad</w:t>
            </w:r>
          </w:p>
        </w:tc>
      </w:tr>
      <w:tr w14:paraId="238A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shd w:val="clear" w:color="auto" w:fill="FFFFFF"/>
            <w:tcMar>
              <w:top w:w="80" w:type="dxa"/>
              <w:left w:w="120" w:type="dxa"/>
              <w:bottom w:w="80" w:type="dxa"/>
              <w:right w:w="120" w:type="dxa"/>
            </w:tcMar>
          </w:tcPr>
          <w:p w14:paraId="50586AEE">
            <w:r>
              <w:t>David León</w:t>
            </w:r>
          </w:p>
        </w:tc>
        <w:tc>
          <w:tcPr>
            <w:tcW w:w="4680" w:type="dxa"/>
            <w:shd w:val="clear" w:color="auto" w:fill="FFFFFF"/>
            <w:tcMar>
              <w:top w:w="80" w:type="dxa"/>
              <w:left w:w="120" w:type="dxa"/>
              <w:bottom w:w="80" w:type="dxa"/>
              <w:right w:w="120" w:type="dxa"/>
            </w:tcMar>
          </w:tcPr>
          <w:p w14:paraId="6B0B174E">
            <w:r>
              <w:t>Diseñador UX/UI</w:t>
            </w:r>
          </w:p>
        </w:tc>
      </w:tr>
    </w:tbl>
    <w:p w14:paraId="02063D97">
      <w:r>
        <w:br w:type="page"/>
      </w:r>
      <w:bookmarkStart w:id="0" w:name="_GoBack"/>
      <w:bookmarkEnd w:id="0"/>
    </w:p>
    <w:p w14:paraId="44758101">
      <w:pPr>
        <w:pStyle w:val="2"/>
        <w:rPr>
          <w:color w:val="auto"/>
        </w:rPr>
      </w:pPr>
      <w:r>
        <w:rPr>
          <w:color w:val="auto"/>
        </w:rPr>
        <w:t>1. Control de Cambios</w:t>
      </w:r>
    </w:p>
    <w:p w14:paraId="6AE2D137">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
        <w:gridCol w:w="1241"/>
        <w:gridCol w:w="1481"/>
        <w:gridCol w:w="4176"/>
        <w:gridCol w:w="1488"/>
      </w:tblGrid>
      <w:tr w14:paraId="3803D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shd w:val="clear" w:color="auto" w:fill="auto"/>
            <w:tcMar>
              <w:top w:w="80" w:type="dxa"/>
              <w:left w:w="120" w:type="dxa"/>
              <w:bottom w:w="80" w:type="dxa"/>
              <w:right w:w="120" w:type="dxa"/>
            </w:tcMar>
          </w:tcPr>
          <w:p w14:paraId="1A811143">
            <w:r>
              <w:rPr>
                <w:b/>
                <w:bCs/>
              </w:rPr>
              <w:t>Versión</w:t>
            </w:r>
          </w:p>
        </w:tc>
        <w:tc>
          <w:tcPr>
            <w:tcW w:w="1200" w:type="dxa"/>
            <w:shd w:val="clear" w:color="auto" w:fill="auto"/>
            <w:tcMar>
              <w:top w:w="80" w:type="dxa"/>
              <w:left w:w="120" w:type="dxa"/>
              <w:bottom w:w="80" w:type="dxa"/>
              <w:right w:w="120" w:type="dxa"/>
            </w:tcMar>
          </w:tcPr>
          <w:p w14:paraId="647FE891">
            <w:r>
              <w:rPr>
                <w:b/>
                <w:bCs/>
              </w:rPr>
              <w:t>Fecha</w:t>
            </w:r>
          </w:p>
        </w:tc>
        <w:tc>
          <w:tcPr>
            <w:tcW w:w="1500" w:type="dxa"/>
            <w:shd w:val="clear" w:color="auto" w:fill="auto"/>
            <w:tcMar>
              <w:top w:w="80" w:type="dxa"/>
              <w:left w:w="120" w:type="dxa"/>
              <w:bottom w:w="80" w:type="dxa"/>
              <w:right w:w="120" w:type="dxa"/>
            </w:tcMar>
          </w:tcPr>
          <w:p w14:paraId="1A09E97B">
            <w:r>
              <w:rPr>
                <w:b/>
                <w:bCs/>
              </w:rPr>
              <w:t>Autor</w:t>
            </w:r>
          </w:p>
        </w:tc>
        <w:tc>
          <w:tcPr>
            <w:tcW w:w="4260" w:type="dxa"/>
            <w:shd w:val="clear" w:color="auto" w:fill="auto"/>
            <w:tcMar>
              <w:top w:w="80" w:type="dxa"/>
              <w:left w:w="120" w:type="dxa"/>
              <w:bottom w:w="80" w:type="dxa"/>
              <w:right w:w="120" w:type="dxa"/>
            </w:tcMar>
          </w:tcPr>
          <w:p w14:paraId="094ECF41">
            <w:r>
              <w:rPr>
                <w:b/>
                <w:bCs/>
              </w:rPr>
              <w:t>Descripción</w:t>
            </w:r>
          </w:p>
        </w:tc>
        <w:tc>
          <w:tcPr>
            <w:tcW w:w="1500" w:type="dxa"/>
            <w:shd w:val="clear" w:color="auto" w:fill="auto"/>
            <w:tcMar>
              <w:top w:w="80" w:type="dxa"/>
              <w:left w:w="120" w:type="dxa"/>
              <w:bottom w:w="80" w:type="dxa"/>
              <w:right w:w="120" w:type="dxa"/>
            </w:tcMar>
          </w:tcPr>
          <w:p w14:paraId="2F71B39A">
            <w:r>
              <w:rPr>
                <w:b/>
                <w:bCs/>
              </w:rPr>
              <w:t>Estado</w:t>
            </w:r>
          </w:p>
        </w:tc>
      </w:tr>
      <w:tr w14:paraId="3C12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shd w:val="clear" w:color="auto" w:fill="FFFFFF"/>
            <w:tcMar>
              <w:top w:w="80" w:type="dxa"/>
              <w:left w:w="120" w:type="dxa"/>
              <w:bottom w:w="80" w:type="dxa"/>
              <w:right w:w="120" w:type="dxa"/>
            </w:tcMar>
          </w:tcPr>
          <w:p w14:paraId="074BFD4E">
            <w:r>
              <w:t>0.1</w:t>
            </w:r>
          </w:p>
        </w:tc>
        <w:tc>
          <w:tcPr>
            <w:tcW w:w="1200" w:type="dxa"/>
            <w:shd w:val="clear" w:color="auto" w:fill="FFFFFF"/>
            <w:tcMar>
              <w:top w:w="80" w:type="dxa"/>
              <w:left w:w="120" w:type="dxa"/>
              <w:bottom w:w="80" w:type="dxa"/>
              <w:right w:w="120" w:type="dxa"/>
            </w:tcMar>
          </w:tcPr>
          <w:p w14:paraId="09414207">
            <w:r>
              <w:t>02/06/2026</w:t>
            </w:r>
          </w:p>
        </w:tc>
        <w:tc>
          <w:tcPr>
            <w:tcW w:w="1500" w:type="dxa"/>
            <w:shd w:val="clear" w:color="auto" w:fill="FFFFFF"/>
            <w:tcMar>
              <w:top w:w="80" w:type="dxa"/>
              <w:left w:w="120" w:type="dxa"/>
              <w:bottom w:w="80" w:type="dxa"/>
              <w:right w:w="120" w:type="dxa"/>
            </w:tcMar>
          </w:tcPr>
          <w:p w14:paraId="278EABDC">
            <w:r>
              <w:t>Equipo LLdE</w:t>
            </w:r>
          </w:p>
        </w:tc>
        <w:tc>
          <w:tcPr>
            <w:tcW w:w="4260" w:type="dxa"/>
            <w:shd w:val="clear" w:color="auto" w:fill="FFFFFF"/>
            <w:tcMar>
              <w:top w:w="80" w:type="dxa"/>
              <w:left w:w="120" w:type="dxa"/>
              <w:bottom w:w="80" w:type="dxa"/>
              <w:right w:w="120" w:type="dxa"/>
            </w:tcMar>
          </w:tcPr>
          <w:p w14:paraId="2763DBEF">
            <w:r>
              <w:t>Borrador inicial derivado del Documento de Visión SAMR v3.3.</w:t>
            </w:r>
          </w:p>
        </w:tc>
        <w:tc>
          <w:tcPr>
            <w:tcW w:w="1500" w:type="dxa"/>
            <w:shd w:val="clear" w:color="auto" w:fill="FFFFFF"/>
            <w:tcMar>
              <w:top w:w="80" w:type="dxa"/>
              <w:left w:w="120" w:type="dxa"/>
              <w:bottom w:w="80" w:type="dxa"/>
              <w:right w:w="120" w:type="dxa"/>
            </w:tcMar>
          </w:tcPr>
          <w:p w14:paraId="3CF91E77">
            <w:r>
              <w:t>Superado</w:t>
            </w:r>
          </w:p>
        </w:tc>
      </w:tr>
      <w:tr w14:paraId="62F3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shd w:val="clear" w:color="auto" w:fill="FFFFFF"/>
            <w:tcMar>
              <w:top w:w="80" w:type="dxa"/>
              <w:left w:w="120" w:type="dxa"/>
              <w:bottom w:w="80" w:type="dxa"/>
              <w:right w:w="120" w:type="dxa"/>
            </w:tcMar>
          </w:tcPr>
          <w:p w14:paraId="2F132F0B">
            <w:r>
              <w:t>4.0</w:t>
            </w:r>
          </w:p>
        </w:tc>
        <w:tc>
          <w:tcPr>
            <w:tcW w:w="1200" w:type="dxa"/>
            <w:shd w:val="clear" w:color="auto" w:fill="FFFFFF"/>
            <w:tcMar>
              <w:top w:w="80" w:type="dxa"/>
              <w:left w:w="120" w:type="dxa"/>
              <w:bottom w:w="80" w:type="dxa"/>
              <w:right w:w="120" w:type="dxa"/>
            </w:tcMar>
          </w:tcPr>
          <w:p w14:paraId="0E007252">
            <w:r>
              <w:t>16/06/2026</w:t>
            </w:r>
          </w:p>
        </w:tc>
        <w:tc>
          <w:tcPr>
            <w:tcW w:w="1500" w:type="dxa"/>
            <w:shd w:val="clear" w:color="auto" w:fill="FFFFFF"/>
            <w:tcMar>
              <w:top w:w="80" w:type="dxa"/>
              <w:left w:w="120" w:type="dxa"/>
              <w:bottom w:w="80" w:type="dxa"/>
              <w:right w:w="120" w:type="dxa"/>
            </w:tcMar>
          </w:tcPr>
          <w:p w14:paraId="422E658B">
            <w:r>
              <w:t>Equipo LLdE</w:t>
            </w:r>
          </w:p>
        </w:tc>
        <w:tc>
          <w:tcPr>
            <w:tcW w:w="4260" w:type="dxa"/>
            <w:shd w:val="clear" w:color="auto" w:fill="FFFFFF"/>
            <w:tcMar>
              <w:top w:w="80" w:type="dxa"/>
              <w:left w:w="120" w:type="dxa"/>
              <w:bottom w:w="80" w:type="dxa"/>
              <w:right w:w="120" w:type="dxa"/>
            </w:tcMar>
          </w:tcPr>
          <w:p w14:paraId="08FA505A">
            <w:r>
              <w:t>Versión consolidada. Trazabilidad completa incluyendo casos de uso por módulo. Tres vías de solicitud en M2 validadas. RF-M4-004 y formulario autónomo mantenidos por respaldo en diagrama de contexto y característica M04-C04.</w:t>
            </w:r>
          </w:p>
        </w:tc>
        <w:tc>
          <w:tcPr>
            <w:tcW w:w="1500" w:type="dxa"/>
            <w:shd w:val="clear" w:color="auto" w:fill="FFFFFF"/>
            <w:tcMar>
              <w:top w:w="80" w:type="dxa"/>
              <w:left w:w="120" w:type="dxa"/>
              <w:bottom w:w="80" w:type="dxa"/>
              <w:right w:w="120" w:type="dxa"/>
            </w:tcMar>
          </w:tcPr>
          <w:p w14:paraId="05E951C8">
            <w:r>
              <w:t>Vigente</w:t>
            </w:r>
          </w:p>
        </w:tc>
      </w:tr>
    </w:tbl>
    <w:p w14:paraId="25CF9FBA">
      <w:pPr>
        <w:spacing w:after="100"/>
      </w:pPr>
    </w:p>
    <w:p w14:paraId="292F7C1D">
      <w:pPr>
        <w:pStyle w:val="2"/>
        <w:rPr>
          <w:color w:val="auto"/>
        </w:rPr>
      </w:pPr>
      <w:r>
        <w:rPr>
          <w:color w:val="auto"/>
        </w:rPr>
        <w:t>2. Aprobaciones</w:t>
      </w:r>
    </w:p>
    <w:p w14:paraId="1DB91A56">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61"/>
        <w:gridCol w:w="2237"/>
        <w:gridCol w:w="1686"/>
        <w:gridCol w:w="1678"/>
        <w:gridCol w:w="1298"/>
      </w:tblGrid>
      <w:tr w14:paraId="3B7B1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13418C0">
            <w:r>
              <w:rPr>
                <w:b/>
                <w:bCs/>
              </w:rPr>
              <w:t>Nombre</w:t>
            </w:r>
          </w:p>
        </w:tc>
        <w:tc>
          <w:tcPr>
            <w:tcW w:w="2000" w:type="dxa"/>
            <w:shd w:val="clear" w:color="auto" w:fill="auto"/>
            <w:tcMar>
              <w:top w:w="80" w:type="dxa"/>
              <w:left w:w="120" w:type="dxa"/>
              <w:bottom w:w="80" w:type="dxa"/>
              <w:right w:w="120" w:type="dxa"/>
            </w:tcMar>
          </w:tcPr>
          <w:p w14:paraId="26A670D7">
            <w:r>
              <w:rPr>
                <w:b/>
                <w:bCs/>
              </w:rPr>
              <w:t>Rol / Cargo</w:t>
            </w:r>
          </w:p>
        </w:tc>
        <w:tc>
          <w:tcPr>
            <w:tcW w:w="1500" w:type="dxa"/>
            <w:shd w:val="clear" w:color="auto" w:fill="auto"/>
            <w:tcMar>
              <w:top w:w="80" w:type="dxa"/>
              <w:left w:w="120" w:type="dxa"/>
              <w:bottom w:w="80" w:type="dxa"/>
              <w:right w:w="120" w:type="dxa"/>
            </w:tcMar>
          </w:tcPr>
          <w:p w14:paraId="5A43C1F1">
            <w:r>
              <w:rPr>
                <w:b/>
                <w:bCs/>
              </w:rPr>
              <w:t>Organización</w:t>
            </w:r>
          </w:p>
        </w:tc>
        <w:tc>
          <w:tcPr>
            <w:tcW w:w="1500" w:type="dxa"/>
            <w:shd w:val="clear" w:color="auto" w:fill="auto"/>
            <w:tcMar>
              <w:top w:w="80" w:type="dxa"/>
              <w:left w:w="120" w:type="dxa"/>
              <w:bottom w:w="80" w:type="dxa"/>
              <w:right w:w="120" w:type="dxa"/>
            </w:tcMar>
          </w:tcPr>
          <w:p w14:paraId="74743295">
            <w:r>
              <w:rPr>
                <w:b/>
                <w:bCs/>
              </w:rPr>
              <w:t>Fecha</w:t>
            </w:r>
          </w:p>
        </w:tc>
        <w:tc>
          <w:tcPr>
            <w:tcW w:w="1160" w:type="dxa"/>
            <w:shd w:val="clear" w:color="auto" w:fill="auto"/>
            <w:tcMar>
              <w:top w:w="80" w:type="dxa"/>
              <w:left w:w="120" w:type="dxa"/>
              <w:bottom w:w="80" w:type="dxa"/>
              <w:right w:w="120" w:type="dxa"/>
            </w:tcMar>
          </w:tcPr>
          <w:p w14:paraId="28C57DE2">
            <w:r>
              <w:rPr>
                <w:b/>
                <w:bCs/>
              </w:rPr>
              <w:t>Firma</w:t>
            </w:r>
          </w:p>
        </w:tc>
      </w:tr>
      <w:tr w14:paraId="27A2C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cMar>
              <w:top w:w="80" w:type="dxa"/>
              <w:left w:w="120" w:type="dxa"/>
              <w:bottom w:w="80" w:type="dxa"/>
              <w:right w:w="120" w:type="dxa"/>
            </w:tcMar>
          </w:tcPr>
          <w:p w14:paraId="7BF0E323">
            <w:r>
              <w:t>Equipo LLdE</w:t>
            </w:r>
          </w:p>
        </w:tc>
        <w:tc>
          <w:tcPr>
            <w:tcW w:w="2000" w:type="dxa"/>
            <w:shd w:val="clear" w:color="auto" w:fill="FFFFFF"/>
            <w:tcMar>
              <w:top w:w="80" w:type="dxa"/>
              <w:left w:w="120" w:type="dxa"/>
              <w:bottom w:w="80" w:type="dxa"/>
              <w:right w:w="120" w:type="dxa"/>
            </w:tcMar>
          </w:tcPr>
          <w:p w14:paraId="6346A3EF">
            <w:r>
              <w:t>Analistas de Requisitos</w:t>
            </w:r>
          </w:p>
        </w:tc>
        <w:tc>
          <w:tcPr>
            <w:tcW w:w="1500" w:type="dxa"/>
            <w:shd w:val="clear" w:color="auto" w:fill="FFFFFF"/>
            <w:tcMar>
              <w:top w:w="80" w:type="dxa"/>
              <w:left w:w="120" w:type="dxa"/>
              <w:bottom w:w="80" w:type="dxa"/>
              <w:right w:w="120" w:type="dxa"/>
            </w:tcMar>
          </w:tcPr>
          <w:p w14:paraId="280BE928">
            <w:r>
              <w:t>UTPL</w:t>
            </w:r>
          </w:p>
        </w:tc>
        <w:tc>
          <w:tcPr>
            <w:tcW w:w="1500" w:type="dxa"/>
            <w:shd w:val="clear" w:color="auto" w:fill="FFFFFF"/>
            <w:tcMar>
              <w:top w:w="80" w:type="dxa"/>
              <w:left w:w="120" w:type="dxa"/>
              <w:bottom w:w="80" w:type="dxa"/>
              <w:right w:w="120" w:type="dxa"/>
            </w:tcMar>
          </w:tcPr>
          <w:p w14:paraId="6BFC7B7F">
            <w:r>
              <w:t>16/06/2026</w:t>
            </w:r>
          </w:p>
        </w:tc>
        <w:tc>
          <w:tcPr>
            <w:tcW w:w="1160" w:type="dxa"/>
            <w:shd w:val="clear" w:color="auto" w:fill="FFFFFF"/>
            <w:tcMar>
              <w:top w:w="80" w:type="dxa"/>
              <w:left w:w="120" w:type="dxa"/>
              <w:bottom w:w="80" w:type="dxa"/>
              <w:right w:w="120" w:type="dxa"/>
            </w:tcMar>
          </w:tcPr>
          <w:p w14:paraId="501A9A6B"/>
        </w:tc>
      </w:tr>
      <w:tr w14:paraId="6F33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cMar>
              <w:top w:w="80" w:type="dxa"/>
              <w:left w:w="120" w:type="dxa"/>
              <w:bottom w:w="80" w:type="dxa"/>
              <w:right w:w="120" w:type="dxa"/>
            </w:tcMar>
          </w:tcPr>
          <w:p w14:paraId="2AE9F142">
            <w:r>
              <w:t>Docente de Ingeniería de Requisitos</w:t>
            </w:r>
          </w:p>
        </w:tc>
        <w:tc>
          <w:tcPr>
            <w:tcW w:w="2000" w:type="dxa"/>
            <w:shd w:val="clear" w:color="auto" w:fill="FFFFFF"/>
            <w:tcMar>
              <w:top w:w="80" w:type="dxa"/>
              <w:left w:w="120" w:type="dxa"/>
              <w:bottom w:w="80" w:type="dxa"/>
              <w:right w:w="120" w:type="dxa"/>
            </w:tcMar>
          </w:tcPr>
          <w:p w14:paraId="6BD943EB">
            <w:r>
              <w:t>Revisor y aprobador</w:t>
            </w:r>
          </w:p>
        </w:tc>
        <w:tc>
          <w:tcPr>
            <w:tcW w:w="1500" w:type="dxa"/>
            <w:shd w:val="clear" w:color="auto" w:fill="FFFFFF"/>
            <w:tcMar>
              <w:top w:w="80" w:type="dxa"/>
              <w:left w:w="120" w:type="dxa"/>
              <w:bottom w:w="80" w:type="dxa"/>
              <w:right w:w="120" w:type="dxa"/>
            </w:tcMar>
          </w:tcPr>
          <w:p w14:paraId="090F9180">
            <w:r>
              <w:t>UTPL</w:t>
            </w:r>
          </w:p>
        </w:tc>
        <w:tc>
          <w:tcPr>
            <w:tcW w:w="1500" w:type="dxa"/>
            <w:shd w:val="clear" w:color="auto" w:fill="FFFFFF"/>
            <w:tcMar>
              <w:top w:w="80" w:type="dxa"/>
              <w:left w:w="120" w:type="dxa"/>
              <w:bottom w:w="80" w:type="dxa"/>
              <w:right w:w="120" w:type="dxa"/>
            </w:tcMar>
          </w:tcPr>
          <w:p w14:paraId="354D8A2E">
            <w:r>
              <w:t>16/06/2026</w:t>
            </w:r>
          </w:p>
        </w:tc>
        <w:tc>
          <w:tcPr>
            <w:tcW w:w="1160" w:type="dxa"/>
            <w:shd w:val="clear" w:color="auto" w:fill="FFFFFF"/>
            <w:tcMar>
              <w:top w:w="80" w:type="dxa"/>
              <w:left w:w="120" w:type="dxa"/>
              <w:bottom w:w="80" w:type="dxa"/>
              <w:right w:w="120" w:type="dxa"/>
            </w:tcMar>
          </w:tcPr>
          <w:p w14:paraId="7ABAE6C4"/>
        </w:tc>
      </w:tr>
    </w:tbl>
    <w:p w14:paraId="355E4995">
      <w:r>
        <w:br w:type="page"/>
      </w:r>
    </w:p>
    <w:p w14:paraId="7D39A720">
      <w:pPr>
        <w:pStyle w:val="2"/>
        <w:rPr>
          <w:color w:val="auto"/>
        </w:rPr>
      </w:pPr>
      <w:r>
        <w:rPr>
          <w:color w:val="auto"/>
        </w:rPr>
        <w:t>3. Introducción</w:t>
      </w:r>
    </w:p>
    <w:p w14:paraId="27CD7A33">
      <w:pPr>
        <w:pStyle w:val="3"/>
        <w:rPr>
          <w:color w:val="auto"/>
        </w:rPr>
      </w:pPr>
      <w:r>
        <w:rPr>
          <w:color w:val="auto"/>
        </w:rPr>
        <w:t>3.1 Propósito</w:t>
      </w:r>
    </w:p>
    <w:p w14:paraId="10D5CEDF">
      <w:pPr>
        <w:spacing w:after="120"/>
      </w:pPr>
      <w:r>
        <w:t>El propósito de este documento es establecer de manera completa, consistente, verificable y trazable la Especificación de Requerimientos de Software (SRS) del Sistema de Atención Médica Remota (SAMR), transformado mediante Inteligencia Artificial e interfaces conversacionales. Este SRS constituye la base técnica para las fases de arquitectura, diseño detallado, desarrollo, pruebas de aceptación y mantenimiento del sistema. Su objetivo principal es garantizar que el sistema satisfaga las necesidades de los pacientes, el personal médico, el personal administrativo y los entes reguladores, alineándose con los estándares ISO/IEC/IEEE 29148:2018 e ISO/IEC 25010.</w:t>
      </w:r>
    </w:p>
    <w:p w14:paraId="756DFA67">
      <w:pPr>
        <w:spacing w:after="100"/>
      </w:pPr>
    </w:p>
    <w:p w14:paraId="172C46DE">
      <w:pPr>
        <w:pStyle w:val="3"/>
        <w:rPr>
          <w:color w:val="auto"/>
        </w:rPr>
      </w:pPr>
      <w:r>
        <w:rPr>
          <w:color w:val="auto"/>
        </w:rPr>
        <w:t>3.2 Alcance</w:t>
      </w:r>
    </w:p>
    <w:p w14:paraId="18A77975">
      <w:pPr>
        <w:spacing w:after="120"/>
      </w:pPr>
      <w:r>
        <w:t>El presente documento define los requerimientos funcionales y no funcionales del sistema SAMR en su versión v3.3, con arquitectura de 5 módulos esenciales y 8 stakeholders clave. Los módulos cubiertos son:</w:t>
      </w:r>
    </w:p>
    <w:p w14:paraId="6BEB49EE">
      <w:pPr>
        <w:pStyle w:val="17"/>
        <w:numPr>
          <w:ilvl w:val="0"/>
          <w:numId w:val="1"/>
        </w:numPr>
      </w:pPr>
      <w:r>
        <w:t>M1 — Gestión de Usuarios y Acceso: registro, login, perfiles con roles, MFA y validación de elegibilidad IESS/MSP.</w:t>
      </w:r>
    </w:p>
    <w:p w14:paraId="3C8013CA">
      <w:pPr>
        <w:pStyle w:val="17"/>
        <w:numPr>
          <w:ilvl w:val="0"/>
          <w:numId w:val="1"/>
        </w:numPr>
      </w:pPr>
      <w:r>
        <w:t>M2 — Triaje Inteligente y Gestión de Solicitudes: bot conversacional, Med-Gemini como motor de triaje clínico, procesamiento de dos tipos de solicitud (síntomas y alerta IoT), matching y panel dinámico.</w:t>
      </w:r>
    </w:p>
    <w:p w14:paraId="18840E9E">
      <w:pPr>
        <w:pStyle w:val="17"/>
        <w:numPr>
          <w:ilvl w:val="0"/>
          <w:numId w:val="1"/>
        </w:numPr>
      </w:pPr>
      <w:r>
        <w:t>M3 — Monitoreo Biométrico Predictivo: captura continua de flujos IoT (EKG, EEG, SpO2), detección predictiva de anomalías con Med-Gemini y comunicación de alertas vía bot y multicanal.</w:t>
      </w:r>
    </w:p>
    <w:p w14:paraId="1D317BE6">
      <w:pPr>
        <w:pStyle w:val="17"/>
        <w:numPr>
          <w:ilvl w:val="0"/>
          <w:numId w:val="1"/>
        </w:numPr>
      </w:pPr>
      <w:r>
        <w:t>M4 — Teleconsulta y Atención Médica: teleconsulta con soporte Med-Gemini XAI, recetas digitales, derivación de emergencia y rechazo/reasignación de solicitudes.</w:t>
      </w:r>
    </w:p>
    <w:p w14:paraId="0E6AD863">
      <w:pPr>
        <w:pStyle w:val="17"/>
        <w:numPr>
          <w:ilvl w:val="0"/>
          <w:numId w:val="1"/>
        </w:numPr>
      </w:pPr>
      <w:r>
        <w:t>M5 — Seguridad, Auditoría y Cumplimiento: cifrado AES-256/TLS 1.3, consentimiento LOPDP, repositorio centralizado y logs de auditoría inmutables.</w:t>
      </w:r>
    </w:p>
    <w:p w14:paraId="33FBF96D">
      <w:pPr>
        <w:spacing w:after="100"/>
      </w:pPr>
    </w:p>
    <w:p w14:paraId="649C8B8F">
      <w:pPr>
        <w:pStyle w:val="3"/>
        <w:rPr>
          <w:color w:val="auto"/>
        </w:rPr>
      </w:pPr>
      <w:r>
        <w:rPr>
          <w:color w:val="auto"/>
        </w:rPr>
        <w:t>3.3 Definiciones, Acrónimos y Abreviaturas</w:t>
      </w:r>
    </w:p>
    <w:p w14:paraId="64A2D94B">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7C84FA0">
        <w:tblPrEx>
          <w:tblCellMar>
            <w:top w:w="0" w:type="dxa"/>
            <w:left w:w="10" w:type="dxa"/>
            <w:bottom w:w="0" w:type="dxa"/>
            <w:right w:w="10" w:type="dxa"/>
          </w:tblCellMar>
        </w:tblPrEx>
        <w:tc>
          <w:tcPr>
            <w:tcW w:w="3000" w:type="dxa"/>
            <w:shd w:val="clear" w:color="auto" w:fill="auto"/>
            <w:tcMar>
              <w:top w:w="80" w:type="dxa"/>
              <w:left w:w="120" w:type="dxa"/>
              <w:bottom w:w="80" w:type="dxa"/>
              <w:right w:w="120" w:type="dxa"/>
            </w:tcMar>
          </w:tcPr>
          <w:p w14:paraId="5677051C">
            <w:r>
              <w:rPr>
                <w:b/>
                <w:bCs/>
              </w:rPr>
              <w:t>Término</w:t>
            </w:r>
          </w:p>
        </w:tc>
        <w:tc>
          <w:tcPr>
            <w:tcW w:w="6360" w:type="dxa"/>
            <w:shd w:val="clear" w:color="auto" w:fill="auto"/>
            <w:tcMar>
              <w:top w:w="80" w:type="dxa"/>
              <w:left w:w="120" w:type="dxa"/>
              <w:bottom w:w="80" w:type="dxa"/>
              <w:right w:w="120" w:type="dxa"/>
            </w:tcMar>
          </w:tcPr>
          <w:p w14:paraId="2F0BEE78">
            <w:r>
              <w:rPr>
                <w:b/>
                <w:bCs/>
              </w:rPr>
              <w:t>Definición</w:t>
            </w:r>
          </w:p>
        </w:tc>
      </w:tr>
      <w:tr w14:paraId="4139B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5AA3ABC1">
            <w:r>
              <w:t>SAMR</w:t>
            </w:r>
          </w:p>
        </w:tc>
        <w:tc>
          <w:tcPr>
            <w:tcW w:w="6360" w:type="dxa"/>
            <w:shd w:val="clear" w:color="auto" w:fill="FFFFFF"/>
            <w:tcMar>
              <w:top w:w="80" w:type="dxa"/>
              <w:left w:w="120" w:type="dxa"/>
              <w:bottom w:w="80" w:type="dxa"/>
              <w:right w:w="120" w:type="dxa"/>
            </w:tcMar>
          </w:tcPr>
          <w:p w14:paraId="5400E40D">
            <w:r>
              <w:t>Sistema de atención médica remota</w:t>
            </w:r>
          </w:p>
        </w:tc>
      </w:tr>
      <w:tr w14:paraId="3A234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5E4F7DC3">
            <w:r>
              <w:t>SRS</w:t>
            </w:r>
          </w:p>
        </w:tc>
        <w:tc>
          <w:tcPr>
            <w:tcW w:w="6360" w:type="dxa"/>
            <w:shd w:val="clear" w:color="auto" w:fill="FFFFFF"/>
            <w:tcMar>
              <w:top w:w="80" w:type="dxa"/>
              <w:left w:w="120" w:type="dxa"/>
              <w:bottom w:w="80" w:type="dxa"/>
              <w:right w:w="120" w:type="dxa"/>
            </w:tcMar>
          </w:tcPr>
          <w:p w14:paraId="2A9891EF">
            <w:r>
              <w:t>Software requirements specification — especificación de requerimientos de software</w:t>
            </w:r>
          </w:p>
        </w:tc>
      </w:tr>
      <w:tr w14:paraId="0DEE2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775FF804">
            <w:r>
              <w:t>RF</w:t>
            </w:r>
          </w:p>
        </w:tc>
        <w:tc>
          <w:tcPr>
            <w:tcW w:w="6360" w:type="dxa"/>
            <w:shd w:val="clear" w:color="auto" w:fill="FFFFFF"/>
            <w:tcMar>
              <w:top w:w="80" w:type="dxa"/>
              <w:left w:w="120" w:type="dxa"/>
              <w:bottom w:w="80" w:type="dxa"/>
              <w:right w:w="120" w:type="dxa"/>
            </w:tcMar>
          </w:tcPr>
          <w:p w14:paraId="37BAA239">
            <w:r>
              <w:t>Requisito funcional</w:t>
            </w:r>
          </w:p>
        </w:tc>
      </w:tr>
      <w:tr w14:paraId="3418F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0444BC2E">
            <w:r>
              <w:t>RNF</w:t>
            </w:r>
          </w:p>
        </w:tc>
        <w:tc>
          <w:tcPr>
            <w:tcW w:w="6360" w:type="dxa"/>
            <w:shd w:val="clear" w:color="auto" w:fill="FFFFFF"/>
            <w:tcMar>
              <w:top w:w="80" w:type="dxa"/>
              <w:left w:w="120" w:type="dxa"/>
              <w:bottom w:w="80" w:type="dxa"/>
              <w:right w:w="120" w:type="dxa"/>
            </w:tcMar>
          </w:tcPr>
          <w:p w14:paraId="5BF3D400">
            <w:r>
              <w:t>Requisito no funcional</w:t>
            </w:r>
          </w:p>
        </w:tc>
      </w:tr>
      <w:tr w14:paraId="598B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3C30CE2E">
            <w:r>
              <w:t>MSP</w:t>
            </w:r>
          </w:p>
        </w:tc>
        <w:tc>
          <w:tcPr>
            <w:tcW w:w="6360" w:type="dxa"/>
            <w:shd w:val="clear" w:color="auto" w:fill="FFFFFF"/>
            <w:tcMar>
              <w:top w:w="80" w:type="dxa"/>
              <w:left w:w="120" w:type="dxa"/>
              <w:bottom w:w="80" w:type="dxa"/>
              <w:right w:w="120" w:type="dxa"/>
            </w:tcMar>
          </w:tcPr>
          <w:p w14:paraId="376284BE">
            <w:r>
              <w:t>Ministerio de salud pública del Ecuador</w:t>
            </w:r>
          </w:p>
        </w:tc>
      </w:tr>
      <w:tr w14:paraId="1B22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4C1101A7">
            <w:r>
              <w:t>IESS</w:t>
            </w:r>
          </w:p>
        </w:tc>
        <w:tc>
          <w:tcPr>
            <w:tcW w:w="6360" w:type="dxa"/>
            <w:shd w:val="clear" w:color="auto" w:fill="FFFFFF"/>
            <w:tcMar>
              <w:top w:w="80" w:type="dxa"/>
              <w:left w:w="120" w:type="dxa"/>
              <w:bottom w:w="80" w:type="dxa"/>
              <w:right w:w="120" w:type="dxa"/>
            </w:tcMar>
          </w:tcPr>
          <w:p w14:paraId="43792F92">
            <w:r>
              <w:t>Instituto ecuatoriano de seguridad social</w:t>
            </w:r>
          </w:p>
        </w:tc>
      </w:tr>
      <w:tr w14:paraId="4E725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2143E248">
            <w:r>
              <w:t>LOPDP</w:t>
            </w:r>
          </w:p>
        </w:tc>
        <w:tc>
          <w:tcPr>
            <w:tcW w:w="6360" w:type="dxa"/>
            <w:shd w:val="clear" w:color="auto" w:fill="FFFFFF"/>
            <w:tcMar>
              <w:top w:w="80" w:type="dxa"/>
              <w:left w:w="120" w:type="dxa"/>
              <w:bottom w:w="80" w:type="dxa"/>
              <w:right w:w="120" w:type="dxa"/>
            </w:tcMar>
          </w:tcPr>
          <w:p w14:paraId="444CB96D">
            <w:r>
              <w:t>Ley orgánica de protección de datos personales del Ecuador</w:t>
            </w:r>
          </w:p>
        </w:tc>
      </w:tr>
      <w:tr w14:paraId="5679B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13D4C1C3">
            <w:r>
              <w:t>EKG / ECG</w:t>
            </w:r>
          </w:p>
        </w:tc>
        <w:tc>
          <w:tcPr>
            <w:tcW w:w="6360" w:type="dxa"/>
            <w:shd w:val="clear" w:color="auto" w:fill="FFFFFF"/>
            <w:tcMar>
              <w:top w:w="80" w:type="dxa"/>
              <w:left w:w="120" w:type="dxa"/>
              <w:bottom w:w="80" w:type="dxa"/>
              <w:right w:w="120" w:type="dxa"/>
            </w:tcMar>
          </w:tcPr>
          <w:p w14:paraId="641A0D36">
            <w:r>
              <w:t>Electrocardiograma — registra la actividad eléctrica del corazón</w:t>
            </w:r>
          </w:p>
        </w:tc>
      </w:tr>
      <w:tr w14:paraId="16A1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15E32CCA">
            <w:r>
              <w:t>EEG</w:t>
            </w:r>
          </w:p>
        </w:tc>
        <w:tc>
          <w:tcPr>
            <w:tcW w:w="6360" w:type="dxa"/>
            <w:shd w:val="clear" w:color="auto" w:fill="FFFFFF"/>
            <w:tcMar>
              <w:top w:w="80" w:type="dxa"/>
              <w:left w:w="120" w:type="dxa"/>
              <w:bottom w:w="80" w:type="dxa"/>
              <w:right w:w="120" w:type="dxa"/>
            </w:tcMar>
          </w:tcPr>
          <w:p w14:paraId="4739FCBA">
            <w:r>
              <w:t>Electroencefalograma — registra la actividad eléctrica del cerebro</w:t>
            </w:r>
          </w:p>
        </w:tc>
      </w:tr>
      <w:tr w14:paraId="79A21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4321A821">
            <w:r>
              <w:t>SpO2</w:t>
            </w:r>
          </w:p>
        </w:tc>
        <w:tc>
          <w:tcPr>
            <w:tcW w:w="6360" w:type="dxa"/>
            <w:shd w:val="clear" w:color="auto" w:fill="FFFFFF"/>
            <w:tcMar>
              <w:top w:w="80" w:type="dxa"/>
              <w:left w:w="120" w:type="dxa"/>
              <w:bottom w:w="80" w:type="dxa"/>
              <w:right w:w="120" w:type="dxa"/>
            </w:tcMar>
          </w:tcPr>
          <w:p w14:paraId="7D3BC92F">
            <w:r>
              <w:t>Saturación de oxígeno en sangre — medida por el oxímetro</w:t>
            </w:r>
          </w:p>
        </w:tc>
      </w:tr>
      <w:tr w14:paraId="07B1F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594EA5DA">
            <w:r>
              <w:t>HL7/FHIR</w:t>
            </w:r>
          </w:p>
        </w:tc>
        <w:tc>
          <w:tcPr>
            <w:tcW w:w="6360" w:type="dxa"/>
            <w:shd w:val="clear" w:color="auto" w:fill="FFFFFF"/>
            <w:tcMar>
              <w:top w:w="80" w:type="dxa"/>
              <w:left w:w="120" w:type="dxa"/>
              <w:bottom w:w="80" w:type="dxa"/>
              <w:right w:w="120" w:type="dxa"/>
            </w:tcMar>
          </w:tcPr>
          <w:p w14:paraId="393D8206">
            <w:r>
              <w:t>Estándares internacionales de interoperabilidad para intercambio de información clínica</w:t>
            </w:r>
          </w:p>
        </w:tc>
      </w:tr>
      <w:tr w14:paraId="5825E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50F40D72">
            <w:r>
              <w:t>XAI</w:t>
            </w:r>
          </w:p>
        </w:tc>
        <w:tc>
          <w:tcPr>
            <w:tcW w:w="6360" w:type="dxa"/>
            <w:shd w:val="clear" w:color="auto" w:fill="FFFFFF"/>
            <w:tcMar>
              <w:top w:w="80" w:type="dxa"/>
              <w:left w:w="120" w:type="dxa"/>
              <w:bottom w:w="80" w:type="dxa"/>
              <w:right w:w="120" w:type="dxa"/>
            </w:tcMar>
          </w:tcPr>
          <w:p w14:paraId="3DB4B238">
            <w:r>
              <w:t>Explainable AI — capacidad del sistema de explicar sus decisiones automatizadas</w:t>
            </w:r>
          </w:p>
        </w:tc>
      </w:tr>
      <w:tr w14:paraId="62B3B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40F8A85E">
            <w:r>
              <w:t>Bot</w:t>
            </w:r>
          </w:p>
        </w:tc>
        <w:tc>
          <w:tcPr>
            <w:tcW w:w="6360" w:type="dxa"/>
            <w:shd w:val="clear" w:color="auto" w:fill="FFFFFF"/>
            <w:tcMar>
              <w:top w:w="80" w:type="dxa"/>
              <w:left w:w="120" w:type="dxa"/>
              <w:bottom w:w="80" w:type="dxa"/>
              <w:right w:w="120" w:type="dxa"/>
            </w:tcMar>
          </w:tcPr>
          <w:p w14:paraId="1E5FF7D7">
            <w:r>
              <w:t>Interfaz conversacional automatizada (chatbot de texto o voicebot de voz)</w:t>
            </w:r>
          </w:p>
        </w:tc>
      </w:tr>
      <w:tr w14:paraId="3252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237A37BD">
            <w:r>
              <w:t>MFA</w:t>
            </w:r>
          </w:p>
        </w:tc>
        <w:tc>
          <w:tcPr>
            <w:tcW w:w="6360" w:type="dxa"/>
            <w:shd w:val="clear" w:color="auto" w:fill="FFFFFF"/>
            <w:tcMar>
              <w:top w:w="80" w:type="dxa"/>
              <w:left w:w="120" w:type="dxa"/>
              <w:bottom w:w="80" w:type="dxa"/>
              <w:right w:w="120" w:type="dxa"/>
            </w:tcMar>
          </w:tcPr>
          <w:p w14:paraId="22B91B23">
            <w:r>
              <w:t>Multi-factor authentication — Autenticación de múltiples factores</w:t>
            </w:r>
          </w:p>
        </w:tc>
      </w:tr>
      <w:tr w14:paraId="62B73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307BD06A">
            <w:r>
              <w:t>Med-Gemini</w:t>
            </w:r>
          </w:p>
        </w:tc>
        <w:tc>
          <w:tcPr>
            <w:tcW w:w="6360" w:type="dxa"/>
            <w:shd w:val="clear" w:color="auto" w:fill="FFFFFF"/>
            <w:tcMar>
              <w:top w:w="80" w:type="dxa"/>
              <w:left w:w="120" w:type="dxa"/>
              <w:bottom w:w="80" w:type="dxa"/>
              <w:right w:w="120" w:type="dxa"/>
            </w:tcMar>
          </w:tcPr>
          <w:p w14:paraId="18F74FA5">
            <w:r>
              <w:t>Modelo de IA multimodal de google entrenado en datos clínicos. Motor de razonamiento médico de SAMR.</w:t>
            </w:r>
          </w:p>
        </w:tc>
      </w:tr>
      <w:tr w14:paraId="35367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2ADE66F2">
            <w:r>
              <w:t>MLOps</w:t>
            </w:r>
          </w:p>
        </w:tc>
        <w:tc>
          <w:tcPr>
            <w:tcW w:w="6360" w:type="dxa"/>
            <w:shd w:val="clear" w:color="auto" w:fill="FFFFFF"/>
            <w:tcMar>
              <w:top w:w="80" w:type="dxa"/>
              <w:left w:w="120" w:type="dxa"/>
              <w:bottom w:w="80" w:type="dxa"/>
              <w:right w:w="120" w:type="dxa"/>
            </w:tcMar>
          </w:tcPr>
          <w:p w14:paraId="31200A43">
            <w:r>
              <w:t>Prácticas de operaciones para el ciclo de vida de modelos de machine learning</w:t>
            </w:r>
          </w:p>
        </w:tc>
      </w:tr>
      <w:tr w14:paraId="0AFA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05707F49">
            <w:r>
              <w:t>DPO</w:t>
            </w:r>
          </w:p>
        </w:tc>
        <w:tc>
          <w:tcPr>
            <w:tcW w:w="6360" w:type="dxa"/>
            <w:shd w:val="clear" w:color="auto" w:fill="FFFFFF"/>
            <w:tcMar>
              <w:top w:w="80" w:type="dxa"/>
              <w:left w:w="120" w:type="dxa"/>
              <w:bottom w:w="80" w:type="dxa"/>
              <w:right w:w="120" w:type="dxa"/>
            </w:tcMar>
          </w:tcPr>
          <w:p w14:paraId="47CFD3BC">
            <w:r>
              <w:t>Data Protection Officer — Oficial de Protección de Datos (ST06)</w:t>
            </w:r>
          </w:p>
        </w:tc>
      </w:tr>
      <w:tr w14:paraId="0835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4BE55F80">
            <w:r>
              <w:t>IoT</w:t>
            </w:r>
          </w:p>
        </w:tc>
        <w:tc>
          <w:tcPr>
            <w:tcW w:w="6360" w:type="dxa"/>
            <w:shd w:val="clear" w:color="auto" w:fill="FFFFFF"/>
            <w:tcMar>
              <w:top w:w="80" w:type="dxa"/>
              <w:left w:w="120" w:type="dxa"/>
              <w:bottom w:w="80" w:type="dxa"/>
              <w:right w:w="120" w:type="dxa"/>
            </w:tcMar>
          </w:tcPr>
          <w:p w14:paraId="398D990D">
            <w:r>
              <w:t>Internet of things — dispositivos médicos conectados del paciente</w:t>
            </w:r>
          </w:p>
        </w:tc>
      </w:tr>
      <w:tr w14:paraId="0B4D0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0314E12E">
            <w:r>
              <w:t>AES-256</w:t>
            </w:r>
          </w:p>
        </w:tc>
        <w:tc>
          <w:tcPr>
            <w:tcW w:w="6360" w:type="dxa"/>
            <w:shd w:val="clear" w:color="auto" w:fill="FFFFFF"/>
            <w:tcMar>
              <w:top w:w="80" w:type="dxa"/>
              <w:left w:w="120" w:type="dxa"/>
              <w:bottom w:w="80" w:type="dxa"/>
              <w:right w:w="120" w:type="dxa"/>
            </w:tcMar>
          </w:tcPr>
          <w:p w14:paraId="530F4168">
            <w:r>
              <w:t>Advanced encryption standard 256 bits — estándar de cifrado en reposo</w:t>
            </w:r>
          </w:p>
        </w:tc>
      </w:tr>
      <w:tr w14:paraId="41B20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24F5C36E">
            <w:r>
              <w:t>TLS 1.3</w:t>
            </w:r>
          </w:p>
        </w:tc>
        <w:tc>
          <w:tcPr>
            <w:tcW w:w="6360" w:type="dxa"/>
            <w:shd w:val="clear" w:color="auto" w:fill="FFFFFF"/>
            <w:tcMar>
              <w:top w:w="80" w:type="dxa"/>
              <w:left w:w="120" w:type="dxa"/>
              <w:bottom w:w="80" w:type="dxa"/>
              <w:right w:w="120" w:type="dxa"/>
            </w:tcMar>
          </w:tcPr>
          <w:p w14:paraId="0357284F">
            <w:r>
              <w:t>Transport layer Security 1.3 — protocolo de cifrado en tránsito</w:t>
            </w:r>
          </w:p>
        </w:tc>
      </w:tr>
      <w:tr w14:paraId="17F3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66CC4164">
            <w:r>
              <w:t>SHA-256</w:t>
            </w:r>
          </w:p>
        </w:tc>
        <w:tc>
          <w:tcPr>
            <w:tcW w:w="6360" w:type="dxa"/>
            <w:shd w:val="clear" w:color="auto" w:fill="FFFFFF"/>
            <w:tcMar>
              <w:top w:w="80" w:type="dxa"/>
              <w:left w:w="120" w:type="dxa"/>
              <w:bottom w:w="80" w:type="dxa"/>
              <w:right w:w="120" w:type="dxa"/>
            </w:tcMar>
          </w:tcPr>
          <w:p w14:paraId="44F57770">
            <w:r>
              <w:t>Secure hash algorithm 256 bits — hash criptográfico para logs inmutables</w:t>
            </w:r>
          </w:p>
        </w:tc>
      </w:tr>
      <w:tr w14:paraId="2ABD9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02554C68">
            <w:r>
              <w:t>GCP</w:t>
            </w:r>
          </w:p>
        </w:tc>
        <w:tc>
          <w:tcPr>
            <w:tcW w:w="6360" w:type="dxa"/>
            <w:shd w:val="clear" w:color="auto" w:fill="FFFFFF"/>
            <w:tcMar>
              <w:top w:w="80" w:type="dxa"/>
              <w:left w:w="120" w:type="dxa"/>
              <w:bottom w:w="80" w:type="dxa"/>
              <w:right w:w="120" w:type="dxa"/>
            </w:tcMar>
          </w:tcPr>
          <w:p w14:paraId="1D60EF00">
            <w:r>
              <w:t>Google cloud platform — infraestructura cloud del sistema SAMR</w:t>
            </w:r>
          </w:p>
        </w:tc>
      </w:tr>
      <w:tr w14:paraId="2E0B6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462A247C">
            <w:r>
              <w:t>RTO</w:t>
            </w:r>
          </w:p>
        </w:tc>
        <w:tc>
          <w:tcPr>
            <w:tcW w:w="6360" w:type="dxa"/>
            <w:shd w:val="clear" w:color="auto" w:fill="FFFFFF"/>
            <w:tcMar>
              <w:top w:w="80" w:type="dxa"/>
              <w:left w:w="120" w:type="dxa"/>
              <w:bottom w:w="80" w:type="dxa"/>
              <w:right w:w="120" w:type="dxa"/>
            </w:tcMar>
          </w:tcPr>
          <w:p w14:paraId="59C6788B">
            <w:r>
              <w:t>Recovery time objective — tiempo máximo para restablecer el sistema tras una falla</w:t>
            </w:r>
          </w:p>
        </w:tc>
      </w:tr>
      <w:tr w14:paraId="4D3A6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FFFFF"/>
            <w:tcMar>
              <w:top w:w="80" w:type="dxa"/>
              <w:left w:w="120" w:type="dxa"/>
              <w:bottom w:w="80" w:type="dxa"/>
              <w:right w:w="120" w:type="dxa"/>
            </w:tcMar>
          </w:tcPr>
          <w:p w14:paraId="05BAD332">
            <w:r>
              <w:t>RPO</w:t>
            </w:r>
          </w:p>
        </w:tc>
        <w:tc>
          <w:tcPr>
            <w:tcW w:w="6360" w:type="dxa"/>
            <w:shd w:val="clear" w:color="auto" w:fill="FFFFFF"/>
            <w:tcMar>
              <w:top w:w="80" w:type="dxa"/>
              <w:left w:w="120" w:type="dxa"/>
              <w:bottom w:w="80" w:type="dxa"/>
              <w:right w:w="120" w:type="dxa"/>
            </w:tcMar>
          </w:tcPr>
          <w:p w14:paraId="6B44E60D">
            <w:r>
              <w:t>Recovery point objective — pérdida máxima de datos tolerable tras una falla</w:t>
            </w:r>
          </w:p>
        </w:tc>
      </w:tr>
    </w:tbl>
    <w:p w14:paraId="546BC424">
      <w:pPr>
        <w:spacing w:after="100"/>
      </w:pPr>
    </w:p>
    <w:p w14:paraId="45508AF8">
      <w:pPr>
        <w:pStyle w:val="3"/>
        <w:rPr>
          <w:color w:val="auto"/>
        </w:rPr>
      </w:pPr>
      <w:r>
        <w:rPr>
          <w:color w:val="auto"/>
        </w:rPr>
        <w:t>3.4 Referencias</w:t>
      </w:r>
    </w:p>
    <w:p w14:paraId="3DF02988">
      <w:pPr>
        <w:pStyle w:val="17"/>
        <w:numPr>
          <w:ilvl w:val="0"/>
          <w:numId w:val="1"/>
        </w:numPr>
        <w:rPr>
          <w:lang w:val="en-US"/>
        </w:rPr>
      </w:pPr>
      <w:r>
        <w:rPr>
          <w:lang w:val="en-US"/>
        </w:rPr>
        <w:t>ISO/IEC/IEEE 29148:2018 — Systems and software engineering: Life cycle processes — Requirements engineering.</w:t>
      </w:r>
    </w:p>
    <w:p w14:paraId="41760D4A">
      <w:pPr>
        <w:pStyle w:val="17"/>
        <w:numPr>
          <w:ilvl w:val="0"/>
          <w:numId w:val="1"/>
        </w:numPr>
        <w:rPr>
          <w:lang w:val="en-US"/>
        </w:rPr>
      </w:pPr>
      <w:r>
        <w:rPr>
          <w:lang w:val="en-US"/>
        </w:rPr>
        <w:t>ISO/IEC 25010:2011 — Systems and software quality models (atributos de calidad RNF).</w:t>
      </w:r>
    </w:p>
    <w:p w14:paraId="68E8A347">
      <w:pPr>
        <w:pStyle w:val="17"/>
        <w:numPr>
          <w:ilvl w:val="0"/>
          <w:numId w:val="1"/>
        </w:numPr>
      </w:pPr>
      <w:r>
        <w:t>LOPDP — Ley Orgánica de Protección de Datos Personales del Ecuador (Registro Oficial Suplemento 459, 26/05/2021).</w:t>
      </w:r>
    </w:p>
    <w:p w14:paraId="3FCCBB00">
      <w:pPr>
        <w:pStyle w:val="17"/>
        <w:numPr>
          <w:ilvl w:val="0"/>
          <w:numId w:val="1"/>
        </w:numPr>
      </w:pPr>
      <w:r>
        <w:t>Documento de Visión SAMR v3.3 — Equipo LLdE, UTPL, Junio 2026.</w:t>
      </w:r>
    </w:p>
    <w:p w14:paraId="2C2ED188">
      <w:pPr>
        <w:pStyle w:val="17"/>
        <w:numPr>
          <w:ilvl w:val="0"/>
          <w:numId w:val="1"/>
        </w:numPr>
      </w:pPr>
      <w:r>
        <w:t>Diagramas de Contexto Específicos SAMR M1–M5 — Equipo LLdE, UTPL, Junio 2026.</w:t>
      </w:r>
    </w:p>
    <w:p w14:paraId="1B2922C7">
      <w:pPr>
        <w:pStyle w:val="17"/>
        <w:numPr>
          <w:ilvl w:val="0"/>
          <w:numId w:val="1"/>
        </w:numPr>
      </w:pPr>
      <w:r>
        <w:t>Estándar HL7/FHIR para interoperabilidad de información clínica.</w:t>
      </w:r>
    </w:p>
    <w:p w14:paraId="1427F401">
      <w:r>
        <w:br w:type="page"/>
      </w:r>
    </w:p>
    <w:p w14:paraId="5BC87752">
      <w:pPr>
        <w:pStyle w:val="2"/>
        <w:rPr>
          <w:color w:val="auto"/>
        </w:rPr>
      </w:pPr>
      <w:r>
        <w:rPr>
          <w:color w:val="auto"/>
        </w:rPr>
        <w:t>4. Descripción General</w:t>
      </w:r>
    </w:p>
    <w:p w14:paraId="34965E08">
      <w:pPr>
        <w:pStyle w:val="3"/>
        <w:rPr>
          <w:color w:val="auto"/>
        </w:rPr>
      </w:pPr>
      <w:r>
        <w:rPr>
          <w:color w:val="auto"/>
        </w:rPr>
        <w:t xml:space="preserve">4.1 Perspectiva del </w:t>
      </w:r>
      <w:r>
        <w:rPr>
          <w:rFonts w:hint="default"/>
          <w:color w:val="auto"/>
          <w:lang w:val="es-ES"/>
        </w:rPr>
        <w:t>p</w:t>
      </w:r>
      <w:r>
        <w:rPr>
          <w:color w:val="auto"/>
        </w:rPr>
        <w:t>roducto</w:t>
      </w:r>
    </w:p>
    <w:p w14:paraId="07A21933">
      <w:pPr>
        <w:spacing w:after="120"/>
      </w:pPr>
      <w:r>
        <w:t>El Sistema de Atención Médica Remota (SAMR) es una plataforma integral de salud digital que conecta a pacientes domiciliarios con personal médico y centros de asistencia, con soporte de Inteligencia Artificial mediante Med-Gemini. El sistema opera de forma continua y conecta los dispositivos biométricos del paciente (EKG, EEG, oxímetro) con el bot conversacional, la teleconsulta y los sistemas del IESS y la Red de Salud Pública. SAMR actúa como capa de interacción y orquestación clínica remota, sin sustituir los sistemas existentes del IESS ni del MSP.</w:t>
      </w:r>
    </w:p>
    <w:p w14:paraId="70AD6728">
      <w:pPr>
        <w:spacing w:after="100"/>
      </w:pPr>
    </w:p>
    <w:p w14:paraId="475B5B1F">
      <w:pPr>
        <w:pStyle w:val="3"/>
        <w:rPr>
          <w:color w:val="auto"/>
        </w:rPr>
      </w:pPr>
      <w:r>
        <w:rPr>
          <w:color w:val="auto"/>
        </w:rPr>
        <w:t xml:space="preserve">4.2 Funciones </w:t>
      </w:r>
      <w:r>
        <w:rPr>
          <w:rFonts w:hint="default"/>
          <w:color w:val="auto"/>
          <w:lang w:val="es-ES"/>
        </w:rPr>
        <w:t>p</w:t>
      </w:r>
      <w:r>
        <w:rPr>
          <w:color w:val="auto"/>
        </w:rPr>
        <w:t xml:space="preserve">rincipales del </w:t>
      </w:r>
      <w:r>
        <w:rPr>
          <w:rFonts w:hint="default"/>
          <w:color w:val="auto"/>
          <w:lang w:val="es-ES"/>
        </w:rPr>
        <w:t>p</w:t>
      </w:r>
      <w:r>
        <w:rPr>
          <w:color w:val="auto"/>
        </w:rPr>
        <w:t>roducto</w:t>
      </w:r>
    </w:p>
    <w:p w14:paraId="16C39C31">
      <w:pPr>
        <w:pStyle w:val="17"/>
        <w:numPr>
          <w:ilvl w:val="0"/>
          <w:numId w:val="1"/>
        </w:numPr>
      </w:pPr>
      <w:r>
        <w:t>M1 — Gestión de usuarios y acceso: registro de pacientes, médicos y personal administrativo con roles diferenciados, autenticación MFA y validación de elegibilidad IESS/MSP.</w:t>
      </w:r>
    </w:p>
    <w:p w14:paraId="694BB4CD">
      <w:pPr>
        <w:pStyle w:val="17"/>
        <w:numPr>
          <w:ilvl w:val="0"/>
          <w:numId w:val="1"/>
        </w:numPr>
      </w:pPr>
      <w:r>
        <w:t>M2 — Triaje inteligente: bot conversacional, Med-Gemini como motor de clasificación clínica XAI, procesamiento asíncrono de dos tipos de solicitud (formulario y alerta IoT), motor de matching y panel dinámico en tiempo real.</w:t>
      </w:r>
    </w:p>
    <w:p w14:paraId="186414BC">
      <w:pPr>
        <w:pStyle w:val="17"/>
        <w:numPr>
          <w:ilvl w:val="0"/>
          <w:numId w:val="1"/>
        </w:numPr>
      </w:pPr>
      <w:r>
        <w:t>M3 — Monitoreo biométrico predictivo: captura continua de flujos EKG, EEG y SpO2, detección predictiva de anomalías con Med-Gemini y envío simultáneo de alertas críticas a ST01, ST02 y ST04.</w:t>
      </w:r>
    </w:p>
    <w:p w14:paraId="527C383A">
      <w:pPr>
        <w:pStyle w:val="17"/>
        <w:numPr>
          <w:ilvl w:val="0"/>
          <w:numId w:val="1"/>
        </w:numPr>
      </w:pPr>
      <w:r>
        <w:t>M4 — Teleconsulta y atención médica: videollamada de baja latencia con historial clínico integrado, sugerencias diagnósticas XAI, recetas digitales con firma electrónica, derivación presencial y rechazo/reasignación automática.</w:t>
      </w:r>
    </w:p>
    <w:p w14:paraId="0285F14D">
      <w:pPr>
        <w:pStyle w:val="17"/>
        <w:numPr>
          <w:ilvl w:val="0"/>
          <w:numId w:val="1"/>
        </w:numPr>
      </w:pPr>
      <w:r>
        <w:t>M5 — Seguridad, auditoría y cumplimiento: cifrado AES-256/TLS 1.3, consentimiento LOPDP, repositorio centralizado con retención de 5 años y logs inmutables SHA-256 para el MSP.</w:t>
      </w:r>
    </w:p>
    <w:p w14:paraId="6786BD7C">
      <w:pPr>
        <w:spacing w:after="100"/>
      </w:pPr>
    </w:p>
    <w:p w14:paraId="372025D3">
      <w:pPr>
        <w:pStyle w:val="3"/>
        <w:rPr>
          <w:color w:val="auto"/>
        </w:rPr>
      </w:pPr>
      <w:r>
        <w:rPr>
          <w:color w:val="auto"/>
        </w:rPr>
        <w:t xml:space="preserve">4.3 Características de los </w:t>
      </w:r>
      <w:r>
        <w:rPr>
          <w:rFonts w:hint="default"/>
          <w:color w:val="auto"/>
          <w:lang w:val="es-ES"/>
        </w:rPr>
        <w:t>u</w:t>
      </w:r>
      <w:r>
        <w:rPr>
          <w:color w:val="auto"/>
        </w:rPr>
        <w:t>suarios</w:t>
      </w:r>
    </w:p>
    <w:p w14:paraId="6757F015">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400"/>
        <w:gridCol w:w="1800"/>
        <w:gridCol w:w="4360"/>
      </w:tblGrid>
      <w:tr w14:paraId="2E02A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auto"/>
            <w:tcMar>
              <w:top w:w="80" w:type="dxa"/>
              <w:left w:w="120" w:type="dxa"/>
              <w:bottom w:w="80" w:type="dxa"/>
              <w:right w:w="120" w:type="dxa"/>
            </w:tcMar>
          </w:tcPr>
          <w:p w14:paraId="33A24D11">
            <w:r>
              <w:rPr>
                <w:b/>
                <w:bCs/>
              </w:rPr>
              <w:t>Usuario</w:t>
            </w:r>
          </w:p>
        </w:tc>
        <w:tc>
          <w:tcPr>
            <w:tcW w:w="1400" w:type="dxa"/>
            <w:shd w:val="clear" w:color="auto" w:fill="auto"/>
            <w:tcMar>
              <w:top w:w="80" w:type="dxa"/>
              <w:left w:w="120" w:type="dxa"/>
              <w:bottom w:w="80" w:type="dxa"/>
              <w:right w:w="120" w:type="dxa"/>
            </w:tcMar>
          </w:tcPr>
          <w:p w14:paraId="74734D2E">
            <w:r>
              <w:rPr>
                <w:b/>
                <w:bCs/>
              </w:rPr>
              <w:t>Nivel Técnico</w:t>
            </w:r>
          </w:p>
        </w:tc>
        <w:tc>
          <w:tcPr>
            <w:tcW w:w="1800" w:type="dxa"/>
            <w:shd w:val="clear" w:color="auto" w:fill="auto"/>
            <w:tcMar>
              <w:top w:w="80" w:type="dxa"/>
              <w:left w:w="120" w:type="dxa"/>
              <w:bottom w:w="80" w:type="dxa"/>
              <w:right w:w="120" w:type="dxa"/>
            </w:tcMar>
          </w:tcPr>
          <w:p w14:paraId="0664CCE9">
            <w:r>
              <w:rPr>
                <w:b/>
                <w:bCs/>
              </w:rPr>
              <w:t>Frecuencia de Uso</w:t>
            </w:r>
          </w:p>
        </w:tc>
        <w:tc>
          <w:tcPr>
            <w:tcW w:w="4360" w:type="dxa"/>
            <w:shd w:val="clear" w:color="auto" w:fill="auto"/>
            <w:tcMar>
              <w:top w:w="80" w:type="dxa"/>
              <w:left w:w="120" w:type="dxa"/>
              <w:bottom w:w="80" w:type="dxa"/>
              <w:right w:w="120" w:type="dxa"/>
            </w:tcMar>
          </w:tcPr>
          <w:p w14:paraId="6415A909">
            <w:r>
              <w:rPr>
                <w:b/>
                <w:bCs/>
              </w:rPr>
              <w:t>Necesidad Principal</w:t>
            </w:r>
          </w:p>
        </w:tc>
      </w:tr>
      <w:tr w14:paraId="60CB4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36B74325">
            <w:r>
              <w:t>Paciente (ST01)</w:t>
            </w:r>
          </w:p>
        </w:tc>
        <w:tc>
          <w:tcPr>
            <w:tcW w:w="1400" w:type="dxa"/>
            <w:shd w:val="clear" w:color="auto" w:fill="FFFFFF"/>
            <w:tcMar>
              <w:top w:w="80" w:type="dxa"/>
              <w:left w:w="120" w:type="dxa"/>
              <w:bottom w:w="80" w:type="dxa"/>
              <w:right w:w="120" w:type="dxa"/>
            </w:tcMar>
          </w:tcPr>
          <w:p w14:paraId="2F97A7FA">
            <w:r>
              <w:t>Básico — medio</w:t>
            </w:r>
          </w:p>
        </w:tc>
        <w:tc>
          <w:tcPr>
            <w:tcW w:w="1800" w:type="dxa"/>
            <w:shd w:val="clear" w:color="auto" w:fill="FFFFFF"/>
            <w:tcMar>
              <w:top w:w="80" w:type="dxa"/>
              <w:left w:w="120" w:type="dxa"/>
              <w:bottom w:w="80" w:type="dxa"/>
              <w:right w:w="120" w:type="dxa"/>
            </w:tcMar>
          </w:tcPr>
          <w:p w14:paraId="6813EAE0">
            <w:r>
              <w:t>Variable según salud</w:t>
            </w:r>
          </w:p>
        </w:tc>
        <w:tc>
          <w:tcPr>
            <w:tcW w:w="4360" w:type="dxa"/>
            <w:shd w:val="clear" w:color="auto" w:fill="FFFFFF"/>
            <w:tcMar>
              <w:top w:w="80" w:type="dxa"/>
              <w:left w:w="120" w:type="dxa"/>
              <w:bottom w:w="80" w:type="dxa"/>
              <w:right w:w="120" w:type="dxa"/>
            </w:tcMar>
          </w:tcPr>
          <w:p w14:paraId="5F267109">
            <w:r>
              <w:t>Reportar síntomas vía bot, recibir alertas comprensibles y seguimiento de solicitudes en tiempo real.</w:t>
            </w:r>
          </w:p>
        </w:tc>
      </w:tr>
      <w:tr w14:paraId="344EF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70B2007B">
            <w:r>
              <w:t>Personal Médico (ST02)</w:t>
            </w:r>
          </w:p>
        </w:tc>
        <w:tc>
          <w:tcPr>
            <w:tcW w:w="1400" w:type="dxa"/>
            <w:shd w:val="clear" w:color="auto" w:fill="FFFFFF"/>
            <w:tcMar>
              <w:top w:w="80" w:type="dxa"/>
              <w:left w:w="120" w:type="dxa"/>
              <w:bottom w:w="80" w:type="dxa"/>
              <w:right w:w="120" w:type="dxa"/>
            </w:tcMar>
          </w:tcPr>
          <w:p w14:paraId="77C95003">
            <w:r>
              <w:t>Medio — alto</w:t>
            </w:r>
          </w:p>
        </w:tc>
        <w:tc>
          <w:tcPr>
            <w:tcW w:w="1800" w:type="dxa"/>
            <w:shd w:val="clear" w:color="auto" w:fill="FFFFFF"/>
            <w:tcMar>
              <w:top w:w="80" w:type="dxa"/>
              <w:left w:w="120" w:type="dxa"/>
              <w:bottom w:w="80" w:type="dxa"/>
              <w:right w:w="120" w:type="dxa"/>
            </w:tcMar>
          </w:tcPr>
          <w:p w14:paraId="010F817F">
            <w:r>
              <w:t>Diaria</w:t>
            </w:r>
          </w:p>
        </w:tc>
        <w:tc>
          <w:tcPr>
            <w:tcW w:w="4360" w:type="dxa"/>
            <w:shd w:val="clear" w:color="auto" w:fill="FFFFFF"/>
            <w:tcMar>
              <w:top w:w="80" w:type="dxa"/>
              <w:left w:w="120" w:type="dxa"/>
              <w:bottom w:w="80" w:type="dxa"/>
              <w:right w:w="120" w:type="dxa"/>
            </w:tcMar>
          </w:tcPr>
          <w:p w14:paraId="4AE7A919">
            <w:r>
              <w:t>Recibir solicitudes con triaje, ejecutar teleconsultas con soporte IA y tomar decisiones clínicas fundamentadas.</w:t>
            </w:r>
          </w:p>
        </w:tc>
      </w:tr>
      <w:tr w14:paraId="49F75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53FD548D">
            <w:r>
              <w:t>Personal Administrativo (ST03)</w:t>
            </w:r>
          </w:p>
        </w:tc>
        <w:tc>
          <w:tcPr>
            <w:tcW w:w="1400" w:type="dxa"/>
            <w:shd w:val="clear" w:color="auto" w:fill="FFFFFF"/>
            <w:tcMar>
              <w:top w:w="80" w:type="dxa"/>
              <w:left w:w="120" w:type="dxa"/>
              <w:bottom w:w="80" w:type="dxa"/>
              <w:right w:w="120" w:type="dxa"/>
            </w:tcMar>
          </w:tcPr>
          <w:p w14:paraId="38A1977D">
            <w:r>
              <w:t>Medio</w:t>
            </w:r>
          </w:p>
        </w:tc>
        <w:tc>
          <w:tcPr>
            <w:tcW w:w="1800" w:type="dxa"/>
            <w:shd w:val="clear" w:color="auto" w:fill="FFFFFF"/>
            <w:tcMar>
              <w:top w:w="80" w:type="dxa"/>
              <w:left w:w="120" w:type="dxa"/>
              <w:bottom w:w="80" w:type="dxa"/>
              <w:right w:w="120" w:type="dxa"/>
            </w:tcMar>
          </w:tcPr>
          <w:p w14:paraId="2A3D7053">
            <w:r>
              <w:t>Diaria intensiva</w:t>
            </w:r>
          </w:p>
        </w:tc>
        <w:tc>
          <w:tcPr>
            <w:tcW w:w="4360" w:type="dxa"/>
            <w:shd w:val="clear" w:color="auto" w:fill="FFFFFF"/>
            <w:tcMar>
              <w:top w:w="80" w:type="dxa"/>
              <w:left w:w="120" w:type="dxa"/>
              <w:bottom w:w="80" w:type="dxa"/>
              <w:right w:w="120" w:type="dxa"/>
            </w:tcMar>
          </w:tcPr>
          <w:p w14:paraId="120AF8CC">
            <w:r>
              <w:t>Gestionar solicitudes, asignar recursos y supervisar el panel de estados del sistema.</w:t>
            </w:r>
          </w:p>
        </w:tc>
      </w:tr>
      <w:tr w14:paraId="71ADE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311EBD0E">
            <w:r>
              <w:t>Centro de Asistencia (ST04)</w:t>
            </w:r>
          </w:p>
        </w:tc>
        <w:tc>
          <w:tcPr>
            <w:tcW w:w="1400" w:type="dxa"/>
            <w:shd w:val="clear" w:color="auto" w:fill="FFFFFF"/>
            <w:tcMar>
              <w:top w:w="80" w:type="dxa"/>
              <w:left w:w="120" w:type="dxa"/>
              <w:bottom w:w="80" w:type="dxa"/>
              <w:right w:w="120" w:type="dxa"/>
            </w:tcMar>
          </w:tcPr>
          <w:p w14:paraId="03478A52">
            <w:r>
              <w:t>Alto</w:t>
            </w:r>
          </w:p>
        </w:tc>
        <w:tc>
          <w:tcPr>
            <w:tcW w:w="1800" w:type="dxa"/>
            <w:shd w:val="clear" w:color="auto" w:fill="FFFFFF"/>
            <w:tcMar>
              <w:top w:w="80" w:type="dxa"/>
              <w:left w:w="120" w:type="dxa"/>
              <w:bottom w:w="80" w:type="dxa"/>
              <w:right w:w="120" w:type="dxa"/>
            </w:tcMar>
          </w:tcPr>
          <w:p w14:paraId="6A922329">
            <w:r>
              <w:t>Diaria</w:t>
            </w:r>
          </w:p>
        </w:tc>
        <w:tc>
          <w:tcPr>
            <w:tcW w:w="4360" w:type="dxa"/>
            <w:shd w:val="clear" w:color="auto" w:fill="FFFFFF"/>
            <w:tcMar>
              <w:top w:w="80" w:type="dxa"/>
              <w:left w:w="120" w:type="dxa"/>
              <w:bottom w:w="80" w:type="dxa"/>
              <w:right w:w="120" w:type="dxa"/>
            </w:tcMar>
          </w:tcPr>
          <w:p w14:paraId="035BBEA8">
            <w:r>
              <w:t>Recibir y confirmar asignaciones, coordinar atención presencial y gestionar derivaciones.</w:t>
            </w:r>
          </w:p>
        </w:tc>
      </w:tr>
      <w:tr w14:paraId="4AB62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3773BAC5">
            <w:r>
              <w:t>MSP / Auditor (ST05)</w:t>
            </w:r>
          </w:p>
        </w:tc>
        <w:tc>
          <w:tcPr>
            <w:tcW w:w="1400" w:type="dxa"/>
            <w:shd w:val="clear" w:color="auto" w:fill="FFFFFF"/>
            <w:tcMar>
              <w:top w:w="80" w:type="dxa"/>
              <w:left w:w="120" w:type="dxa"/>
              <w:bottom w:w="80" w:type="dxa"/>
              <w:right w:w="120" w:type="dxa"/>
            </w:tcMar>
          </w:tcPr>
          <w:p w14:paraId="6DD0ECE8">
            <w:r>
              <w:t>Alto</w:t>
            </w:r>
          </w:p>
        </w:tc>
        <w:tc>
          <w:tcPr>
            <w:tcW w:w="1800" w:type="dxa"/>
            <w:shd w:val="clear" w:color="auto" w:fill="FFFFFF"/>
            <w:tcMar>
              <w:top w:w="80" w:type="dxa"/>
              <w:left w:w="120" w:type="dxa"/>
              <w:bottom w:w="80" w:type="dxa"/>
              <w:right w:w="120" w:type="dxa"/>
            </w:tcMar>
          </w:tcPr>
          <w:p w14:paraId="031D7C37">
            <w:r>
              <w:t>Periódica — auditorías</w:t>
            </w:r>
          </w:p>
        </w:tc>
        <w:tc>
          <w:tcPr>
            <w:tcW w:w="4360" w:type="dxa"/>
            <w:shd w:val="clear" w:color="auto" w:fill="FFFFFF"/>
            <w:tcMar>
              <w:top w:w="80" w:type="dxa"/>
              <w:left w:w="120" w:type="dxa"/>
              <w:bottom w:w="80" w:type="dxa"/>
              <w:right w:w="120" w:type="dxa"/>
            </w:tcMar>
          </w:tcPr>
          <w:p w14:paraId="1D330E3E">
            <w:r>
              <w:t>Acceder a logs inmutables con decisiones de IA y conversaciones del bot para certificación regulatoria.</w:t>
            </w:r>
          </w:p>
        </w:tc>
      </w:tr>
      <w:tr w14:paraId="0290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48E4AD40">
            <w:r>
              <w:t>DPO (ST06)</w:t>
            </w:r>
          </w:p>
        </w:tc>
        <w:tc>
          <w:tcPr>
            <w:tcW w:w="1400" w:type="dxa"/>
            <w:shd w:val="clear" w:color="auto" w:fill="FFFFFF"/>
            <w:tcMar>
              <w:top w:w="80" w:type="dxa"/>
              <w:left w:w="120" w:type="dxa"/>
              <w:bottom w:w="80" w:type="dxa"/>
              <w:right w:w="120" w:type="dxa"/>
            </w:tcMar>
          </w:tcPr>
          <w:p w14:paraId="07D73C9B">
            <w:r>
              <w:t>Alto</w:t>
            </w:r>
          </w:p>
        </w:tc>
        <w:tc>
          <w:tcPr>
            <w:tcW w:w="1800" w:type="dxa"/>
            <w:shd w:val="clear" w:color="auto" w:fill="FFFFFF"/>
            <w:tcMar>
              <w:top w:w="80" w:type="dxa"/>
              <w:left w:w="120" w:type="dxa"/>
              <w:bottom w:w="80" w:type="dxa"/>
              <w:right w:w="120" w:type="dxa"/>
            </w:tcMar>
          </w:tcPr>
          <w:p w14:paraId="673CBD4E">
            <w:r>
              <w:t>Continua</w:t>
            </w:r>
          </w:p>
        </w:tc>
        <w:tc>
          <w:tcPr>
            <w:tcW w:w="4360" w:type="dxa"/>
            <w:shd w:val="clear" w:color="auto" w:fill="FFFFFF"/>
            <w:tcMar>
              <w:top w:w="80" w:type="dxa"/>
              <w:left w:w="120" w:type="dxa"/>
              <w:bottom w:w="80" w:type="dxa"/>
              <w:right w:w="120" w:type="dxa"/>
            </w:tcMar>
          </w:tcPr>
          <w:p w14:paraId="20373F9E">
            <w:r>
              <w:t>Supervisar cumplimiento LOPDP, gestionar consentimientos y auditar protección de datos.</w:t>
            </w:r>
          </w:p>
        </w:tc>
      </w:tr>
      <w:tr w14:paraId="19589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732F9E0E">
            <w:r>
              <w:t>MLOps / Med-Gemini (ST07)</w:t>
            </w:r>
          </w:p>
        </w:tc>
        <w:tc>
          <w:tcPr>
            <w:tcW w:w="1400" w:type="dxa"/>
            <w:shd w:val="clear" w:color="auto" w:fill="FFFFFF"/>
            <w:tcMar>
              <w:top w:w="80" w:type="dxa"/>
              <w:left w:w="120" w:type="dxa"/>
              <w:bottom w:w="80" w:type="dxa"/>
              <w:right w:w="120" w:type="dxa"/>
            </w:tcMar>
          </w:tcPr>
          <w:p w14:paraId="04CF6525">
            <w:r>
              <w:t>Alto</w:t>
            </w:r>
          </w:p>
        </w:tc>
        <w:tc>
          <w:tcPr>
            <w:tcW w:w="1800" w:type="dxa"/>
            <w:shd w:val="clear" w:color="auto" w:fill="FFFFFF"/>
            <w:tcMar>
              <w:top w:w="80" w:type="dxa"/>
              <w:left w:w="120" w:type="dxa"/>
              <w:bottom w:w="80" w:type="dxa"/>
              <w:right w:w="120" w:type="dxa"/>
            </w:tcMar>
          </w:tcPr>
          <w:p w14:paraId="2367EFC5">
            <w:r>
              <w:t>Continua</w:t>
            </w:r>
          </w:p>
        </w:tc>
        <w:tc>
          <w:tcPr>
            <w:tcW w:w="4360" w:type="dxa"/>
            <w:shd w:val="clear" w:color="auto" w:fill="FFFFFF"/>
            <w:tcMar>
              <w:top w:w="80" w:type="dxa"/>
              <w:left w:w="120" w:type="dxa"/>
              <w:bottom w:w="80" w:type="dxa"/>
              <w:right w:w="120" w:type="dxa"/>
            </w:tcMar>
          </w:tcPr>
          <w:p w14:paraId="65661C4D">
            <w:r>
              <w:t>Gestionar el ciclo de vida de Med-Gemini: integración, monitoreo de precisión, reentrenamiento y auditorías de equidad.</w:t>
            </w:r>
          </w:p>
        </w:tc>
      </w:tr>
      <w:tr w14:paraId="45277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FFFFF"/>
            <w:tcMar>
              <w:top w:w="80" w:type="dxa"/>
              <w:left w:w="120" w:type="dxa"/>
              <w:bottom w:w="80" w:type="dxa"/>
              <w:right w:w="120" w:type="dxa"/>
            </w:tcMar>
          </w:tcPr>
          <w:p w14:paraId="76BCE2C8">
            <w:r>
              <w:t>Patrocinador (ST08)</w:t>
            </w:r>
          </w:p>
        </w:tc>
        <w:tc>
          <w:tcPr>
            <w:tcW w:w="1400" w:type="dxa"/>
            <w:shd w:val="clear" w:color="auto" w:fill="FFFFFF"/>
            <w:tcMar>
              <w:top w:w="80" w:type="dxa"/>
              <w:left w:w="120" w:type="dxa"/>
              <w:bottom w:w="80" w:type="dxa"/>
              <w:right w:w="120" w:type="dxa"/>
            </w:tcMar>
          </w:tcPr>
          <w:p w14:paraId="47550BD1">
            <w:r>
              <w:t>Estratégico</w:t>
            </w:r>
          </w:p>
        </w:tc>
        <w:tc>
          <w:tcPr>
            <w:tcW w:w="1800" w:type="dxa"/>
            <w:shd w:val="clear" w:color="auto" w:fill="FFFFFF"/>
            <w:tcMar>
              <w:top w:w="80" w:type="dxa"/>
              <w:left w:w="120" w:type="dxa"/>
              <w:bottom w:w="80" w:type="dxa"/>
              <w:right w:w="120" w:type="dxa"/>
            </w:tcMar>
          </w:tcPr>
          <w:p w14:paraId="24B31FD4">
            <w:r>
              <w:t>Periódica</w:t>
            </w:r>
          </w:p>
        </w:tc>
        <w:tc>
          <w:tcPr>
            <w:tcW w:w="4360" w:type="dxa"/>
            <w:shd w:val="clear" w:color="auto" w:fill="FFFFFF"/>
            <w:tcMar>
              <w:top w:w="80" w:type="dxa"/>
              <w:left w:w="120" w:type="dxa"/>
              <w:bottom w:w="80" w:type="dxa"/>
              <w:right w:w="120" w:type="dxa"/>
            </w:tcMar>
          </w:tcPr>
          <w:p w14:paraId="06D8C5C3">
            <w:r>
              <w:t>Supervisar la viabilidad estratégica y financiera del proyecto SAMR.</w:t>
            </w:r>
          </w:p>
        </w:tc>
      </w:tr>
    </w:tbl>
    <w:p w14:paraId="151C73D4">
      <w:pPr>
        <w:spacing w:after="100"/>
      </w:pPr>
    </w:p>
    <w:p w14:paraId="7F9440D6">
      <w:pPr>
        <w:pStyle w:val="3"/>
        <w:rPr>
          <w:color w:val="auto"/>
        </w:rPr>
      </w:pPr>
      <w:r>
        <w:rPr>
          <w:color w:val="auto"/>
        </w:rPr>
        <w:t xml:space="preserve">4.4 Restricciones del </w:t>
      </w:r>
      <w:r>
        <w:rPr>
          <w:rFonts w:hint="default"/>
          <w:color w:val="auto"/>
          <w:lang w:val="es-ES"/>
        </w:rPr>
        <w:t>s</w:t>
      </w:r>
      <w:r>
        <w:rPr>
          <w:color w:val="auto"/>
        </w:rPr>
        <w:t>istema</w:t>
      </w:r>
    </w:p>
    <w:p w14:paraId="7588541D">
      <w:pPr>
        <w:pStyle w:val="17"/>
        <w:numPr>
          <w:ilvl w:val="0"/>
          <w:numId w:val="1"/>
        </w:numPr>
      </w:pPr>
      <w:r>
        <w:t>R-01 (Técnica): El sistema requiere que el paciente cuente con acceso a Internet para el monitoreo, la teleconsulta y la interacción con el bot.</w:t>
      </w:r>
    </w:p>
    <w:p w14:paraId="0A0FDED7">
      <w:pPr>
        <w:pStyle w:val="17"/>
        <w:numPr>
          <w:ilvl w:val="0"/>
          <w:numId w:val="1"/>
        </w:numPr>
      </w:pPr>
      <w:r>
        <w:t>R-02 (Legal/Normativa): El sistema debe cumplir con la LOPDP, la Ley Orgánica de Salud del Ecuador, las regulaciones del MSP y los estándares HL7/FHIR.</w:t>
      </w:r>
    </w:p>
    <w:p w14:paraId="1DE48CCA">
      <w:pPr>
        <w:pStyle w:val="17"/>
        <w:numPr>
          <w:ilvl w:val="0"/>
          <w:numId w:val="1"/>
        </w:numPr>
      </w:pPr>
      <w:r>
        <w:t>R-03 (Legal/Normativa): La validez legal de las recetas digitales y las decisiones de IA está condicionada al marco regulatorio vigente del MSP en Ecuador.</w:t>
      </w:r>
    </w:p>
    <w:p w14:paraId="63F9DB13">
      <w:pPr>
        <w:pStyle w:val="17"/>
        <w:numPr>
          <w:ilvl w:val="0"/>
          <w:numId w:val="1"/>
        </w:numPr>
      </w:pPr>
      <w:r>
        <w:t>R-04 (Técnica): La precisión del monitoreo biométrico depende de la calidad y calibración de los dispositivos del paciente, externos al sistema.</w:t>
      </w:r>
    </w:p>
    <w:p w14:paraId="035662DD">
      <w:pPr>
        <w:pStyle w:val="17"/>
        <w:numPr>
          <w:ilvl w:val="0"/>
          <w:numId w:val="1"/>
        </w:numPr>
      </w:pPr>
      <w:r>
        <w:t>R-05 (Técnica): Las APIs del IESS y la Red de Salud Pública deben estar disponibles y accesibles para el sistema.</w:t>
      </w:r>
    </w:p>
    <w:p w14:paraId="241B6E89">
      <w:pPr>
        <w:pStyle w:val="17"/>
        <w:numPr>
          <w:ilvl w:val="0"/>
          <w:numId w:val="1"/>
        </w:numPr>
      </w:pPr>
      <w:r>
        <w:t>R-06 (Ética/IA): Los modelos de IA y el bot deben ser auditables, explicables y libres de sesgos discriminatorios verificables por ST07.</w:t>
      </w:r>
    </w:p>
    <w:p w14:paraId="4B6C44BA">
      <w:pPr>
        <w:pStyle w:val="17"/>
        <w:numPr>
          <w:ilvl w:val="0"/>
          <w:numId w:val="1"/>
        </w:numPr>
      </w:pPr>
      <w:r>
        <w:t>R-07 (Legal/IA): El consentimiento explícito del paciente (ST01) es obligatorio antes de usar sus conversaciones con el bot para reentrenamiento de modelos (ST07).</w:t>
      </w:r>
    </w:p>
    <w:p w14:paraId="13956DF0">
      <w:r>
        <w:br w:type="page"/>
      </w:r>
    </w:p>
    <w:p w14:paraId="26339812">
      <w:pPr>
        <w:pStyle w:val="2"/>
        <w:rPr>
          <w:color w:val="auto"/>
        </w:rPr>
      </w:pPr>
      <w:r>
        <w:rPr>
          <w:color w:val="auto"/>
        </w:rPr>
        <w:t xml:space="preserve">5. Requerimientos </w:t>
      </w:r>
      <w:r>
        <w:rPr>
          <w:rFonts w:hint="default"/>
          <w:color w:val="auto"/>
          <w:lang w:val="es-ES"/>
        </w:rPr>
        <w:t>f</w:t>
      </w:r>
      <w:r>
        <w:rPr>
          <w:color w:val="auto"/>
        </w:rPr>
        <w:t>uncionales</w:t>
      </w:r>
    </w:p>
    <w:p w14:paraId="245DC401">
      <w:pPr>
        <w:shd w:val="clea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F6E4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7" w:hRule="atLeast"/>
        </w:trPr>
        <w:tc>
          <w:tcPr>
            <w:tcW w:w="9360" w:type="dxa"/>
            <w:gridSpan w:val="2"/>
            <w:shd w:val="clear" w:color="auto" w:fill="auto"/>
            <w:tcMar>
              <w:top w:w="100" w:type="dxa"/>
              <w:left w:w="120" w:type="dxa"/>
              <w:bottom w:w="100" w:type="dxa"/>
              <w:right w:w="120" w:type="dxa"/>
            </w:tcMar>
          </w:tcPr>
          <w:p w14:paraId="3C352F8F">
            <w:pPr>
              <w:shd w:val="clear"/>
              <w:tabs>
                <w:tab w:val="left" w:pos="1265"/>
                <w:tab w:val="center" w:pos="4560"/>
              </w:tabs>
            </w:pPr>
            <w:r>
              <w:rPr>
                <w:b/>
                <w:bCs/>
              </w:rPr>
              <w:tab/>
            </w:r>
            <w:r>
              <w:rPr>
                <w:b/>
                <w:bCs/>
              </w:rPr>
              <w:tab/>
            </w:r>
            <w:r>
              <w:rPr>
                <w:b/>
                <w:bCs/>
              </w:rPr>
              <w:t>RF-01: Registro y gestión de perfiles con roles</w:t>
            </w:r>
          </w:p>
        </w:tc>
      </w:tr>
      <w:tr w14:paraId="1550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4E3487C">
            <w:pPr>
              <w:shd w:val="clear"/>
            </w:pPr>
            <w:r>
              <w:rPr>
                <w:b/>
                <w:bCs/>
              </w:rPr>
              <w:t>ID</w:t>
            </w:r>
          </w:p>
        </w:tc>
        <w:tc>
          <w:tcPr>
            <w:tcW w:w="7160" w:type="dxa"/>
            <w:shd w:val="clear" w:color="auto" w:fill="auto"/>
            <w:tcMar>
              <w:top w:w="80" w:type="dxa"/>
              <w:left w:w="120" w:type="dxa"/>
              <w:bottom w:w="80" w:type="dxa"/>
              <w:right w:w="120" w:type="dxa"/>
            </w:tcMar>
          </w:tcPr>
          <w:p w14:paraId="3E60740B">
            <w:pPr>
              <w:shd w:val="clear"/>
            </w:pPr>
            <w:r>
              <w:t>RF-01</w:t>
            </w:r>
          </w:p>
        </w:tc>
      </w:tr>
      <w:tr w14:paraId="759D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38744F2">
            <w:pPr>
              <w:shd w:val="clear"/>
            </w:pPr>
            <w:r>
              <w:rPr>
                <w:b/>
                <w:bCs/>
              </w:rPr>
              <w:t>Nombre</w:t>
            </w:r>
          </w:p>
        </w:tc>
        <w:tc>
          <w:tcPr>
            <w:tcW w:w="7160" w:type="dxa"/>
            <w:shd w:val="clear" w:color="auto" w:fill="auto"/>
            <w:tcMar>
              <w:top w:w="80" w:type="dxa"/>
              <w:left w:w="120" w:type="dxa"/>
              <w:bottom w:w="80" w:type="dxa"/>
              <w:right w:w="120" w:type="dxa"/>
            </w:tcMar>
          </w:tcPr>
          <w:p w14:paraId="076CD7C0">
            <w:pPr>
              <w:shd w:val="clear"/>
            </w:pPr>
            <w:r>
              <w:t>Registro y gestión de perfiles con roles</w:t>
            </w:r>
          </w:p>
        </w:tc>
      </w:tr>
      <w:tr w14:paraId="3B76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B20D1AA">
            <w:pPr>
              <w:shd w:val="clear"/>
            </w:pPr>
            <w:r>
              <w:rPr>
                <w:b/>
                <w:bCs/>
              </w:rPr>
              <w:t>Descripción</w:t>
            </w:r>
          </w:p>
        </w:tc>
        <w:tc>
          <w:tcPr>
            <w:tcW w:w="7160" w:type="dxa"/>
            <w:shd w:val="clear" w:color="auto" w:fill="auto"/>
            <w:tcMar>
              <w:top w:w="80" w:type="dxa"/>
              <w:left w:w="120" w:type="dxa"/>
              <w:bottom w:w="80" w:type="dxa"/>
              <w:right w:w="120" w:type="dxa"/>
            </w:tcMar>
          </w:tcPr>
          <w:p w14:paraId="75182CAA">
            <w:pPr>
              <w:shd w:val="clear"/>
            </w:pPr>
            <w:r>
              <w:t>El sistema permitirá el registro, inicio de sesión y gestión de perfiles diferenciados por rol: el paciente, el personal médico y el personal administrativo. El registro incluirá la vinculación de dispositivos IoT del paciente (EKG, EEG, oxímetro) al perfil. La autenticación MFA será obligatoria para todos los roles. El sistema emitirá confirmación de registro al usuario tras completar el proceso.</w:t>
            </w:r>
          </w:p>
        </w:tc>
      </w:tr>
      <w:tr w14:paraId="4F9ED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78D3316">
            <w:pPr>
              <w:shd w:val="clear"/>
            </w:pPr>
            <w:r>
              <w:rPr>
                <w:b/>
                <w:bCs/>
              </w:rPr>
              <w:t>Prioridad</w:t>
            </w:r>
          </w:p>
        </w:tc>
        <w:tc>
          <w:tcPr>
            <w:tcW w:w="7160" w:type="dxa"/>
            <w:shd w:val="clear" w:color="auto" w:fill="auto"/>
            <w:tcMar>
              <w:top w:w="80" w:type="dxa"/>
              <w:left w:w="120" w:type="dxa"/>
              <w:bottom w:w="80" w:type="dxa"/>
              <w:right w:w="120" w:type="dxa"/>
            </w:tcMar>
          </w:tcPr>
          <w:p w14:paraId="0EEDB0A8">
            <w:pPr>
              <w:shd w:val="clear"/>
            </w:pPr>
            <w:r>
              <w:t>Alta (Must)</w:t>
            </w:r>
          </w:p>
        </w:tc>
      </w:tr>
      <w:tr w14:paraId="49414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AFC998A">
            <w:pPr>
              <w:shd w:val="clear"/>
            </w:pPr>
            <w:r>
              <w:rPr>
                <w:b/>
                <w:bCs/>
              </w:rPr>
              <w:t>Precondiciones</w:t>
            </w:r>
          </w:p>
        </w:tc>
        <w:tc>
          <w:tcPr>
            <w:tcW w:w="7160" w:type="dxa"/>
            <w:shd w:val="clear" w:color="auto" w:fill="auto"/>
            <w:tcMar>
              <w:top w:w="80" w:type="dxa"/>
              <w:left w:w="120" w:type="dxa"/>
              <w:bottom w:w="80" w:type="dxa"/>
              <w:right w:w="120" w:type="dxa"/>
            </w:tcMar>
          </w:tcPr>
          <w:p w14:paraId="679AFE19">
            <w:pPr>
              <w:pStyle w:val="17"/>
              <w:numPr>
                <w:ilvl w:val="0"/>
                <w:numId w:val="1"/>
              </w:numPr>
              <w:shd w:val="clear"/>
            </w:pPr>
            <w:r>
              <w:t>El usuario proporciona datos de registro válidos: nombre, correo y número de afiliación IESS.</w:t>
            </w:r>
          </w:p>
          <w:p w14:paraId="40130369">
            <w:pPr>
              <w:pStyle w:val="17"/>
              <w:numPr>
                <w:ilvl w:val="0"/>
                <w:numId w:val="1"/>
              </w:numPr>
              <w:shd w:val="clear"/>
            </w:pPr>
            <w:r>
              <w:t>El correo electrónico no está registrado previamente en el sistema.</w:t>
            </w:r>
          </w:p>
          <w:p w14:paraId="3476B66D">
            <w:pPr>
              <w:pStyle w:val="17"/>
              <w:numPr>
                <w:ilvl w:val="0"/>
                <w:numId w:val="1"/>
              </w:numPr>
              <w:shd w:val="clear"/>
            </w:pPr>
            <w:r>
              <w:t>El usuario acepta los términos y la política de privacidad LOPDP.</w:t>
            </w:r>
          </w:p>
        </w:tc>
      </w:tr>
      <w:tr w14:paraId="12C5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76488F4">
            <w:pPr>
              <w:shd w:val="clear"/>
            </w:pPr>
            <w:r>
              <w:rPr>
                <w:b/>
                <w:bCs/>
              </w:rPr>
              <w:t>Postcondiciones</w:t>
            </w:r>
          </w:p>
        </w:tc>
        <w:tc>
          <w:tcPr>
            <w:tcW w:w="7160" w:type="dxa"/>
            <w:shd w:val="clear" w:color="auto" w:fill="auto"/>
            <w:tcMar>
              <w:top w:w="80" w:type="dxa"/>
              <w:left w:w="120" w:type="dxa"/>
              <w:bottom w:w="80" w:type="dxa"/>
              <w:right w:w="120" w:type="dxa"/>
            </w:tcMar>
          </w:tcPr>
          <w:p w14:paraId="16E6F613">
            <w:pPr>
              <w:pStyle w:val="17"/>
              <w:numPr>
                <w:ilvl w:val="0"/>
                <w:numId w:val="1"/>
              </w:numPr>
              <w:shd w:val="clear"/>
            </w:pPr>
            <w:r>
              <w:t>Perfil creado con el rol asignado correctamente.</w:t>
            </w:r>
          </w:p>
          <w:p w14:paraId="357AECED">
            <w:pPr>
              <w:pStyle w:val="17"/>
              <w:numPr>
                <w:ilvl w:val="0"/>
                <w:numId w:val="1"/>
              </w:numPr>
              <w:shd w:val="clear"/>
            </w:pPr>
            <w:r>
              <w:t>Confirmación de registro enviada al usuario.</w:t>
            </w:r>
          </w:p>
          <w:p w14:paraId="47E01883">
            <w:pPr>
              <w:pStyle w:val="17"/>
              <w:numPr>
                <w:ilvl w:val="0"/>
                <w:numId w:val="1"/>
              </w:numPr>
              <w:shd w:val="clear"/>
            </w:pPr>
            <w:r>
              <w:t>Dispositivos IoT vinculados al perfil del paciente (si aplica).</w:t>
            </w:r>
          </w:p>
          <w:p w14:paraId="7B194050">
            <w:pPr>
              <w:pStyle w:val="17"/>
              <w:numPr>
                <w:ilvl w:val="0"/>
                <w:numId w:val="1"/>
              </w:numPr>
              <w:shd w:val="clear"/>
            </w:pPr>
            <w:r>
              <w:t>Evento registrado en el log de auditoría.</w:t>
            </w:r>
          </w:p>
        </w:tc>
      </w:tr>
      <w:tr w14:paraId="241A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3F74996">
            <w:pPr>
              <w:shd w:val="clear"/>
            </w:pPr>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30CECF5E">
            <w:pPr>
              <w:pStyle w:val="17"/>
              <w:numPr>
                <w:ilvl w:val="0"/>
                <w:numId w:val="2"/>
              </w:numPr>
              <w:shd w:val="clear"/>
            </w:pPr>
            <w:r>
              <w:t>El sistema crea perfiles diferenciados para el paciente, el médico y el personal administrativo con atributos propios de cada rol.</w:t>
            </w:r>
          </w:p>
          <w:p w14:paraId="08F614C1">
            <w:pPr>
              <w:pStyle w:val="17"/>
              <w:numPr>
                <w:ilvl w:val="0"/>
                <w:numId w:val="2"/>
              </w:numPr>
              <w:shd w:val="clear"/>
            </w:pPr>
            <w:r>
              <w:t>La autenticación MFA es obligatoria y funcional para todos los roles.</w:t>
            </w:r>
          </w:p>
          <w:p w14:paraId="6386EE27">
            <w:pPr>
              <w:pStyle w:val="17"/>
              <w:numPr>
                <w:ilvl w:val="0"/>
                <w:numId w:val="2"/>
              </w:numPr>
              <w:shd w:val="clear"/>
            </w:pPr>
            <w:r>
              <w:t>Los dispositivos IoT del paciente (EKG, EEG, oxímetro) quedan vinculados al perfil.</w:t>
            </w:r>
          </w:p>
          <w:p w14:paraId="4A6B374B">
            <w:pPr>
              <w:pStyle w:val="17"/>
              <w:numPr>
                <w:ilvl w:val="0"/>
                <w:numId w:val="2"/>
              </w:numPr>
              <w:shd w:val="clear"/>
            </w:pPr>
            <w:r>
              <w:t>El sistema rechaza el registro si el correo o número de afiliación ya existe.</w:t>
            </w:r>
          </w:p>
          <w:p w14:paraId="0E350C05">
            <w:pPr>
              <w:pStyle w:val="17"/>
              <w:numPr>
                <w:ilvl w:val="0"/>
                <w:numId w:val="2"/>
              </w:numPr>
              <w:shd w:val="clear"/>
            </w:pPr>
            <w:r>
              <w:t>La confirmación de registro se entrega al usuario en menos de 30 segundos.</w:t>
            </w:r>
          </w:p>
        </w:tc>
      </w:tr>
      <w:tr w14:paraId="58CAC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3FC7D01">
            <w:pPr>
              <w:shd w:val="clear"/>
            </w:pPr>
            <w:r>
              <w:rPr>
                <w:b/>
                <w:bCs/>
              </w:rPr>
              <w:t>Trazabilidad</w:t>
            </w:r>
          </w:p>
        </w:tc>
        <w:tc>
          <w:tcPr>
            <w:tcW w:w="7160" w:type="dxa"/>
            <w:shd w:val="clear" w:color="auto" w:fill="auto"/>
            <w:tcMar>
              <w:top w:w="80" w:type="dxa"/>
              <w:left w:w="120" w:type="dxa"/>
              <w:bottom w:w="80" w:type="dxa"/>
              <w:right w:w="120" w:type="dxa"/>
            </w:tcMar>
          </w:tcPr>
          <w:p w14:paraId="7854659A">
            <w:pPr>
              <w:shd w:val="clear"/>
            </w:pPr>
            <w:r>
              <w:t>M01-C01, CU: Registrarse en el sistema, Iniciar sesión con MFA, Seleccionar perfil y rol, ST01, ST02, ST03, Diagrama de Contexto M1</w:t>
            </w:r>
          </w:p>
        </w:tc>
      </w:tr>
    </w:tbl>
    <w:p w14:paraId="765EB019">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12769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29969FA0">
            <w:pPr>
              <w:jc w:val="center"/>
            </w:pPr>
            <w:r>
              <w:rPr>
                <w:b/>
                <w:bCs/>
              </w:rPr>
              <w:t>RF-02: Validación de elegibilidad en el IESS/MSP</w:t>
            </w:r>
          </w:p>
        </w:tc>
      </w:tr>
      <w:tr w14:paraId="37C89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98D5EC8">
            <w:r>
              <w:rPr>
                <w:b/>
                <w:bCs/>
              </w:rPr>
              <w:t>ID</w:t>
            </w:r>
          </w:p>
        </w:tc>
        <w:tc>
          <w:tcPr>
            <w:tcW w:w="7160" w:type="dxa"/>
            <w:shd w:val="clear" w:color="auto" w:fill="auto"/>
            <w:tcMar>
              <w:top w:w="80" w:type="dxa"/>
              <w:left w:w="120" w:type="dxa"/>
              <w:bottom w:w="80" w:type="dxa"/>
              <w:right w:w="120" w:type="dxa"/>
            </w:tcMar>
          </w:tcPr>
          <w:p w14:paraId="6F7A096D">
            <w:r>
              <w:t>RF-02</w:t>
            </w:r>
          </w:p>
        </w:tc>
      </w:tr>
      <w:tr w14:paraId="47416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4F8E6E1">
            <w:r>
              <w:rPr>
                <w:b/>
                <w:bCs/>
              </w:rPr>
              <w:t>Nombre</w:t>
            </w:r>
          </w:p>
        </w:tc>
        <w:tc>
          <w:tcPr>
            <w:tcW w:w="7160" w:type="dxa"/>
            <w:shd w:val="clear" w:color="auto" w:fill="auto"/>
            <w:tcMar>
              <w:top w:w="80" w:type="dxa"/>
              <w:left w:w="120" w:type="dxa"/>
              <w:bottom w:w="80" w:type="dxa"/>
              <w:right w:w="120" w:type="dxa"/>
            </w:tcMar>
          </w:tcPr>
          <w:p w14:paraId="7BBE1BE7">
            <w:r>
              <w:t>Validación de elegibilidad en el IESS/MSP</w:t>
            </w:r>
          </w:p>
        </w:tc>
      </w:tr>
      <w:tr w14:paraId="6B3D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35D5783">
            <w:r>
              <w:rPr>
                <w:b/>
                <w:bCs/>
              </w:rPr>
              <w:t>Descripción</w:t>
            </w:r>
          </w:p>
        </w:tc>
        <w:tc>
          <w:tcPr>
            <w:tcW w:w="7160" w:type="dxa"/>
            <w:shd w:val="clear" w:color="auto" w:fill="auto"/>
            <w:tcMar>
              <w:top w:w="80" w:type="dxa"/>
              <w:left w:w="120" w:type="dxa"/>
              <w:bottom w:w="80" w:type="dxa"/>
              <w:right w:w="120" w:type="dxa"/>
            </w:tcMar>
          </w:tcPr>
          <w:p w14:paraId="1EF2FF6E">
            <w:r>
              <w:t>El sistema realizará una consulta automatizada a la API del IESS y la Red de Salud Pública para verificar la cobertura y elegibilidad del paciente antes de activar los servicios ambulatorios. El sistema recibirá el estado de afiliación e historial HL7/FHIR y notificará al usuario el resultado de la validación.</w:t>
            </w:r>
          </w:p>
        </w:tc>
      </w:tr>
      <w:tr w14:paraId="14B35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DE162CF">
            <w:r>
              <w:rPr>
                <w:b/>
                <w:bCs/>
              </w:rPr>
              <w:t>Prioridad</w:t>
            </w:r>
          </w:p>
        </w:tc>
        <w:tc>
          <w:tcPr>
            <w:tcW w:w="7160" w:type="dxa"/>
            <w:shd w:val="clear" w:color="auto" w:fill="auto"/>
            <w:tcMar>
              <w:top w:w="80" w:type="dxa"/>
              <w:left w:w="120" w:type="dxa"/>
              <w:bottom w:w="80" w:type="dxa"/>
              <w:right w:w="120" w:type="dxa"/>
            </w:tcMar>
          </w:tcPr>
          <w:p w14:paraId="0A986DA7">
            <w:r>
              <w:t>Alta (Must)</w:t>
            </w:r>
          </w:p>
        </w:tc>
      </w:tr>
      <w:tr w14:paraId="5CF1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F8F1858">
            <w:r>
              <w:rPr>
                <w:b/>
                <w:bCs/>
              </w:rPr>
              <w:t>Precondiciones</w:t>
            </w:r>
          </w:p>
        </w:tc>
        <w:tc>
          <w:tcPr>
            <w:tcW w:w="7160" w:type="dxa"/>
            <w:shd w:val="clear" w:color="auto" w:fill="auto"/>
            <w:tcMar>
              <w:top w:w="80" w:type="dxa"/>
              <w:left w:w="120" w:type="dxa"/>
              <w:bottom w:w="80" w:type="dxa"/>
              <w:right w:w="120" w:type="dxa"/>
            </w:tcMar>
          </w:tcPr>
          <w:p w14:paraId="6FA5C9F9">
            <w:pPr>
              <w:pStyle w:val="17"/>
              <w:numPr>
                <w:ilvl w:val="0"/>
                <w:numId w:val="1"/>
              </w:numPr>
            </w:pPr>
            <w:r>
              <w:t>El paciente tiene un perfil registrado con número de afiliación IESS válido.</w:t>
            </w:r>
          </w:p>
          <w:p w14:paraId="464245C6">
            <w:pPr>
              <w:pStyle w:val="17"/>
              <w:numPr>
                <w:ilvl w:val="0"/>
                <w:numId w:val="1"/>
              </w:numPr>
            </w:pPr>
            <w:r>
              <w:t>La API del IESS y la red de salud pública están disponibles y accesibles.</w:t>
            </w:r>
          </w:p>
          <w:p w14:paraId="777BA18E">
            <w:pPr>
              <w:pStyle w:val="17"/>
              <w:numPr>
                <w:ilvl w:val="0"/>
                <w:numId w:val="1"/>
              </w:numPr>
            </w:pPr>
            <w:r>
              <w:t>El paciente ha completado el proceso de registro (RF-M1-001).</w:t>
            </w:r>
          </w:p>
        </w:tc>
      </w:tr>
      <w:tr w14:paraId="03B82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1C3EEF5">
            <w:r>
              <w:rPr>
                <w:b/>
                <w:bCs/>
              </w:rPr>
              <w:t>Postcondiciones</w:t>
            </w:r>
          </w:p>
        </w:tc>
        <w:tc>
          <w:tcPr>
            <w:tcW w:w="7160" w:type="dxa"/>
            <w:shd w:val="clear" w:color="auto" w:fill="auto"/>
            <w:tcMar>
              <w:top w:w="80" w:type="dxa"/>
              <w:left w:w="120" w:type="dxa"/>
              <w:bottom w:w="80" w:type="dxa"/>
              <w:right w:w="120" w:type="dxa"/>
            </w:tcMar>
          </w:tcPr>
          <w:p w14:paraId="14B2F264">
            <w:pPr>
              <w:pStyle w:val="17"/>
              <w:numPr>
                <w:ilvl w:val="0"/>
                <w:numId w:val="1"/>
              </w:numPr>
            </w:pPr>
            <w:r>
              <w:t>Estado de elegibilidad del paciente registrado en el sistema.</w:t>
            </w:r>
          </w:p>
          <w:p w14:paraId="3009A173">
            <w:pPr>
              <w:pStyle w:val="17"/>
              <w:numPr>
                <w:ilvl w:val="0"/>
                <w:numId w:val="1"/>
              </w:numPr>
            </w:pPr>
            <w:r>
              <w:t>Historial HL7/FHIR importado y asociado al perfil del paciente.</w:t>
            </w:r>
          </w:p>
          <w:p w14:paraId="7C837850">
            <w:pPr>
              <w:pStyle w:val="17"/>
              <w:numPr>
                <w:ilvl w:val="0"/>
                <w:numId w:val="1"/>
              </w:numPr>
            </w:pPr>
            <w:r>
              <w:t>Servicios ambulatorios activados si la elegibilidad es confirmada.</w:t>
            </w:r>
          </w:p>
          <w:p w14:paraId="5AAB9676">
            <w:pPr>
              <w:pStyle w:val="17"/>
              <w:numPr>
                <w:ilvl w:val="0"/>
                <w:numId w:val="1"/>
              </w:numPr>
            </w:pPr>
            <w:r>
              <w:t>Evento de consulta registrado en el log de auditoría.</w:t>
            </w:r>
          </w:p>
        </w:tc>
      </w:tr>
      <w:tr w14:paraId="69D80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9E57163">
            <w:r>
              <w:rPr>
                <w:b/>
                <w:bCs/>
              </w:rPr>
              <w:t>Criterios de Aceptación</w:t>
            </w:r>
          </w:p>
        </w:tc>
        <w:tc>
          <w:tcPr>
            <w:tcW w:w="7160" w:type="dxa"/>
            <w:shd w:val="clear" w:color="auto" w:fill="auto"/>
            <w:tcMar>
              <w:top w:w="80" w:type="dxa"/>
              <w:left w:w="120" w:type="dxa"/>
              <w:bottom w:w="80" w:type="dxa"/>
              <w:right w:w="120" w:type="dxa"/>
            </w:tcMar>
          </w:tcPr>
          <w:p w14:paraId="023BB311">
            <w:pPr>
              <w:pStyle w:val="17"/>
              <w:numPr>
                <w:ilvl w:val="0"/>
                <w:numId w:val="2"/>
              </w:numPr>
            </w:pPr>
            <w:r>
              <w:t>El sistema consulta la API del IESS automáticamente al activar el perfil del paciente.</w:t>
            </w:r>
          </w:p>
          <w:p w14:paraId="47514D52">
            <w:pPr>
              <w:pStyle w:val="17"/>
              <w:numPr>
                <w:ilvl w:val="0"/>
                <w:numId w:val="2"/>
              </w:numPr>
            </w:pPr>
            <w:r>
              <w:t>El resultado de elegibilidad (apto/no apto) se muestra al usuario en menos de 5 segundos.</w:t>
            </w:r>
          </w:p>
          <w:p w14:paraId="15101AD6">
            <w:pPr>
              <w:pStyle w:val="17"/>
              <w:numPr>
                <w:ilvl w:val="0"/>
                <w:numId w:val="2"/>
              </w:numPr>
            </w:pPr>
            <w:r>
              <w:t>El historial HL7/FHIR se importa correctamente y queda disponible para el módulo M4.</w:t>
            </w:r>
          </w:p>
          <w:p w14:paraId="25E23845">
            <w:pPr>
              <w:pStyle w:val="17"/>
              <w:numPr>
                <w:ilvl w:val="0"/>
                <w:numId w:val="2"/>
              </w:numPr>
            </w:pPr>
            <w:r>
              <w:t>En caso de no disponibilidad de la API, el sistema activa el modo degradado e informa al usuario.</w:t>
            </w:r>
          </w:p>
          <w:p w14:paraId="72956F34">
            <w:pPr>
              <w:pStyle w:val="17"/>
              <w:numPr>
                <w:ilvl w:val="0"/>
                <w:numId w:val="2"/>
              </w:numPr>
            </w:pPr>
            <w:r>
              <w:t>El DPO (ST06) supervisa el cumplimiento LOPDP en cada consulta de elegibilidad.</w:t>
            </w:r>
          </w:p>
        </w:tc>
      </w:tr>
      <w:tr w14:paraId="34444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010729C">
            <w:r>
              <w:rPr>
                <w:b/>
                <w:bCs/>
              </w:rPr>
              <w:t>Trazabilidad</w:t>
            </w:r>
          </w:p>
        </w:tc>
        <w:tc>
          <w:tcPr>
            <w:tcW w:w="7160" w:type="dxa"/>
            <w:shd w:val="clear" w:color="auto" w:fill="auto"/>
            <w:tcMar>
              <w:top w:w="80" w:type="dxa"/>
              <w:left w:w="120" w:type="dxa"/>
              <w:bottom w:w="80" w:type="dxa"/>
              <w:right w:w="120" w:type="dxa"/>
            </w:tcMar>
          </w:tcPr>
          <w:p w14:paraId="32099274">
            <w:r>
              <w:t>M01-C02, CU: Validar elegibilidad IESS, RF-M1-001, ST01, ST05, ST06, Diagrama de contexto M1</w:t>
            </w:r>
          </w:p>
        </w:tc>
      </w:tr>
    </w:tbl>
    <w:p w14:paraId="3A4EBF15">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37D99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7A05494A">
            <w:pPr>
              <w:jc w:val="center"/>
            </w:pPr>
            <w:r>
              <w:rPr>
                <w:b/>
                <w:bCs/>
              </w:rPr>
              <w:t>RF-03: Control de acceso con credenciales y MFA</w:t>
            </w:r>
          </w:p>
        </w:tc>
      </w:tr>
      <w:tr w14:paraId="5DCA2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0DE79FB">
            <w:r>
              <w:rPr>
                <w:b/>
                <w:bCs/>
              </w:rPr>
              <w:t>ID</w:t>
            </w:r>
          </w:p>
        </w:tc>
        <w:tc>
          <w:tcPr>
            <w:tcW w:w="7160" w:type="dxa"/>
            <w:shd w:val="clear" w:color="auto" w:fill="auto"/>
            <w:tcMar>
              <w:top w:w="80" w:type="dxa"/>
              <w:left w:w="120" w:type="dxa"/>
              <w:bottom w:w="80" w:type="dxa"/>
              <w:right w:w="120" w:type="dxa"/>
            </w:tcMar>
          </w:tcPr>
          <w:p w14:paraId="61FA638E">
            <w:r>
              <w:t>RF-03</w:t>
            </w:r>
          </w:p>
        </w:tc>
      </w:tr>
      <w:tr w14:paraId="05FD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E990DF1">
            <w:r>
              <w:rPr>
                <w:b/>
                <w:bCs/>
              </w:rPr>
              <w:t>Nombre</w:t>
            </w:r>
          </w:p>
        </w:tc>
        <w:tc>
          <w:tcPr>
            <w:tcW w:w="7160" w:type="dxa"/>
            <w:shd w:val="clear" w:color="auto" w:fill="auto"/>
            <w:tcMar>
              <w:top w:w="80" w:type="dxa"/>
              <w:left w:w="120" w:type="dxa"/>
              <w:bottom w:w="80" w:type="dxa"/>
              <w:right w:w="120" w:type="dxa"/>
            </w:tcMar>
          </w:tcPr>
          <w:p w14:paraId="40B8A0CE">
            <w:r>
              <w:t>Control de acceso con credenciales y MFA</w:t>
            </w:r>
          </w:p>
        </w:tc>
      </w:tr>
      <w:tr w14:paraId="01E5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676D621">
            <w:r>
              <w:rPr>
                <w:b/>
                <w:bCs/>
              </w:rPr>
              <w:t>Descripción</w:t>
            </w:r>
          </w:p>
        </w:tc>
        <w:tc>
          <w:tcPr>
            <w:tcW w:w="7160" w:type="dxa"/>
            <w:shd w:val="clear" w:color="auto" w:fill="auto"/>
            <w:tcMar>
              <w:top w:w="80" w:type="dxa"/>
              <w:left w:w="120" w:type="dxa"/>
              <w:bottom w:w="80" w:type="dxa"/>
              <w:right w:w="120" w:type="dxa"/>
            </w:tcMar>
          </w:tcPr>
          <w:p w14:paraId="4801A361">
            <w:r>
              <w:t>El sistema permitirá el inicio de sesión seguro a todos los usuarios mediante credenciales válidas más autenticación multifactor (MFA). Tras la validación exitosa, el sistema habilitará el perfil con permisos y vistas propios de cada rol: el paciente accede a sus solicitudes y monitoreo; el médico a solicitudes asignadas, alertas biométricas y teleconsulta; el personal administrativo al panel de estados y gestión de recursos. El DPO (ST06) recibe los logs de acceso para supervisión LOPDP.</w:t>
            </w:r>
          </w:p>
        </w:tc>
      </w:tr>
      <w:tr w14:paraId="60C91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EC2550B">
            <w:r>
              <w:rPr>
                <w:b/>
                <w:bCs/>
              </w:rPr>
              <w:t>Prioridad</w:t>
            </w:r>
          </w:p>
        </w:tc>
        <w:tc>
          <w:tcPr>
            <w:tcW w:w="7160" w:type="dxa"/>
            <w:shd w:val="clear" w:color="auto" w:fill="auto"/>
            <w:tcMar>
              <w:top w:w="80" w:type="dxa"/>
              <w:left w:w="120" w:type="dxa"/>
              <w:bottom w:w="80" w:type="dxa"/>
              <w:right w:w="120" w:type="dxa"/>
            </w:tcMar>
          </w:tcPr>
          <w:p w14:paraId="604561E3">
            <w:r>
              <w:t>Alta (Must)</w:t>
            </w:r>
          </w:p>
        </w:tc>
      </w:tr>
      <w:tr w14:paraId="563A1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DC1D5AA">
            <w:r>
              <w:rPr>
                <w:b/>
                <w:bCs/>
              </w:rPr>
              <w:t>Precondiciones</w:t>
            </w:r>
          </w:p>
        </w:tc>
        <w:tc>
          <w:tcPr>
            <w:tcW w:w="7160" w:type="dxa"/>
            <w:shd w:val="clear" w:color="auto" w:fill="auto"/>
            <w:tcMar>
              <w:top w:w="80" w:type="dxa"/>
              <w:left w:w="120" w:type="dxa"/>
              <w:bottom w:w="80" w:type="dxa"/>
              <w:right w:w="120" w:type="dxa"/>
            </w:tcMar>
          </w:tcPr>
          <w:p w14:paraId="302EAF0E">
            <w:pPr>
              <w:pStyle w:val="17"/>
              <w:numPr>
                <w:ilvl w:val="0"/>
                <w:numId w:val="1"/>
              </w:numPr>
            </w:pPr>
            <w:r>
              <w:t>El usuario tiene un perfil activo con rol asignado en el sistema.</w:t>
            </w:r>
          </w:p>
          <w:p w14:paraId="09FE6CD4">
            <w:pPr>
              <w:pStyle w:val="17"/>
              <w:numPr>
                <w:ilvl w:val="0"/>
                <w:numId w:val="1"/>
              </w:numPr>
            </w:pPr>
            <w:r>
              <w:t>El segundo factor MFA está configurado en el perfil.</w:t>
            </w:r>
          </w:p>
          <w:p w14:paraId="00A1B219">
            <w:pPr>
              <w:pStyle w:val="17"/>
              <w:numPr>
                <w:ilvl w:val="0"/>
                <w:numId w:val="1"/>
              </w:numPr>
            </w:pPr>
            <w:r>
              <w:t>El sistema de autenticación está operativo.</w:t>
            </w:r>
          </w:p>
        </w:tc>
      </w:tr>
      <w:tr w14:paraId="4F12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E410D4F">
            <w:r>
              <w:rPr>
                <w:b/>
                <w:bCs/>
              </w:rPr>
              <w:t>Postcondiciones</w:t>
            </w:r>
          </w:p>
        </w:tc>
        <w:tc>
          <w:tcPr>
            <w:tcW w:w="7160" w:type="dxa"/>
            <w:shd w:val="clear" w:color="auto" w:fill="auto"/>
            <w:tcMar>
              <w:top w:w="80" w:type="dxa"/>
              <w:left w:w="120" w:type="dxa"/>
              <w:bottom w:w="80" w:type="dxa"/>
              <w:right w:w="120" w:type="dxa"/>
            </w:tcMar>
          </w:tcPr>
          <w:p w14:paraId="70A83709">
            <w:pPr>
              <w:pStyle w:val="17"/>
              <w:numPr>
                <w:ilvl w:val="0"/>
                <w:numId w:val="1"/>
              </w:numPr>
            </w:pPr>
            <w:r>
              <w:t>Perfil habilitado con permisos y vistas correctas según el rol.</w:t>
            </w:r>
          </w:p>
          <w:p w14:paraId="00543BF9">
            <w:pPr>
              <w:pStyle w:val="17"/>
              <w:numPr>
                <w:ilvl w:val="0"/>
                <w:numId w:val="1"/>
              </w:numPr>
            </w:pPr>
            <w:r>
              <w:t>Sesión activa registrada con timestamp en el log de auditoría.</w:t>
            </w:r>
          </w:p>
          <w:p w14:paraId="3A8D81EB">
            <w:pPr>
              <w:pStyle w:val="17"/>
              <w:numPr>
                <w:ilvl w:val="0"/>
                <w:numId w:val="1"/>
              </w:numPr>
            </w:pPr>
            <w:r>
              <w:t>Logs de acceso enviados al DPO (ST06).</w:t>
            </w:r>
          </w:p>
          <w:p w14:paraId="61BDF2A1">
            <w:pPr>
              <w:pStyle w:val="17"/>
              <w:numPr>
                <w:ilvl w:val="0"/>
                <w:numId w:val="1"/>
              </w:numPr>
            </w:pPr>
            <w:r>
              <w:t>Normativas de habilitación del MSP (ST05) aplicadas al perfil.</w:t>
            </w:r>
          </w:p>
        </w:tc>
      </w:tr>
      <w:tr w14:paraId="6754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17EC1FF">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76E4F99F">
            <w:pPr>
              <w:pStyle w:val="17"/>
              <w:numPr>
                <w:ilvl w:val="0"/>
                <w:numId w:val="2"/>
              </w:numPr>
            </w:pPr>
            <w:r>
              <w:t>El acceso con credenciales incorrectas es bloqueado tras 3 intentos fallidos.</w:t>
            </w:r>
          </w:p>
          <w:p w14:paraId="49494C7D">
            <w:pPr>
              <w:pStyle w:val="17"/>
              <w:numPr>
                <w:ilvl w:val="0"/>
                <w:numId w:val="2"/>
              </w:numPr>
            </w:pPr>
            <w:r>
              <w:t>El MFA es obligatorio y no puede ser omitido por ningún rol.</w:t>
            </w:r>
          </w:p>
          <w:p w14:paraId="1C0822DE">
            <w:pPr>
              <w:pStyle w:val="17"/>
              <w:numPr>
                <w:ilvl w:val="0"/>
                <w:numId w:val="2"/>
              </w:numPr>
            </w:pPr>
            <w:r>
              <w:t>El paciente accede a sus solicitudes, historial clínico y monitoreo biométrico.</w:t>
            </w:r>
          </w:p>
          <w:p w14:paraId="7F2E4EC0">
            <w:pPr>
              <w:pStyle w:val="17"/>
              <w:numPr>
                <w:ilvl w:val="0"/>
                <w:numId w:val="2"/>
              </w:numPr>
            </w:pPr>
            <w:r>
              <w:t>El médico accede a las solicitudes asignadas, alertas biométricas y teleconsulta.</w:t>
            </w:r>
          </w:p>
          <w:p w14:paraId="2E900D1E">
            <w:pPr>
              <w:pStyle w:val="17"/>
              <w:numPr>
                <w:ilvl w:val="0"/>
                <w:numId w:val="2"/>
              </w:numPr>
            </w:pPr>
            <w:r>
              <w:t>El personal administrativo accede al panel de estados y a la gestión de recursos del centro.</w:t>
            </w:r>
          </w:p>
        </w:tc>
      </w:tr>
      <w:tr w14:paraId="5AA00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E369CF9">
            <w:r>
              <w:rPr>
                <w:b/>
                <w:bCs/>
              </w:rPr>
              <w:t>Trazabilidad</w:t>
            </w:r>
          </w:p>
        </w:tc>
        <w:tc>
          <w:tcPr>
            <w:tcW w:w="7160" w:type="dxa"/>
            <w:shd w:val="clear" w:color="auto" w:fill="FFFFFF"/>
            <w:tcMar>
              <w:top w:w="80" w:type="dxa"/>
              <w:left w:w="120" w:type="dxa"/>
              <w:bottom w:w="80" w:type="dxa"/>
              <w:right w:w="120" w:type="dxa"/>
            </w:tcMar>
          </w:tcPr>
          <w:p w14:paraId="3030C91C">
            <w:r>
              <w:t>M01-C01, CU: Iniciar sesión con MFA, Seleccionar perfil y rol, Registrar consentimiento LOPDP, RF-M1-001, ST01, ST02, ST03, ST05, ST06, Diagrama de contexto M1</w:t>
            </w:r>
          </w:p>
        </w:tc>
      </w:tr>
    </w:tbl>
    <w:p w14:paraId="5AB9A765">
      <w:pPr>
        <w:pStyle w:val="3"/>
        <w:rPr>
          <w:color w:val="auto"/>
        </w:rPr>
      </w:pPr>
    </w:p>
    <w:p w14:paraId="1F57C5CE">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5E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054C29D6">
            <w:pPr>
              <w:shd w:val="clear"/>
              <w:tabs>
                <w:tab w:val="center" w:pos="4560"/>
                <w:tab w:val="left" w:pos="7353"/>
              </w:tabs>
            </w:pPr>
            <w:r>
              <w:rPr>
                <w:b/>
                <w:bCs/>
              </w:rPr>
              <w:tab/>
            </w:r>
            <w:r>
              <w:rPr>
                <w:b/>
                <w:bCs/>
              </w:rPr>
              <w:t>RF-04: Bot conversacional de primera línea</w:t>
            </w:r>
            <w:r>
              <w:rPr>
                <w:b/>
                <w:bCs/>
              </w:rPr>
              <w:tab/>
            </w:r>
          </w:p>
        </w:tc>
      </w:tr>
      <w:tr w14:paraId="685B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74C532D">
            <w:pPr>
              <w:shd w:val="clear"/>
            </w:pPr>
            <w:r>
              <w:rPr>
                <w:b/>
                <w:bCs/>
              </w:rPr>
              <w:t>ID</w:t>
            </w:r>
          </w:p>
        </w:tc>
        <w:tc>
          <w:tcPr>
            <w:tcW w:w="7160" w:type="dxa"/>
            <w:shd w:val="clear" w:color="auto" w:fill="auto"/>
            <w:tcMar>
              <w:top w:w="80" w:type="dxa"/>
              <w:left w:w="120" w:type="dxa"/>
              <w:bottom w:w="80" w:type="dxa"/>
              <w:right w:w="120" w:type="dxa"/>
            </w:tcMar>
          </w:tcPr>
          <w:p w14:paraId="661FADCD">
            <w:pPr>
              <w:shd w:val="clear"/>
            </w:pPr>
            <w:r>
              <w:t>RF-04</w:t>
            </w:r>
          </w:p>
        </w:tc>
      </w:tr>
      <w:tr w14:paraId="4268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9E822EE">
            <w:pPr>
              <w:shd w:val="clear"/>
            </w:pPr>
            <w:r>
              <w:rPr>
                <w:b/>
                <w:bCs/>
              </w:rPr>
              <w:t>Nombre</w:t>
            </w:r>
          </w:p>
        </w:tc>
        <w:tc>
          <w:tcPr>
            <w:tcW w:w="7160" w:type="dxa"/>
            <w:shd w:val="clear" w:color="auto" w:fill="auto"/>
            <w:tcMar>
              <w:top w:w="80" w:type="dxa"/>
              <w:left w:w="120" w:type="dxa"/>
              <w:bottom w:w="80" w:type="dxa"/>
              <w:right w:w="120" w:type="dxa"/>
            </w:tcMar>
          </w:tcPr>
          <w:p w14:paraId="7990C87E">
            <w:pPr>
              <w:shd w:val="clear"/>
            </w:pPr>
            <w:r>
              <w:t>Bot conversacional de primera línea</w:t>
            </w:r>
          </w:p>
        </w:tc>
      </w:tr>
      <w:tr w14:paraId="369C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F1A9239">
            <w:pPr>
              <w:shd w:val="clear"/>
            </w:pPr>
            <w:r>
              <w:rPr>
                <w:b/>
                <w:bCs/>
              </w:rPr>
              <w:t>Descripción</w:t>
            </w:r>
          </w:p>
        </w:tc>
        <w:tc>
          <w:tcPr>
            <w:tcW w:w="7160" w:type="dxa"/>
            <w:shd w:val="clear" w:color="auto" w:fill="auto"/>
            <w:tcMar>
              <w:top w:w="80" w:type="dxa"/>
              <w:left w:w="120" w:type="dxa"/>
              <w:bottom w:w="80" w:type="dxa"/>
              <w:right w:w="120" w:type="dxa"/>
            </w:tcMar>
          </w:tcPr>
          <w:p w14:paraId="79686FF7">
            <w:pPr>
              <w:shd w:val="clear"/>
            </w:pPr>
            <w:r>
              <w:t>El sistema ofrecerá un bot conversacional (chatbot de texto y voicebot) como tercera vía de interacción, en la que el sistema guía activamente al paciente mediante preguntas estructuradas para recopilar sus síntomas paso a paso. El bot recibe las preguntas guiadas desde el módulo M2, recopila las respuestas del paciente y las devuelve al sistema para que Med-Gemini ejecute el triaje. Cuando el bot no pueda resolver la situación, escalará automáticamente a un profesional humano manteniendo el contexto completo de la conversación.</w:t>
            </w:r>
          </w:p>
        </w:tc>
      </w:tr>
      <w:tr w14:paraId="66C74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81E90CC">
            <w:pPr>
              <w:shd w:val="clear"/>
            </w:pPr>
            <w:r>
              <w:rPr>
                <w:b/>
                <w:bCs/>
              </w:rPr>
              <w:t>Prioridad</w:t>
            </w:r>
          </w:p>
        </w:tc>
        <w:tc>
          <w:tcPr>
            <w:tcW w:w="7160" w:type="dxa"/>
            <w:shd w:val="clear" w:color="auto" w:fill="auto"/>
            <w:tcMar>
              <w:top w:w="80" w:type="dxa"/>
              <w:left w:w="120" w:type="dxa"/>
              <w:bottom w:w="80" w:type="dxa"/>
              <w:right w:w="120" w:type="dxa"/>
            </w:tcMar>
          </w:tcPr>
          <w:p w14:paraId="37A5980F">
            <w:pPr>
              <w:shd w:val="clear"/>
            </w:pPr>
            <w:r>
              <w:t>Alta (Must)</w:t>
            </w:r>
          </w:p>
        </w:tc>
      </w:tr>
      <w:tr w14:paraId="41234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644640B">
            <w:pPr>
              <w:shd w:val="clear"/>
            </w:pPr>
            <w:r>
              <w:rPr>
                <w:b/>
                <w:bCs/>
              </w:rPr>
              <w:t>Precondiciones</w:t>
            </w:r>
          </w:p>
        </w:tc>
        <w:tc>
          <w:tcPr>
            <w:tcW w:w="7160" w:type="dxa"/>
            <w:shd w:val="clear" w:color="auto" w:fill="auto"/>
            <w:tcMar>
              <w:top w:w="80" w:type="dxa"/>
              <w:left w:w="120" w:type="dxa"/>
              <w:bottom w:w="80" w:type="dxa"/>
              <w:right w:w="120" w:type="dxa"/>
            </w:tcMar>
          </w:tcPr>
          <w:p w14:paraId="08BEAE3A">
            <w:pPr>
              <w:pStyle w:val="17"/>
              <w:numPr>
                <w:ilvl w:val="0"/>
                <w:numId w:val="1"/>
              </w:numPr>
              <w:shd w:val="clear"/>
            </w:pPr>
            <w:r>
              <w:t>El paciente tiene un perfil activo y sesión iniciada.</w:t>
            </w:r>
          </w:p>
          <w:p w14:paraId="162E8B57">
            <w:pPr>
              <w:pStyle w:val="17"/>
              <w:numPr>
                <w:ilvl w:val="0"/>
                <w:numId w:val="1"/>
              </w:numPr>
              <w:shd w:val="clear"/>
            </w:pPr>
            <w:r>
              <w:t>El bot conversacional está operativo y conectado al módulo M2.</w:t>
            </w:r>
          </w:p>
          <w:p w14:paraId="12A438CA">
            <w:pPr>
              <w:pStyle w:val="17"/>
              <w:numPr>
                <w:ilvl w:val="0"/>
                <w:numId w:val="1"/>
              </w:numPr>
              <w:shd w:val="clear"/>
            </w:pPr>
            <w:r>
              <w:t>El paciente ha seleccionado la opción de asistencia guiada por bot en la aplicación.</w:t>
            </w:r>
          </w:p>
        </w:tc>
      </w:tr>
      <w:tr w14:paraId="4F32D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1B4072D">
            <w:pPr>
              <w:shd w:val="clear"/>
            </w:pPr>
            <w:r>
              <w:rPr>
                <w:b/>
                <w:bCs/>
              </w:rPr>
              <w:t>Postcondiciones</w:t>
            </w:r>
          </w:p>
        </w:tc>
        <w:tc>
          <w:tcPr>
            <w:tcW w:w="7160" w:type="dxa"/>
            <w:shd w:val="clear" w:color="auto" w:fill="auto"/>
            <w:tcMar>
              <w:top w:w="80" w:type="dxa"/>
              <w:left w:w="120" w:type="dxa"/>
              <w:bottom w:w="80" w:type="dxa"/>
              <w:right w:w="120" w:type="dxa"/>
            </w:tcMar>
          </w:tcPr>
          <w:p w14:paraId="72840716">
            <w:pPr>
              <w:pStyle w:val="17"/>
              <w:numPr>
                <w:ilvl w:val="0"/>
                <w:numId w:val="1"/>
              </w:numPr>
              <w:shd w:val="clear"/>
            </w:pPr>
            <w:r>
              <w:t>Preguntas guiadas enviadas al paciente por el bot correctamente.</w:t>
            </w:r>
          </w:p>
          <w:p w14:paraId="4E10CA9C">
            <w:pPr>
              <w:pStyle w:val="17"/>
              <w:numPr>
                <w:ilvl w:val="0"/>
                <w:numId w:val="1"/>
              </w:numPr>
              <w:shd w:val="clear"/>
            </w:pPr>
            <w:r>
              <w:t>Respuestas del paciente recopiladas y enviadas al módulo M2 para triaje con Med-Gemini.</w:t>
            </w:r>
          </w:p>
          <w:p w14:paraId="75399790">
            <w:pPr>
              <w:pStyle w:val="17"/>
              <w:numPr>
                <w:ilvl w:val="0"/>
                <w:numId w:val="1"/>
              </w:numPr>
              <w:shd w:val="clear"/>
            </w:pPr>
            <w:r>
              <w:t>En caso de escalamiento, el contexto completo de la conversación es transferido al médico.</w:t>
            </w:r>
          </w:p>
          <w:p w14:paraId="3D7867CC">
            <w:pPr>
              <w:pStyle w:val="17"/>
              <w:numPr>
                <w:ilvl w:val="0"/>
                <w:numId w:val="1"/>
              </w:numPr>
              <w:shd w:val="clear"/>
            </w:pPr>
            <w:r>
              <w:t>Interacción completa del bot registrada en el log de auditoría.</w:t>
            </w:r>
          </w:p>
        </w:tc>
      </w:tr>
      <w:tr w14:paraId="2F04A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CDFF4C6">
            <w:pPr>
              <w:shd w:val="clear"/>
            </w:pPr>
            <w:r>
              <w:rPr>
                <w:b/>
                <w:bCs/>
              </w:rPr>
              <w:t xml:space="preserve">Criterios de </w:t>
            </w:r>
            <w:r>
              <w:rPr>
                <w:rFonts w:hint="default"/>
                <w:b/>
                <w:bCs/>
                <w:lang w:val="es-ES"/>
              </w:rPr>
              <w:t>a</w:t>
            </w:r>
            <w:r>
              <w:rPr>
                <w:b/>
                <w:bCs/>
              </w:rPr>
              <w:t>ceptación</w:t>
            </w:r>
          </w:p>
        </w:tc>
        <w:tc>
          <w:tcPr>
            <w:tcW w:w="7160" w:type="dxa"/>
            <w:shd w:val="clear" w:color="auto" w:fill="FFFFFF"/>
            <w:tcMar>
              <w:top w:w="80" w:type="dxa"/>
              <w:left w:w="120" w:type="dxa"/>
              <w:bottom w:w="80" w:type="dxa"/>
              <w:right w:w="120" w:type="dxa"/>
            </w:tcMar>
          </w:tcPr>
          <w:p w14:paraId="36005096">
            <w:pPr>
              <w:pStyle w:val="17"/>
              <w:shd w:val="clear"/>
              <w:ind w:left="720"/>
            </w:pPr>
            <w:r>
              <w:t>16. El sistema permitirá al paciente interactuar con el bot conversacional mediante mensajes de texto o voz.</w:t>
            </w:r>
          </w:p>
          <w:p w14:paraId="45204B74">
            <w:pPr>
              <w:pStyle w:val="17"/>
              <w:shd w:val="clear"/>
              <w:ind w:left="720"/>
            </w:pPr>
          </w:p>
          <w:p w14:paraId="02FB8D7E">
            <w:pPr>
              <w:pStyle w:val="17"/>
              <w:shd w:val="clear"/>
              <w:ind w:left="720"/>
            </w:pPr>
            <w:r>
              <w:t>17. El bot recopilará la información proporcionada por el paciente y la enviará al módulo de triaje para su procesamiento.</w:t>
            </w:r>
          </w:p>
          <w:p w14:paraId="076FC0EA">
            <w:pPr>
              <w:pStyle w:val="17"/>
              <w:shd w:val="clear"/>
              <w:ind w:left="720"/>
            </w:pPr>
          </w:p>
          <w:p w14:paraId="654895F1">
            <w:pPr>
              <w:pStyle w:val="17"/>
              <w:shd w:val="clear"/>
              <w:ind w:left="720"/>
            </w:pPr>
            <w:r>
              <w:t>18. El sistema permitirá escalar la atención a un profesional de salud cuando sea necesario.</w:t>
            </w:r>
          </w:p>
          <w:p w14:paraId="2CAD3395">
            <w:pPr>
              <w:pStyle w:val="17"/>
              <w:shd w:val="clear"/>
              <w:ind w:left="720"/>
            </w:pPr>
          </w:p>
          <w:p w14:paraId="0BA09B0C">
            <w:pPr>
              <w:pStyle w:val="17"/>
              <w:shd w:val="clear"/>
              <w:ind w:left="720"/>
            </w:pPr>
            <w:r>
              <w:t>19. Al realizar el escalamiento, el sistema transferirá el historial completo de la conversación al profesional asignado.</w:t>
            </w:r>
          </w:p>
          <w:p w14:paraId="2B68CC84">
            <w:pPr>
              <w:pStyle w:val="17"/>
              <w:shd w:val="clear"/>
              <w:ind w:left="720"/>
            </w:pPr>
          </w:p>
          <w:p w14:paraId="4538CC5B">
            <w:pPr>
              <w:pStyle w:val="17"/>
              <w:shd w:val="clear"/>
              <w:ind w:left="720"/>
            </w:pPr>
            <w:r>
              <w:t>20. Todas las interacciones realizadas entre el paciente y el bot quedarán registradas para fines de seguimiento y auditoría.</w:t>
            </w:r>
          </w:p>
        </w:tc>
      </w:tr>
      <w:tr w14:paraId="5AE3B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0C62611">
            <w:pPr>
              <w:shd w:val="clear"/>
            </w:pPr>
            <w:r>
              <w:rPr>
                <w:b/>
                <w:bCs/>
              </w:rPr>
              <w:t>Trazabilidad</w:t>
            </w:r>
          </w:p>
        </w:tc>
        <w:tc>
          <w:tcPr>
            <w:tcW w:w="7160" w:type="dxa"/>
            <w:shd w:val="clear" w:color="auto" w:fill="auto"/>
            <w:tcMar>
              <w:top w:w="80" w:type="dxa"/>
              <w:left w:w="120" w:type="dxa"/>
              <w:bottom w:w="80" w:type="dxa"/>
              <w:right w:w="120" w:type="dxa"/>
            </w:tcMar>
          </w:tcPr>
          <w:p w14:paraId="2CAF4480">
            <w:pPr>
              <w:shd w:val="clear"/>
            </w:pPr>
            <w:r>
              <w:t>M02-C01, CU: Reportar síntomas vía bot, Escalar bot a médico, RF-M1-001, ST01, ST02, ST07, Diagrama de Contexto M2</w:t>
            </w:r>
          </w:p>
        </w:tc>
      </w:tr>
    </w:tbl>
    <w:p w14:paraId="6C4A57F5">
      <w:pPr>
        <w:shd w:val="clear"/>
        <w:spacing w:after="100"/>
      </w:pPr>
    </w:p>
    <w:p w14:paraId="7A8FD753">
      <w:pPr>
        <w:shd w:val="clea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2E047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7B1D4C49">
            <w:pPr>
              <w:shd w:val="clear"/>
              <w:jc w:val="center"/>
            </w:pPr>
            <w:r>
              <w:rPr>
                <w:b/>
                <w:bCs/>
              </w:rPr>
              <w:t>RF</w:t>
            </w:r>
            <w:r>
              <w:rPr>
                <w:rFonts w:hint="default"/>
                <w:b/>
                <w:bCs/>
                <w:lang w:val="es-ES"/>
              </w:rPr>
              <w:t>-</w:t>
            </w:r>
            <w:r>
              <w:rPr>
                <w:b/>
                <w:bCs/>
              </w:rPr>
              <w:t>05: Med-Gemini</w:t>
            </w:r>
            <w:r>
              <w:rPr>
                <w:rFonts w:hint="default"/>
                <w:b/>
                <w:bCs/>
                <w:lang w:val="es-ES"/>
              </w:rPr>
              <w:t xml:space="preserve">, </w:t>
            </w:r>
            <w:r>
              <w:rPr>
                <w:b/>
                <w:bCs/>
              </w:rPr>
              <w:t>motor de triaje clínico con XAI</w:t>
            </w:r>
          </w:p>
        </w:tc>
      </w:tr>
      <w:tr w14:paraId="2B1BB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C5B8C32">
            <w:r>
              <w:rPr>
                <w:b/>
                <w:bCs/>
              </w:rPr>
              <w:t>ID</w:t>
            </w:r>
          </w:p>
        </w:tc>
        <w:tc>
          <w:tcPr>
            <w:tcW w:w="7160" w:type="dxa"/>
            <w:shd w:val="clear" w:color="auto" w:fill="auto"/>
            <w:tcMar>
              <w:top w:w="80" w:type="dxa"/>
              <w:left w:w="120" w:type="dxa"/>
              <w:bottom w:w="80" w:type="dxa"/>
              <w:right w:w="120" w:type="dxa"/>
            </w:tcMar>
          </w:tcPr>
          <w:p w14:paraId="5F1E5E7C">
            <w:r>
              <w:t>RF-05</w:t>
            </w:r>
          </w:p>
        </w:tc>
      </w:tr>
      <w:tr w14:paraId="3C5E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0A96668">
            <w:r>
              <w:rPr>
                <w:b/>
                <w:bCs/>
              </w:rPr>
              <w:t>Nombre</w:t>
            </w:r>
          </w:p>
        </w:tc>
        <w:tc>
          <w:tcPr>
            <w:tcW w:w="7160" w:type="dxa"/>
            <w:shd w:val="clear" w:color="auto" w:fill="auto"/>
            <w:tcMar>
              <w:top w:w="80" w:type="dxa"/>
              <w:left w:w="120" w:type="dxa"/>
              <w:bottom w:w="80" w:type="dxa"/>
              <w:right w:w="120" w:type="dxa"/>
            </w:tcMar>
          </w:tcPr>
          <w:p w14:paraId="5DCA7E5E">
            <w:r>
              <w:t>Med-Gemini</w:t>
            </w:r>
            <w:r>
              <w:rPr>
                <w:rFonts w:hint="default"/>
                <w:lang w:val="es-ES"/>
              </w:rPr>
              <w:t xml:space="preserve">, </w:t>
            </w:r>
            <w:r>
              <w:t>motor de triaje clínico con XAI</w:t>
            </w:r>
          </w:p>
        </w:tc>
      </w:tr>
      <w:tr w14:paraId="58D8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BF0B49F">
            <w:r>
              <w:rPr>
                <w:b/>
                <w:bCs/>
              </w:rPr>
              <w:t>Descripción</w:t>
            </w:r>
          </w:p>
        </w:tc>
        <w:tc>
          <w:tcPr>
            <w:tcW w:w="7160" w:type="dxa"/>
            <w:shd w:val="clear" w:color="auto" w:fill="auto"/>
            <w:tcMar>
              <w:top w:w="80" w:type="dxa"/>
              <w:left w:w="120" w:type="dxa"/>
              <w:bottom w:w="80" w:type="dxa"/>
              <w:right w:w="120" w:type="dxa"/>
            </w:tcMar>
          </w:tcPr>
          <w:p w14:paraId="7C4E09BB">
            <w:r>
              <w:t>El sistema utilizará Med-Gemini como motor de triaje clínico para los tres flujos de entrada del módulo M2: síntomas del formulario autónomo, datos IoT capturados automáticamente por el botón de emergencia y síntomas recopilados por el bot guiado. En cada caso, Med-Gemini clasifica la solicitud por nivel de prioridad médica y genera una explicación comprensible tanto para el paciente como para el médico.</w:t>
            </w:r>
          </w:p>
        </w:tc>
      </w:tr>
      <w:tr w14:paraId="2BB3B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B23A257">
            <w:r>
              <w:rPr>
                <w:b/>
                <w:bCs/>
              </w:rPr>
              <w:t>Prioridad</w:t>
            </w:r>
          </w:p>
        </w:tc>
        <w:tc>
          <w:tcPr>
            <w:tcW w:w="7160" w:type="dxa"/>
            <w:shd w:val="clear" w:color="auto" w:fill="auto"/>
            <w:tcMar>
              <w:top w:w="80" w:type="dxa"/>
              <w:left w:w="120" w:type="dxa"/>
              <w:bottom w:w="80" w:type="dxa"/>
              <w:right w:w="120" w:type="dxa"/>
            </w:tcMar>
          </w:tcPr>
          <w:p w14:paraId="2117DE31">
            <w:r>
              <w:t>Alta (Must)</w:t>
            </w:r>
          </w:p>
        </w:tc>
      </w:tr>
      <w:tr w14:paraId="0FB72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896379A">
            <w:r>
              <w:rPr>
                <w:b/>
                <w:bCs/>
              </w:rPr>
              <w:t>Precondiciones</w:t>
            </w:r>
          </w:p>
        </w:tc>
        <w:tc>
          <w:tcPr>
            <w:tcW w:w="7160" w:type="dxa"/>
            <w:shd w:val="clear" w:color="auto" w:fill="auto"/>
            <w:tcMar>
              <w:top w:w="80" w:type="dxa"/>
              <w:left w:w="120" w:type="dxa"/>
              <w:bottom w:w="80" w:type="dxa"/>
              <w:right w:w="120" w:type="dxa"/>
            </w:tcMar>
          </w:tcPr>
          <w:p w14:paraId="25DFE770">
            <w:pPr>
              <w:pStyle w:val="17"/>
              <w:numPr>
                <w:ilvl w:val="0"/>
                <w:numId w:val="1"/>
              </w:numPr>
            </w:pPr>
            <w:r>
              <w:t>El sistema ha recibido datos de al menos uno de los tres flujos: formulario autónomo, botón de emergencia IoT o respuestas guiadas por bot.</w:t>
            </w:r>
          </w:p>
          <w:p w14:paraId="19BE7B06">
            <w:pPr>
              <w:pStyle w:val="17"/>
              <w:numPr>
                <w:ilvl w:val="0"/>
                <w:numId w:val="1"/>
              </w:numPr>
            </w:pPr>
            <w:r>
              <w:t>Med-Gemini está integrado, operativo y configurado con umbrales clínicos validados.</w:t>
            </w:r>
          </w:p>
          <w:p w14:paraId="3B8245A9">
            <w:pPr>
              <w:pStyle w:val="17"/>
              <w:numPr>
                <w:ilvl w:val="0"/>
                <w:numId w:val="1"/>
              </w:numPr>
            </w:pPr>
            <w:r>
              <w:t>Los datos de síntomas o biométricos están en formato procesable por Med-Gemini.</w:t>
            </w:r>
          </w:p>
        </w:tc>
      </w:tr>
      <w:tr w14:paraId="10D00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11B1528">
            <w:r>
              <w:rPr>
                <w:b/>
                <w:bCs/>
              </w:rPr>
              <w:t>Postcondiciones</w:t>
            </w:r>
          </w:p>
        </w:tc>
        <w:tc>
          <w:tcPr>
            <w:tcW w:w="7160" w:type="dxa"/>
            <w:shd w:val="clear" w:color="auto" w:fill="auto"/>
            <w:tcMar>
              <w:top w:w="80" w:type="dxa"/>
              <w:left w:w="120" w:type="dxa"/>
              <w:bottom w:w="80" w:type="dxa"/>
              <w:right w:w="120" w:type="dxa"/>
            </w:tcMar>
          </w:tcPr>
          <w:p w14:paraId="07075EC6">
            <w:pPr>
              <w:pStyle w:val="17"/>
              <w:numPr>
                <w:ilvl w:val="0"/>
                <w:numId w:val="1"/>
              </w:numPr>
            </w:pPr>
            <w:r>
              <w:t>Solicitud clasificada por nivel de prioridad médica (alta, media, baja).</w:t>
            </w:r>
          </w:p>
          <w:p w14:paraId="40CB9118">
            <w:pPr>
              <w:pStyle w:val="17"/>
              <w:numPr>
                <w:ilvl w:val="0"/>
                <w:numId w:val="1"/>
              </w:numPr>
            </w:pPr>
            <w:r>
              <w:t>Explicación XAI generada y disponible para el paciente y el médico.</w:t>
            </w:r>
          </w:p>
          <w:p w14:paraId="5C8A2FC7">
            <w:pPr>
              <w:pStyle w:val="17"/>
              <w:numPr>
                <w:ilvl w:val="0"/>
                <w:numId w:val="1"/>
              </w:numPr>
            </w:pPr>
            <w:r>
              <w:t>Clasificación clínica registrada y vinculada a la solicitud del paciente.</w:t>
            </w:r>
          </w:p>
          <w:p w14:paraId="3C57D696">
            <w:pPr>
              <w:pStyle w:val="17"/>
              <w:numPr>
                <w:ilvl w:val="0"/>
                <w:numId w:val="1"/>
              </w:numPr>
            </w:pPr>
            <w:r>
              <w:t>Decisión de Med-Gemini registrada en el log de auditoría con versión del modelo.</w:t>
            </w:r>
          </w:p>
        </w:tc>
      </w:tr>
      <w:tr w14:paraId="332C0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74B3059">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3A8A96BB">
            <w:pPr>
              <w:pStyle w:val="17"/>
              <w:numPr>
                <w:ilvl w:val="0"/>
                <w:numId w:val="2"/>
              </w:numPr>
            </w:pPr>
            <w:r>
              <w:t>Med-Gemini procesa correctamente los tres tipos de entrada: formulario, datos IoT y respuestas del bot.</w:t>
            </w:r>
          </w:p>
          <w:p w14:paraId="71C559F3">
            <w:pPr>
              <w:pStyle w:val="17"/>
              <w:numPr>
                <w:ilvl w:val="0"/>
                <w:numId w:val="2"/>
              </w:numPr>
            </w:pPr>
            <w:r>
              <w:t>Med-Gemini clasifica cada solicitud y genera la explicación XAI en menos de 2 segundos independientemente del flujo de origen.</w:t>
            </w:r>
          </w:p>
          <w:p w14:paraId="3B18AD33">
            <w:pPr>
              <w:pStyle w:val="17"/>
              <w:numPr>
                <w:ilvl w:val="0"/>
                <w:numId w:val="2"/>
              </w:numPr>
            </w:pPr>
            <w:r>
              <w:t>La explicación XAI es comprensible para el paciente sin conocimientos médicos en los tres flujos.</w:t>
            </w:r>
          </w:p>
          <w:p w14:paraId="3CB942FD">
            <w:pPr>
              <w:pStyle w:val="17"/>
              <w:numPr>
                <w:ilvl w:val="0"/>
                <w:numId w:val="2"/>
              </w:numPr>
            </w:pPr>
            <w:r>
              <w:t>El 100% de las clasificaciones incluye nivel de prioridad médica y justificación clínica.</w:t>
            </w:r>
          </w:p>
          <w:p w14:paraId="2A4BA600">
            <w:pPr>
              <w:pStyle w:val="17"/>
              <w:numPr>
                <w:ilvl w:val="0"/>
                <w:numId w:val="2"/>
              </w:numPr>
            </w:pPr>
            <w:r>
              <w:t>En ausencia de Med-Gemini, el sistema opera en modo básico reactivo e informa al usuario.</w:t>
            </w:r>
          </w:p>
        </w:tc>
      </w:tr>
      <w:tr w14:paraId="0457C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B722949">
            <w:r>
              <w:rPr>
                <w:b/>
                <w:bCs/>
              </w:rPr>
              <w:t>Trazabilidad</w:t>
            </w:r>
          </w:p>
        </w:tc>
        <w:tc>
          <w:tcPr>
            <w:tcW w:w="7160" w:type="dxa"/>
            <w:shd w:val="clear" w:color="auto" w:fill="auto"/>
            <w:tcMar>
              <w:top w:w="80" w:type="dxa"/>
              <w:left w:w="120" w:type="dxa"/>
              <w:bottom w:w="80" w:type="dxa"/>
              <w:right w:w="120" w:type="dxa"/>
            </w:tcMar>
          </w:tcPr>
          <w:p w14:paraId="25A6A013">
            <w:r>
              <w:t>M02-C02, CU: Clasificar riesgo con Med-Gemini, RF-M2-001, ST01, ST02, ST07, Diagrama de Contexto M2</w:t>
            </w:r>
          </w:p>
        </w:tc>
      </w:tr>
    </w:tbl>
    <w:p w14:paraId="36B2C66A">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F4B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03729F09">
            <w:pPr>
              <w:jc w:val="center"/>
            </w:pPr>
            <w:r>
              <w:rPr>
                <w:b/>
                <w:bCs/>
              </w:rPr>
              <w:t>RF</w:t>
            </w:r>
            <w:r>
              <w:rPr>
                <w:rFonts w:hint="default"/>
                <w:b/>
                <w:bCs/>
                <w:lang w:val="es-ES"/>
              </w:rPr>
              <w:t>-</w:t>
            </w:r>
            <w:r>
              <w:rPr>
                <w:b/>
                <w:bCs/>
              </w:rPr>
              <w:t>06: Procesamiento de solicitud de síntomas vía formulario</w:t>
            </w:r>
          </w:p>
        </w:tc>
      </w:tr>
      <w:tr w14:paraId="7A3C2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C7E8C42">
            <w:r>
              <w:rPr>
                <w:b/>
                <w:bCs/>
              </w:rPr>
              <w:t>ID</w:t>
            </w:r>
          </w:p>
        </w:tc>
        <w:tc>
          <w:tcPr>
            <w:tcW w:w="7160" w:type="dxa"/>
            <w:shd w:val="clear" w:color="auto" w:fill="auto"/>
            <w:tcMar>
              <w:top w:w="80" w:type="dxa"/>
              <w:left w:w="120" w:type="dxa"/>
              <w:bottom w:w="80" w:type="dxa"/>
              <w:right w:w="120" w:type="dxa"/>
            </w:tcMar>
          </w:tcPr>
          <w:p w14:paraId="1DD7C8B9">
            <w:r>
              <w:t>RF06</w:t>
            </w:r>
          </w:p>
        </w:tc>
      </w:tr>
      <w:tr w14:paraId="2F76E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0CC6E65">
            <w:r>
              <w:rPr>
                <w:b/>
                <w:bCs/>
              </w:rPr>
              <w:t>Nombre</w:t>
            </w:r>
          </w:p>
        </w:tc>
        <w:tc>
          <w:tcPr>
            <w:tcW w:w="7160" w:type="dxa"/>
            <w:shd w:val="clear" w:color="auto" w:fill="auto"/>
            <w:tcMar>
              <w:top w:w="80" w:type="dxa"/>
              <w:left w:w="120" w:type="dxa"/>
              <w:bottom w:w="80" w:type="dxa"/>
              <w:right w:w="120" w:type="dxa"/>
            </w:tcMar>
          </w:tcPr>
          <w:p w14:paraId="6DB40D81">
            <w:r>
              <w:t>Procesamiento de solicitud de síntomas vía formulario</w:t>
            </w:r>
          </w:p>
        </w:tc>
      </w:tr>
      <w:tr w14:paraId="2F939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0AC2A3E">
            <w:r>
              <w:rPr>
                <w:b/>
                <w:bCs/>
              </w:rPr>
              <w:t>Descripción</w:t>
            </w:r>
          </w:p>
        </w:tc>
        <w:tc>
          <w:tcPr>
            <w:tcW w:w="7160" w:type="dxa"/>
            <w:shd w:val="clear" w:color="auto" w:fill="auto"/>
            <w:tcMar>
              <w:top w:w="80" w:type="dxa"/>
              <w:left w:w="120" w:type="dxa"/>
              <w:bottom w:w="80" w:type="dxa"/>
              <w:right w:w="120" w:type="dxa"/>
            </w:tcMar>
          </w:tcPr>
          <w:p w14:paraId="67DD4B03">
            <w:r>
              <w:t>El sistema permitirá al paciente completar de forma autónoma un formulario estructurado de síntomas directamente en la aplicación, sin intervención del bot. El paciente describe cómo se siente, selecciona síntomas y completa los campos requeridos por su propia cuenta. El sistema procesará esta solicitud de forma asíncrona, enviará los datos a Med-Gemini para el triaje clínico y notificará al paciente el estado de la solicitud en tiempo real.</w:t>
            </w:r>
          </w:p>
        </w:tc>
      </w:tr>
      <w:tr w14:paraId="27268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D3AA644">
            <w:r>
              <w:rPr>
                <w:b/>
                <w:bCs/>
              </w:rPr>
              <w:t>Prioridad</w:t>
            </w:r>
          </w:p>
        </w:tc>
        <w:tc>
          <w:tcPr>
            <w:tcW w:w="7160" w:type="dxa"/>
            <w:shd w:val="clear" w:color="auto" w:fill="auto"/>
            <w:tcMar>
              <w:top w:w="80" w:type="dxa"/>
              <w:left w:w="120" w:type="dxa"/>
              <w:bottom w:w="80" w:type="dxa"/>
              <w:right w:w="120" w:type="dxa"/>
            </w:tcMar>
          </w:tcPr>
          <w:p w14:paraId="5E09559E">
            <w:r>
              <w:t>Alta (Must)</w:t>
            </w:r>
          </w:p>
        </w:tc>
      </w:tr>
      <w:tr w14:paraId="76BB5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B848F47">
            <w:r>
              <w:rPr>
                <w:b/>
                <w:bCs/>
              </w:rPr>
              <w:t>Precondiciones</w:t>
            </w:r>
          </w:p>
        </w:tc>
        <w:tc>
          <w:tcPr>
            <w:tcW w:w="7160" w:type="dxa"/>
            <w:shd w:val="clear" w:color="auto" w:fill="auto"/>
            <w:tcMar>
              <w:top w:w="80" w:type="dxa"/>
              <w:left w:w="120" w:type="dxa"/>
              <w:bottom w:w="80" w:type="dxa"/>
              <w:right w:w="120" w:type="dxa"/>
            </w:tcMar>
          </w:tcPr>
          <w:p w14:paraId="77795667">
            <w:pPr>
              <w:pStyle w:val="17"/>
              <w:numPr>
                <w:ilvl w:val="0"/>
                <w:numId w:val="1"/>
              </w:numPr>
            </w:pPr>
            <w:r>
              <w:t>El paciente tiene sesión activa y ha seleccionado la opción de reporte autónomo de síntomas.</w:t>
            </w:r>
          </w:p>
          <w:p w14:paraId="04F4B5CB">
            <w:pPr>
              <w:pStyle w:val="17"/>
              <w:numPr>
                <w:ilvl w:val="0"/>
                <w:numId w:val="1"/>
              </w:numPr>
            </w:pPr>
            <w:r>
              <w:t>El formulario de síntomas está disponible y operativo en la aplicación.</w:t>
            </w:r>
          </w:p>
          <w:p w14:paraId="3AEED056">
            <w:pPr>
              <w:pStyle w:val="17"/>
              <w:numPr>
                <w:ilvl w:val="0"/>
                <w:numId w:val="1"/>
              </w:numPr>
            </w:pPr>
            <w:r>
              <w:t>El motor de matching está operativo para asignar el caso tras el triaje.</w:t>
            </w:r>
          </w:p>
        </w:tc>
      </w:tr>
      <w:tr w14:paraId="01DFC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C23FDD0">
            <w:r>
              <w:rPr>
                <w:b/>
                <w:bCs/>
              </w:rPr>
              <w:t>Postcondiciones</w:t>
            </w:r>
          </w:p>
        </w:tc>
        <w:tc>
          <w:tcPr>
            <w:tcW w:w="7160" w:type="dxa"/>
            <w:shd w:val="clear" w:color="auto" w:fill="auto"/>
            <w:tcMar>
              <w:top w:w="80" w:type="dxa"/>
              <w:left w:w="120" w:type="dxa"/>
              <w:bottom w:w="80" w:type="dxa"/>
              <w:right w:w="120" w:type="dxa"/>
            </w:tcMar>
          </w:tcPr>
          <w:p w14:paraId="5BCCB9CD">
            <w:pPr>
              <w:pStyle w:val="17"/>
              <w:numPr>
                <w:ilvl w:val="0"/>
                <w:numId w:val="1"/>
              </w:numPr>
            </w:pPr>
            <w:r>
              <w:t>Formulario de síntomas completado por el paciente de forma autónoma y registrado en el sistema.</w:t>
            </w:r>
          </w:p>
          <w:p w14:paraId="5800D1E0">
            <w:pPr>
              <w:pStyle w:val="17"/>
              <w:numPr>
                <w:ilvl w:val="0"/>
                <w:numId w:val="1"/>
              </w:numPr>
            </w:pPr>
            <w:r>
              <w:t>Datos del formulario enviados a Med-Gemini para clasificación clínica con XAI.</w:t>
            </w:r>
          </w:p>
          <w:p w14:paraId="32806780">
            <w:pPr>
              <w:pStyle w:val="17"/>
              <w:numPr>
                <w:ilvl w:val="0"/>
                <w:numId w:val="1"/>
              </w:numPr>
            </w:pPr>
            <w:r>
              <w:t>Clasificación de riesgo XAI comunicada al paciente una vez procesada.</w:t>
            </w:r>
          </w:p>
          <w:p w14:paraId="030F6D46">
            <w:pPr>
              <w:pStyle w:val="17"/>
              <w:numPr>
                <w:ilvl w:val="0"/>
                <w:numId w:val="1"/>
              </w:numPr>
            </w:pPr>
            <w:r>
              <w:t>Estado de la solicitud visible en el panel dinámico en tiempo real con estado 'Recibida'.</w:t>
            </w:r>
          </w:p>
        </w:tc>
      </w:tr>
      <w:tr w14:paraId="0D16E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1BED60C">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11262AE0">
            <w:pPr>
              <w:pStyle w:val="17"/>
              <w:numPr>
                <w:ilvl w:val="0"/>
                <w:numId w:val="2"/>
              </w:numPr>
            </w:pPr>
            <w:r>
              <w:t>El paciente puede completar el formulario de síntomas sin asistencia del bot ni de un operador.</w:t>
            </w:r>
          </w:p>
          <w:p w14:paraId="00479F26">
            <w:pPr>
              <w:pStyle w:val="17"/>
              <w:numPr>
                <w:ilvl w:val="0"/>
                <w:numId w:val="2"/>
              </w:numPr>
            </w:pPr>
            <w:r>
              <w:t>El formulario es claro, con campos simples y sin tecnicismos médicos.</w:t>
            </w:r>
          </w:p>
          <w:p w14:paraId="56B121EE">
            <w:pPr>
              <w:pStyle w:val="17"/>
              <w:numPr>
                <w:ilvl w:val="0"/>
                <w:numId w:val="2"/>
              </w:numPr>
            </w:pPr>
            <w:r>
              <w:t>Los datos del formulario son enviados a Med-Gemini y la clasificación clínica se completa en menos de 5 segundos.</w:t>
            </w:r>
          </w:p>
          <w:p w14:paraId="646F86CA">
            <w:pPr>
              <w:pStyle w:val="17"/>
              <w:numPr>
                <w:ilvl w:val="0"/>
                <w:numId w:val="2"/>
              </w:numPr>
            </w:pPr>
            <w:r>
              <w:t>El paciente recibe la clasificación de riesgo XAI inmediatamente tras el triaje.</w:t>
            </w:r>
          </w:p>
          <w:p w14:paraId="2592D58A">
            <w:pPr>
              <w:pStyle w:val="17"/>
              <w:numPr>
                <w:ilvl w:val="0"/>
                <w:numId w:val="2"/>
              </w:numPr>
            </w:pPr>
            <w:r>
              <w:t>El estado de la solicitud es visible en el panel dinámico sin necesidad de recargar la pantalla.</w:t>
            </w:r>
          </w:p>
        </w:tc>
      </w:tr>
      <w:tr w14:paraId="591D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2A9AD7E">
            <w:r>
              <w:rPr>
                <w:b/>
                <w:bCs/>
              </w:rPr>
              <w:t>Trazabilidad</w:t>
            </w:r>
          </w:p>
        </w:tc>
        <w:tc>
          <w:tcPr>
            <w:tcW w:w="7160" w:type="dxa"/>
            <w:shd w:val="clear" w:color="auto" w:fill="auto"/>
            <w:tcMar>
              <w:top w:w="80" w:type="dxa"/>
              <w:left w:w="120" w:type="dxa"/>
              <w:bottom w:w="80" w:type="dxa"/>
              <w:right w:w="120" w:type="dxa"/>
            </w:tcMar>
          </w:tcPr>
          <w:p w14:paraId="02718C39">
            <w:r>
              <w:t>M02-C03, CU: Generar solicitud asíncrona, RF-M2-001, RF-M2-002, ST01, ST03, ST04, Diagrama de Contexto M2</w:t>
            </w:r>
          </w:p>
        </w:tc>
      </w:tr>
    </w:tbl>
    <w:p w14:paraId="4F0ED164">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090E0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0683CAF7">
            <w:pPr>
              <w:jc w:val="center"/>
            </w:pPr>
            <w:r>
              <w:rPr>
                <w:b/>
                <w:bCs/>
              </w:rPr>
              <w:t>RF-07: Procesamiento de alerta de emergencia IoT</w:t>
            </w:r>
          </w:p>
        </w:tc>
      </w:tr>
      <w:tr w14:paraId="29A47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B0F8D43">
            <w:r>
              <w:rPr>
                <w:b/>
                <w:bCs/>
              </w:rPr>
              <w:t>ID</w:t>
            </w:r>
          </w:p>
        </w:tc>
        <w:tc>
          <w:tcPr>
            <w:tcW w:w="7160" w:type="dxa"/>
            <w:shd w:val="clear" w:color="auto" w:fill="auto"/>
            <w:tcMar>
              <w:top w:w="80" w:type="dxa"/>
              <w:left w:w="120" w:type="dxa"/>
              <w:bottom w:w="80" w:type="dxa"/>
              <w:right w:w="120" w:type="dxa"/>
            </w:tcMar>
          </w:tcPr>
          <w:p w14:paraId="1EAB3888">
            <w:r>
              <w:t>RF-07</w:t>
            </w:r>
          </w:p>
        </w:tc>
      </w:tr>
      <w:tr w14:paraId="02D7B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4706616">
            <w:r>
              <w:rPr>
                <w:b/>
                <w:bCs/>
              </w:rPr>
              <w:t>Nombre</w:t>
            </w:r>
          </w:p>
        </w:tc>
        <w:tc>
          <w:tcPr>
            <w:tcW w:w="7160" w:type="dxa"/>
            <w:shd w:val="clear" w:color="auto" w:fill="auto"/>
            <w:tcMar>
              <w:top w:w="80" w:type="dxa"/>
              <w:left w:w="120" w:type="dxa"/>
              <w:bottom w:w="80" w:type="dxa"/>
              <w:right w:w="120" w:type="dxa"/>
            </w:tcMar>
          </w:tcPr>
          <w:p w14:paraId="07091783">
            <w:r>
              <w:t>Procesamiento de alerta de emergencia IoT</w:t>
            </w:r>
          </w:p>
        </w:tc>
      </w:tr>
      <w:tr w14:paraId="2654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8452571">
            <w:r>
              <w:rPr>
                <w:b/>
                <w:bCs/>
              </w:rPr>
              <w:t>Descripción</w:t>
            </w:r>
          </w:p>
        </w:tc>
        <w:tc>
          <w:tcPr>
            <w:tcW w:w="7160" w:type="dxa"/>
            <w:shd w:val="clear" w:color="auto" w:fill="auto"/>
            <w:tcMar>
              <w:top w:w="80" w:type="dxa"/>
              <w:left w:w="120" w:type="dxa"/>
              <w:bottom w:w="80" w:type="dxa"/>
              <w:right w:w="120" w:type="dxa"/>
            </w:tcMar>
          </w:tcPr>
          <w:p w14:paraId="7FBA3A1D">
            <w:r>
              <w:t>El sistema ofrecerá al paciente un botón de emergencia dentro de la aplicación. Al presionarlo, el sistema activará automáticamente la captura de las lecturas biométricas del momento desde los dispositivos IoT (EKG, EEG, SpO2) sin ninguna intervención adicional del paciente. Estos datos son enviados directamente a Med-Gemini para el triaje de emergencia y la solicitud es despachada simultáneamente al médico y al centro de asistencia con los datos clínicos completos.</w:t>
            </w:r>
          </w:p>
        </w:tc>
      </w:tr>
      <w:tr w14:paraId="6B8F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F2B0ADD">
            <w:r>
              <w:rPr>
                <w:b/>
                <w:bCs/>
              </w:rPr>
              <w:t>Prioridad</w:t>
            </w:r>
          </w:p>
        </w:tc>
        <w:tc>
          <w:tcPr>
            <w:tcW w:w="7160" w:type="dxa"/>
            <w:shd w:val="clear" w:color="auto" w:fill="auto"/>
            <w:tcMar>
              <w:top w:w="80" w:type="dxa"/>
              <w:left w:w="120" w:type="dxa"/>
              <w:bottom w:w="80" w:type="dxa"/>
              <w:right w:w="120" w:type="dxa"/>
            </w:tcMar>
          </w:tcPr>
          <w:p w14:paraId="014C6A19">
            <w:r>
              <w:t>Alta (Must)</w:t>
            </w:r>
          </w:p>
        </w:tc>
      </w:tr>
      <w:tr w14:paraId="534A4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8540C15">
            <w:r>
              <w:rPr>
                <w:b/>
                <w:bCs/>
              </w:rPr>
              <w:t>Precondiciones</w:t>
            </w:r>
          </w:p>
        </w:tc>
        <w:tc>
          <w:tcPr>
            <w:tcW w:w="7160" w:type="dxa"/>
            <w:shd w:val="clear" w:color="auto" w:fill="auto"/>
            <w:tcMar>
              <w:top w:w="80" w:type="dxa"/>
              <w:left w:w="120" w:type="dxa"/>
              <w:bottom w:w="80" w:type="dxa"/>
              <w:right w:w="120" w:type="dxa"/>
            </w:tcMar>
          </w:tcPr>
          <w:p w14:paraId="7B6077CA">
            <w:pPr>
              <w:pStyle w:val="17"/>
              <w:numPr>
                <w:ilvl w:val="0"/>
                <w:numId w:val="1"/>
              </w:numPr>
            </w:pPr>
            <w:r>
              <w:t>El paciente tiene sesión activa y los dispositivos IoT están registrados y activos en su perfil.</w:t>
            </w:r>
          </w:p>
          <w:p w14:paraId="3EE06B61">
            <w:pPr>
              <w:pStyle w:val="17"/>
              <w:numPr>
                <w:ilvl w:val="0"/>
                <w:numId w:val="1"/>
              </w:numPr>
            </w:pPr>
            <w:r>
              <w:t>El botón de emergencia está disponible y visible en la pantalla principal de la aplicación.</w:t>
            </w:r>
          </w:p>
          <w:p w14:paraId="428450C3">
            <w:pPr>
              <w:pStyle w:val="17"/>
              <w:numPr>
                <w:ilvl w:val="0"/>
                <w:numId w:val="1"/>
              </w:numPr>
            </w:pPr>
            <w:r>
              <w:t>El módulo M3 está capturando flujos biométricos en tiempo real.</w:t>
            </w:r>
          </w:p>
          <w:p w14:paraId="691B3196">
            <w:pPr>
              <w:pStyle w:val="17"/>
              <w:numPr>
                <w:ilvl w:val="0"/>
                <w:numId w:val="1"/>
              </w:numPr>
            </w:pPr>
            <w:r>
              <w:t>El motor de matching está disponible para la asignación inmediata.</w:t>
            </w:r>
          </w:p>
        </w:tc>
      </w:tr>
      <w:tr w14:paraId="6C596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34B8DBB">
            <w:r>
              <w:rPr>
                <w:b/>
                <w:bCs/>
              </w:rPr>
              <w:t>Postcondiciones</w:t>
            </w:r>
          </w:p>
        </w:tc>
        <w:tc>
          <w:tcPr>
            <w:tcW w:w="7160" w:type="dxa"/>
            <w:shd w:val="clear" w:color="auto" w:fill="auto"/>
            <w:tcMar>
              <w:top w:w="80" w:type="dxa"/>
              <w:left w:w="120" w:type="dxa"/>
              <w:bottom w:w="80" w:type="dxa"/>
              <w:right w:w="120" w:type="dxa"/>
            </w:tcMar>
          </w:tcPr>
          <w:p w14:paraId="64893159">
            <w:pPr>
              <w:pStyle w:val="17"/>
              <w:numPr>
                <w:ilvl w:val="0"/>
                <w:numId w:val="1"/>
              </w:numPr>
            </w:pPr>
            <w:r>
              <w:t>Lecturas biométricas del momento (EKG, EEG, SpO2) capturadas automáticamente al presionar el botón.</w:t>
            </w:r>
          </w:p>
          <w:p w14:paraId="7E370B2E">
            <w:pPr>
              <w:pStyle w:val="17"/>
              <w:numPr>
                <w:ilvl w:val="0"/>
                <w:numId w:val="1"/>
              </w:numPr>
            </w:pPr>
            <w:r>
              <w:t>Datos IoT enviados a Med-Gemini para triaje de emergencia inmediato.</w:t>
            </w:r>
          </w:p>
          <w:p w14:paraId="20B4DA79">
            <w:pPr>
              <w:pStyle w:val="17"/>
              <w:numPr>
                <w:ilvl w:val="0"/>
                <w:numId w:val="1"/>
              </w:numPr>
            </w:pPr>
            <w:r>
              <w:t>Solicitud de emergencia enviada simultáneamente al médico y al centro de asistencia con datos clínicos completos.</w:t>
            </w:r>
          </w:p>
          <w:p w14:paraId="552E2A0C">
            <w:pPr>
              <w:pStyle w:val="17"/>
              <w:numPr>
                <w:ilvl w:val="0"/>
                <w:numId w:val="1"/>
              </w:numPr>
            </w:pPr>
            <w:r>
              <w:t>Estado de alerta visible en el panel dinámico en tiempo real para el paciente y el personal administrativo.</w:t>
            </w:r>
          </w:p>
          <w:p w14:paraId="6710033F">
            <w:pPr>
              <w:pStyle w:val="17"/>
              <w:numPr>
                <w:ilvl w:val="0"/>
                <w:numId w:val="1"/>
              </w:numPr>
            </w:pPr>
            <w:r>
              <w:t>Alerta registrada en el log de auditoría con timestamp exacto.</w:t>
            </w:r>
          </w:p>
        </w:tc>
      </w:tr>
      <w:tr w14:paraId="6BC4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E17D672">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338AB5F2">
            <w:pPr>
              <w:pStyle w:val="17"/>
              <w:numPr>
                <w:ilvl w:val="0"/>
                <w:numId w:val="2"/>
              </w:numPr>
            </w:pPr>
            <w:r>
              <w:t>El botón de emergencia está siempre visible y accesible en la pantalla principal de la aplicación.</w:t>
            </w:r>
          </w:p>
          <w:p w14:paraId="6B72D948">
            <w:pPr>
              <w:pStyle w:val="17"/>
              <w:numPr>
                <w:ilvl w:val="0"/>
                <w:numId w:val="2"/>
              </w:numPr>
            </w:pPr>
            <w:r>
              <w:t>Al presionar el botón, el sistema captura automáticamente EKG, EEG y SpO2 sin acción adicional del paciente.</w:t>
            </w:r>
          </w:p>
          <w:p w14:paraId="30068D3A">
            <w:pPr>
              <w:pStyle w:val="17"/>
              <w:numPr>
                <w:ilvl w:val="0"/>
                <w:numId w:val="2"/>
              </w:numPr>
            </w:pPr>
            <w:r>
              <w:t>Los datos IoT son enviados a Med-Gemini y la solicitud de emergencia llega al médico y al centro de asistencia en menos de 30 segundos.</w:t>
            </w:r>
          </w:p>
          <w:p w14:paraId="0664BD78">
            <w:pPr>
              <w:pStyle w:val="17"/>
              <w:numPr>
                <w:ilvl w:val="0"/>
                <w:numId w:val="2"/>
              </w:numPr>
            </w:pPr>
            <w:r>
              <w:t>El sistema diferencia correctamente entre los tres flujos: formulario autónomo, botón de emergencia y bot guiado.</w:t>
            </w:r>
          </w:p>
          <w:p w14:paraId="61C55E70">
            <w:pPr>
              <w:pStyle w:val="17"/>
              <w:numPr>
                <w:ilvl w:val="0"/>
                <w:numId w:val="2"/>
              </w:numPr>
            </w:pPr>
            <w:r>
              <w:t>El panel dinámico refleja el estado de la alerta en tiempo real sin retraso mayor a 500ms.</w:t>
            </w:r>
          </w:p>
        </w:tc>
      </w:tr>
      <w:tr w14:paraId="478DB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89B25B6">
            <w:r>
              <w:rPr>
                <w:b/>
                <w:bCs/>
              </w:rPr>
              <w:t>Trazabilidad</w:t>
            </w:r>
          </w:p>
        </w:tc>
        <w:tc>
          <w:tcPr>
            <w:tcW w:w="7160" w:type="dxa"/>
            <w:shd w:val="clear" w:color="auto" w:fill="auto"/>
            <w:tcMar>
              <w:top w:w="80" w:type="dxa"/>
              <w:left w:w="120" w:type="dxa"/>
              <w:bottom w:w="80" w:type="dxa"/>
              <w:right w:w="120" w:type="dxa"/>
            </w:tcMar>
          </w:tcPr>
          <w:p w14:paraId="7302A555">
            <w:pPr>
              <w:rPr>
                <w:lang w:val="en-US"/>
              </w:rPr>
            </w:pPr>
            <w:r>
              <w:rPr>
                <w:lang w:val="en-US"/>
              </w:rPr>
              <w:t>M02-C03, RF-M2-002, RF-M3-001, ST01, ST02, ST04, ST07, Diagrama de Contexto M2</w:t>
            </w:r>
          </w:p>
        </w:tc>
      </w:tr>
    </w:tbl>
    <w:p w14:paraId="227BA072">
      <w:pPr>
        <w:spacing w:after="100"/>
        <w:rPr>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1B56C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7BC6F94C">
            <w:pPr>
              <w:jc w:val="center"/>
            </w:pPr>
            <w:r>
              <w:rPr>
                <w:b/>
                <w:bCs/>
              </w:rPr>
              <w:t>RF-08: Motor de matching inteligente y panel dinámico de estados</w:t>
            </w:r>
          </w:p>
        </w:tc>
      </w:tr>
      <w:tr w14:paraId="3DC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B4A5204">
            <w:r>
              <w:rPr>
                <w:b/>
                <w:bCs/>
              </w:rPr>
              <w:t>ID</w:t>
            </w:r>
          </w:p>
        </w:tc>
        <w:tc>
          <w:tcPr>
            <w:tcW w:w="7160" w:type="dxa"/>
            <w:shd w:val="clear" w:color="auto" w:fill="auto"/>
            <w:tcMar>
              <w:top w:w="80" w:type="dxa"/>
              <w:left w:w="120" w:type="dxa"/>
              <w:bottom w:w="80" w:type="dxa"/>
              <w:right w:w="120" w:type="dxa"/>
            </w:tcMar>
          </w:tcPr>
          <w:p w14:paraId="1D396455">
            <w:r>
              <w:t>RF-08</w:t>
            </w:r>
          </w:p>
        </w:tc>
      </w:tr>
      <w:tr w14:paraId="57EE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9488CCC">
            <w:r>
              <w:rPr>
                <w:b/>
                <w:bCs/>
              </w:rPr>
              <w:t>Nombre</w:t>
            </w:r>
          </w:p>
        </w:tc>
        <w:tc>
          <w:tcPr>
            <w:tcW w:w="7160" w:type="dxa"/>
            <w:shd w:val="clear" w:color="auto" w:fill="auto"/>
            <w:tcMar>
              <w:top w:w="80" w:type="dxa"/>
              <w:left w:w="120" w:type="dxa"/>
              <w:bottom w:w="80" w:type="dxa"/>
              <w:right w:w="120" w:type="dxa"/>
            </w:tcMar>
          </w:tcPr>
          <w:p w14:paraId="5F4E3FB4">
            <w:r>
              <w:t>Motor de matching inteligente y panel dinámico de estados</w:t>
            </w:r>
          </w:p>
        </w:tc>
      </w:tr>
      <w:tr w14:paraId="54F3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074F1B3">
            <w:r>
              <w:rPr>
                <w:b/>
                <w:bCs/>
              </w:rPr>
              <w:t>Descripción</w:t>
            </w:r>
          </w:p>
        </w:tc>
        <w:tc>
          <w:tcPr>
            <w:tcW w:w="7160" w:type="dxa"/>
            <w:shd w:val="clear" w:color="auto" w:fill="auto"/>
            <w:tcMar>
              <w:top w:w="80" w:type="dxa"/>
              <w:left w:w="120" w:type="dxa"/>
              <w:bottom w:w="80" w:type="dxa"/>
              <w:right w:w="120" w:type="dxa"/>
            </w:tcMar>
          </w:tcPr>
          <w:p w14:paraId="2169050B">
            <w:r>
              <w:t>El sistema ejecutará un motor de matching inteligente que asignará cada solicitud al centro de asistencia (ST04) y médico (ST02) más idóneo según especialidad, disponibilidad, ubicación geográfica y tiempo estimado de respuesta. El resultado de la asignación será visible en un panel dinámico en tiempo real para el paciente y el personal administrativo, mostrando el ciclo de vida completo: Recibido → Asignado → En Atención → Atendido.</w:t>
            </w:r>
          </w:p>
        </w:tc>
      </w:tr>
      <w:tr w14:paraId="168AD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3E450C4">
            <w:r>
              <w:rPr>
                <w:b/>
                <w:bCs/>
              </w:rPr>
              <w:t>Prioridad</w:t>
            </w:r>
          </w:p>
        </w:tc>
        <w:tc>
          <w:tcPr>
            <w:tcW w:w="7160" w:type="dxa"/>
            <w:shd w:val="clear" w:color="auto" w:fill="auto"/>
            <w:tcMar>
              <w:top w:w="80" w:type="dxa"/>
              <w:left w:w="120" w:type="dxa"/>
              <w:bottom w:w="80" w:type="dxa"/>
              <w:right w:w="120" w:type="dxa"/>
            </w:tcMar>
          </w:tcPr>
          <w:p w14:paraId="38FB2A19">
            <w:r>
              <w:t>Alta (Must)</w:t>
            </w:r>
          </w:p>
        </w:tc>
      </w:tr>
      <w:tr w14:paraId="0DF31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6AA30AA">
            <w:r>
              <w:rPr>
                <w:b/>
                <w:bCs/>
              </w:rPr>
              <w:t>Precondiciones</w:t>
            </w:r>
          </w:p>
        </w:tc>
        <w:tc>
          <w:tcPr>
            <w:tcW w:w="7160" w:type="dxa"/>
            <w:shd w:val="clear" w:color="auto" w:fill="auto"/>
            <w:tcMar>
              <w:top w:w="80" w:type="dxa"/>
              <w:left w:w="120" w:type="dxa"/>
              <w:bottom w:w="80" w:type="dxa"/>
              <w:right w:w="120" w:type="dxa"/>
            </w:tcMar>
          </w:tcPr>
          <w:p w14:paraId="2A19DD13">
            <w:pPr>
              <w:pStyle w:val="17"/>
              <w:numPr>
                <w:ilvl w:val="0"/>
                <w:numId w:val="1"/>
              </w:numPr>
            </w:pPr>
            <w:r>
              <w:t>La solicitud ha sido procesada y clasificada por Med-Gemini.</w:t>
            </w:r>
          </w:p>
          <w:p w14:paraId="3D42EA49">
            <w:pPr>
              <w:pStyle w:val="17"/>
              <w:numPr>
                <w:ilvl w:val="0"/>
                <w:numId w:val="1"/>
              </w:numPr>
            </w:pPr>
            <w:r>
              <w:t>El centro de asistencia (ST04) ha confirmado disponibilidad de recursos.</w:t>
            </w:r>
          </w:p>
          <w:p w14:paraId="4B22B7D4">
            <w:pPr>
              <w:pStyle w:val="17"/>
              <w:numPr>
                <w:ilvl w:val="0"/>
                <w:numId w:val="1"/>
              </w:numPr>
            </w:pPr>
            <w:r>
              <w:t>El panel dinámico está operativo y conectado al sistema en tiempo real.</w:t>
            </w:r>
          </w:p>
        </w:tc>
      </w:tr>
      <w:tr w14:paraId="54144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24D9711">
            <w:r>
              <w:rPr>
                <w:b/>
                <w:bCs/>
              </w:rPr>
              <w:t>Postcondiciones</w:t>
            </w:r>
          </w:p>
        </w:tc>
        <w:tc>
          <w:tcPr>
            <w:tcW w:w="7160" w:type="dxa"/>
            <w:shd w:val="clear" w:color="auto" w:fill="auto"/>
            <w:tcMar>
              <w:top w:w="80" w:type="dxa"/>
              <w:left w:w="120" w:type="dxa"/>
              <w:bottom w:w="80" w:type="dxa"/>
              <w:right w:w="120" w:type="dxa"/>
            </w:tcMar>
          </w:tcPr>
          <w:p w14:paraId="35A941D7">
            <w:pPr>
              <w:pStyle w:val="17"/>
              <w:numPr>
                <w:ilvl w:val="0"/>
                <w:numId w:val="1"/>
              </w:numPr>
            </w:pPr>
            <w:r>
              <w:t>Solicitud asignada al médico (ST02) y centro (ST04) más idóneo.</w:t>
            </w:r>
          </w:p>
          <w:p w14:paraId="394FA6B4">
            <w:pPr>
              <w:pStyle w:val="17"/>
              <w:numPr>
                <w:ilvl w:val="0"/>
                <w:numId w:val="1"/>
              </w:numPr>
            </w:pPr>
            <w:r>
              <w:t>Notificación de asignación enviada al ST02.</w:t>
            </w:r>
          </w:p>
          <w:p w14:paraId="3FBB19D0">
            <w:pPr>
              <w:pStyle w:val="17"/>
              <w:numPr>
                <w:ilvl w:val="0"/>
                <w:numId w:val="1"/>
              </w:numPr>
            </w:pPr>
            <w:r>
              <w:t>Panel dinámico actualizado con el estado actual para el paciente y el personal administrativo.</w:t>
            </w:r>
          </w:p>
          <w:p w14:paraId="07DA12EA">
            <w:pPr>
              <w:pStyle w:val="17"/>
              <w:numPr>
                <w:ilvl w:val="0"/>
                <w:numId w:val="1"/>
              </w:numPr>
            </w:pPr>
            <w:r>
              <w:t>Confirmación de asignación recibida del ST04.</w:t>
            </w:r>
          </w:p>
        </w:tc>
      </w:tr>
      <w:tr w14:paraId="07018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7E8F5AE">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2F25E356">
            <w:pPr>
              <w:pStyle w:val="17"/>
              <w:numPr>
                <w:ilvl w:val="0"/>
                <w:numId w:val="2"/>
              </w:numPr>
            </w:pPr>
            <w:r>
              <w:t>El motor de matching completa la asignación en menos de 5 segundos.</w:t>
            </w:r>
          </w:p>
          <w:p w14:paraId="5B8F2CE3">
            <w:pPr>
              <w:pStyle w:val="17"/>
              <w:numPr>
                <w:ilvl w:val="0"/>
                <w:numId w:val="2"/>
              </w:numPr>
            </w:pPr>
            <w:r>
              <w:t>La asignación considera especialidad, disponibilidad, ubicación y tiempo de respuesta.</w:t>
            </w:r>
          </w:p>
          <w:p w14:paraId="1EB9E7B8">
            <w:pPr>
              <w:pStyle w:val="17"/>
              <w:numPr>
                <w:ilvl w:val="0"/>
                <w:numId w:val="2"/>
              </w:numPr>
            </w:pPr>
            <w:r>
              <w:t>El panel dinámico se actualiza en menos de 500ms ante cualquier cambio de estado.</w:t>
            </w:r>
          </w:p>
          <w:p w14:paraId="5CFB3CDB">
            <w:pPr>
              <w:pStyle w:val="17"/>
              <w:numPr>
                <w:ilvl w:val="0"/>
                <w:numId w:val="2"/>
              </w:numPr>
            </w:pPr>
            <w:r>
              <w:t>El paciente y el personal administrativo ven el estado actualizado sin necesidad de recargar la pantalla.</w:t>
            </w:r>
          </w:p>
          <w:p w14:paraId="2D5A948C">
            <w:pPr>
              <w:pStyle w:val="17"/>
              <w:numPr>
                <w:ilvl w:val="0"/>
                <w:numId w:val="2"/>
              </w:numPr>
            </w:pPr>
            <w:r>
              <w:t>El sistema registra el historial completo del ciclo de vida de cada solicitud.</w:t>
            </w:r>
          </w:p>
        </w:tc>
      </w:tr>
      <w:tr w14:paraId="4F611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01B816D">
            <w:r>
              <w:rPr>
                <w:b/>
                <w:bCs/>
              </w:rPr>
              <w:t>Trazabilidad</w:t>
            </w:r>
          </w:p>
        </w:tc>
        <w:tc>
          <w:tcPr>
            <w:tcW w:w="7160" w:type="dxa"/>
            <w:shd w:val="clear" w:color="auto" w:fill="auto"/>
            <w:tcMar>
              <w:top w:w="80" w:type="dxa"/>
              <w:left w:w="120" w:type="dxa"/>
              <w:bottom w:w="80" w:type="dxa"/>
              <w:right w:w="120" w:type="dxa"/>
            </w:tcMar>
          </w:tcPr>
          <w:p w14:paraId="1A411F79">
            <w:r>
              <w:t>M02-C04, M02-C05, CU: Ejecutar matching inteligente, Ver estado en panel, RF-M2-002, RF-M2-003, RF-M2-004, ST01, ST02, ST03, ST04, Diagrama de Contexto M2</w:t>
            </w:r>
          </w:p>
        </w:tc>
      </w:tr>
    </w:tbl>
    <w:p w14:paraId="150635DD">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200"/>
        <w:gridCol w:w="7160"/>
      </w:tblGrid>
      <w:tr w14:paraId="6B11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2A4D1B01">
            <w:pPr>
              <w:jc w:val="center"/>
            </w:pPr>
            <w:r>
              <w:rPr>
                <w:b/>
                <w:bCs/>
              </w:rPr>
              <w:t>RF-09: Captura continua de flujos biométricos IoT</w:t>
            </w:r>
          </w:p>
        </w:tc>
      </w:tr>
      <w:tr w14:paraId="06CC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3F0BEF4">
            <w:r>
              <w:rPr>
                <w:b/>
                <w:bCs/>
              </w:rPr>
              <w:t>ID</w:t>
            </w:r>
          </w:p>
        </w:tc>
        <w:tc>
          <w:tcPr>
            <w:tcW w:w="7160" w:type="dxa"/>
            <w:shd w:val="clear" w:color="auto" w:fill="auto"/>
            <w:tcMar>
              <w:top w:w="80" w:type="dxa"/>
              <w:left w:w="120" w:type="dxa"/>
              <w:bottom w:w="80" w:type="dxa"/>
              <w:right w:w="120" w:type="dxa"/>
            </w:tcMar>
          </w:tcPr>
          <w:p w14:paraId="65DA67C9">
            <w:r>
              <w:t>RF-09</w:t>
            </w:r>
          </w:p>
        </w:tc>
      </w:tr>
      <w:tr w14:paraId="7EEA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E3EB121">
            <w:r>
              <w:rPr>
                <w:b/>
                <w:bCs/>
              </w:rPr>
              <w:t>Nombre</w:t>
            </w:r>
          </w:p>
        </w:tc>
        <w:tc>
          <w:tcPr>
            <w:tcW w:w="7160" w:type="dxa"/>
            <w:shd w:val="clear" w:color="auto" w:fill="auto"/>
            <w:tcMar>
              <w:top w:w="80" w:type="dxa"/>
              <w:left w:w="120" w:type="dxa"/>
              <w:bottom w:w="80" w:type="dxa"/>
              <w:right w:w="120" w:type="dxa"/>
            </w:tcMar>
          </w:tcPr>
          <w:p w14:paraId="761E2E7B">
            <w:r>
              <w:t>Captura continua de flujos biométricos IoT</w:t>
            </w:r>
          </w:p>
        </w:tc>
      </w:tr>
      <w:tr w14:paraId="79404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37419CD">
            <w:r>
              <w:rPr>
                <w:b/>
                <w:bCs/>
              </w:rPr>
              <w:t>Descripción</w:t>
            </w:r>
          </w:p>
        </w:tc>
        <w:tc>
          <w:tcPr>
            <w:tcW w:w="7160" w:type="dxa"/>
            <w:shd w:val="clear" w:color="auto" w:fill="auto"/>
            <w:tcMar>
              <w:top w:w="80" w:type="dxa"/>
              <w:left w:w="120" w:type="dxa"/>
              <w:bottom w:w="80" w:type="dxa"/>
              <w:right w:w="120" w:type="dxa"/>
            </w:tcMar>
          </w:tcPr>
          <w:p w14:paraId="480EC249">
            <w:r>
              <w:t>El sistema capturará y procesará en tiempo real los flujos biométricos continuos desde los dispositivos del paciente: EKG, EEG y oxímetro (SpO2). Los datos capturados serán almacenados como historial biométrico del paciente y enviados a Med-Gemini para análisis predictivo. El sistema garantizará la recepción de cada muestra biométrica con una latencia máxima de 1 segundo.</w:t>
            </w:r>
          </w:p>
        </w:tc>
      </w:tr>
      <w:tr w14:paraId="411D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293C332">
            <w:r>
              <w:rPr>
                <w:b/>
                <w:bCs/>
              </w:rPr>
              <w:t>Prioridad</w:t>
            </w:r>
          </w:p>
        </w:tc>
        <w:tc>
          <w:tcPr>
            <w:tcW w:w="7160" w:type="dxa"/>
            <w:shd w:val="clear" w:color="auto" w:fill="auto"/>
            <w:tcMar>
              <w:top w:w="80" w:type="dxa"/>
              <w:left w:w="120" w:type="dxa"/>
              <w:bottom w:w="80" w:type="dxa"/>
              <w:right w:w="120" w:type="dxa"/>
            </w:tcMar>
          </w:tcPr>
          <w:p w14:paraId="69B43332">
            <w:r>
              <w:t>Alta (Must)</w:t>
            </w:r>
          </w:p>
        </w:tc>
      </w:tr>
      <w:tr w14:paraId="08AB7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1275B8A">
            <w:r>
              <w:rPr>
                <w:b/>
                <w:bCs/>
              </w:rPr>
              <w:t>Precondiciones</w:t>
            </w:r>
          </w:p>
        </w:tc>
        <w:tc>
          <w:tcPr>
            <w:tcW w:w="7160" w:type="dxa"/>
            <w:shd w:val="clear" w:color="auto" w:fill="auto"/>
            <w:tcMar>
              <w:top w:w="80" w:type="dxa"/>
              <w:left w:w="120" w:type="dxa"/>
              <w:bottom w:w="80" w:type="dxa"/>
              <w:right w:w="120" w:type="dxa"/>
            </w:tcMar>
          </w:tcPr>
          <w:p w14:paraId="2DEF79FA">
            <w:pPr>
              <w:pStyle w:val="17"/>
              <w:numPr>
                <w:ilvl w:val="0"/>
                <w:numId w:val="1"/>
              </w:numPr>
            </w:pPr>
            <w:r>
              <w:t>Los dispositivos IoT (EKG, EEG, oxímetro) están registrados y activos en el perfil del paciente.</w:t>
            </w:r>
          </w:p>
          <w:p w14:paraId="5727322D">
            <w:pPr>
              <w:pStyle w:val="17"/>
              <w:numPr>
                <w:ilvl w:val="0"/>
                <w:numId w:val="1"/>
              </w:numPr>
            </w:pPr>
            <w:r>
              <w:t>El paciente tiene conectividad activa con el sistema.</w:t>
            </w:r>
          </w:p>
          <w:p w14:paraId="15BCD7B2">
            <w:pPr>
              <w:pStyle w:val="17"/>
              <w:numPr>
                <w:ilvl w:val="0"/>
                <w:numId w:val="1"/>
              </w:numPr>
            </w:pPr>
            <w:r>
              <w:t>El módulo M3 está operativo y Med-Gemini está disponible para análisis.</w:t>
            </w:r>
          </w:p>
        </w:tc>
      </w:tr>
      <w:tr w14:paraId="50EBC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5272B2F">
            <w:r>
              <w:rPr>
                <w:b/>
                <w:bCs/>
              </w:rPr>
              <w:t>Postcondiciones</w:t>
            </w:r>
          </w:p>
        </w:tc>
        <w:tc>
          <w:tcPr>
            <w:tcW w:w="7160" w:type="dxa"/>
            <w:shd w:val="clear" w:color="auto" w:fill="auto"/>
            <w:tcMar>
              <w:top w:w="80" w:type="dxa"/>
              <w:left w:w="120" w:type="dxa"/>
              <w:bottom w:w="80" w:type="dxa"/>
              <w:right w:w="120" w:type="dxa"/>
            </w:tcMar>
          </w:tcPr>
          <w:p w14:paraId="3AB070BB">
            <w:pPr>
              <w:pStyle w:val="17"/>
              <w:numPr>
                <w:ilvl w:val="0"/>
                <w:numId w:val="1"/>
              </w:numPr>
            </w:pPr>
            <w:r>
              <w:t>Flujos biométricos EKG, EEG y SpO2 recibidos y procesados en tiempo real.</w:t>
            </w:r>
          </w:p>
          <w:p w14:paraId="1DE19ACA">
            <w:pPr>
              <w:pStyle w:val="17"/>
              <w:numPr>
                <w:ilvl w:val="0"/>
                <w:numId w:val="1"/>
              </w:numPr>
            </w:pPr>
            <w:r>
              <w:t>Historial biométrico actualizado y disponible para consulta del médico en M4.</w:t>
            </w:r>
          </w:p>
          <w:p w14:paraId="72FBFD96">
            <w:pPr>
              <w:pStyle w:val="17"/>
              <w:numPr>
                <w:ilvl w:val="0"/>
                <w:numId w:val="1"/>
              </w:numPr>
            </w:pPr>
            <w:r>
              <w:t>Datos biométricos enviados a Med-Gemini para análisis predictivo continuo.</w:t>
            </w:r>
          </w:p>
          <w:p w14:paraId="483C6B43">
            <w:pPr>
              <w:pStyle w:val="17"/>
              <w:numPr>
                <w:ilvl w:val="0"/>
                <w:numId w:val="1"/>
              </w:numPr>
            </w:pPr>
            <w:r>
              <w:t>Cada muestra registrada con timestamp exacto en el repositorio centralizado.</w:t>
            </w:r>
          </w:p>
        </w:tc>
      </w:tr>
      <w:tr w14:paraId="1FB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06F0498">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3E0FE28E">
            <w:pPr>
              <w:pStyle w:val="17"/>
              <w:numPr>
                <w:ilvl w:val="0"/>
                <w:numId w:val="2"/>
              </w:numPr>
            </w:pPr>
            <w:r>
              <w:t>El sistema procesa cada lectura biométrica con un retraso máximo de 1 segundo.</w:t>
            </w:r>
          </w:p>
          <w:p w14:paraId="0273494B">
            <w:pPr>
              <w:pStyle w:val="17"/>
              <w:numPr>
                <w:ilvl w:val="0"/>
                <w:numId w:val="2"/>
              </w:numPr>
            </w:pPr>
            <w:r>
              <w:t>Los tres tipos de señal (EKG, EEG, SpO2) son capturados y procesados simultáneamente.</w:t>
            </w:r>
          </w:p>
          <w:p w14:paraId="1BCF69D0">
            <w:pPr>
              <w:pStyle w:val="17"/>
              <w:numPr>
                <w:ilvl w:val="0"/>
                <w:numId w:val="2"/>
              </w:numPr>
            </w:pPr>
            <w:r>
              <w:t>El historial biométrico del paciente está disponible para el módulo M4 en tiempo real.</w:t>
            </w:r>
          </w:p>
          <w:p w14:paraId="7F1B0071">
            <w:pPr>
              <w:pStyle w:val="17"/>
              <w:numPr>
                <w:ilvl w:val="0"/>
                <w:numId w:val="2"/>
              </w:numPr>
            </w:pPr>
            <w:r>
              <w:t>Ante pérdida de conectividad, el sistema almacena temporalmente las lecturas y las sincroniza al recuperar la conexión.</w:t>
            </w:r>
          </w:p>
          <w:p w14:paraId="49ECE284">
            <w:pPr>
              <w:pStyle w:val="17"/>
              <w:numPr>
                <w:ilvl w:val="0"/>
                <w:numId w:val="2"/>
              </w:numPr>
            </w:pPr>
            <w:r>
              <w:t>Los datos biométricos son cifrados en tránsito con TLS 1.3.</w:t>
            </w:r>
          </w:p>
        </w:tc>
      </w:tr>
      <w:tr w14:paraId="0C241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93EF25E">
            <w:r>
              <w:rPr>
                <w:b/>
                <w:bCs/>
              </w:rPr>
              <w:t>Trazabilidad</w:t>
            </w:r>
          </w:p>
        </w:tc>
        <w:tc>
          <w:tcPr>
            <w:tcW w:w="7160" w:type="dxa"/>
            <w:shd w:val="clear" w:color="auto" w:fill="auto"/>
            <w:tcMar>
              <w:top w:w="80" w:type="dxa"/>
              <w:left w:w="120" w:type="dxa"/>
              <w:bottom w:w="80" w:type="dxa"/>
              <w:right w:w="120" w:type="dxa"/>
            </w:tcMar>
          </w:tcPr>
          <w:p w14:paraId="5EE4D74A">
            <w:r>
              <w:t>M03-C01, CU: Capturar lecturas biométricas continuas, RF-M1-001, ST01, ST07, Diagrama de Contexto M3</w:t>
            </w:r>
          </w:p>
        </w:tc>
      </w:tr>
    </w:tbl>
    <w:p w14:paraId="5F4F9974">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3460C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0BBEDE3F">
            <w:pPr>
              <w:jc w:val="center"/>
            </w:pPr>
            <w:r>
              <w:rPr>
                <w:b/>
                <w:bCs/>
              </w:rPr>
              <w:t>RF-10: Med-Gemini</w:t>
            </w:r>
            <w:r>
              <w:rPr>
                <w:rFonts w:hint="default"/>
                <w:b/>
                <w:bCs/>
                <w:lang w:val="es-ES"/>
              </w:rPr>
              <w:t>,</w:t>
            </w:r>
            <w:r>
              <w:rPr>
                <w:b/>
                <w:bCs/>
              </w:rPr>
              <w:t xml:space="preserve"> detección predictiva de anomalías biométricas</w:t>
            </w:r>
          </w:p>
        </w:tc>
      </w:tr>
      <w:tr w14:paraId="3746D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FE42798">
            <w:r>
              <w:rPr>
                <w:b/>
                <w:bCs/>
              </w:rPr>
              <w:t>ID</w:t>
            </w:r>
          </w:p>
        </w:tc>
        <w:tc>
          <w:tcPr>
            <w:tcW w:w="7160" w:type="dxa"/>
            <w:shd w:val="clear" w:color="auto" w:fill="auto"/>
            <w:tcMar>
              <w:top w:w="80" w:type="dxa"/>
              <w:left w:w="120" w:type="dxa"/>
              <w:bottom w:w="80" w:type="dxa"/>
              <w:right w:w="120" w:type="dxa"/>
            </w:tcMar>
          </w:tcPr>
          <w:p w14:paraId="6ECFDC64">
            <w:r>
              <w:t>RF-10</w:t>
            </w:r>
          </w:p>
        </w:tc>
      </w:tr>
      <w:tr w14:paraId="3AFE1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2CCE3C3">
            <w:r>
              <w:rPr>
                <w:b/>
                <w:bCs/>
              </w:rPr>
              <w:t>Nombre</w:t>
            </w:r>
          </w:p>
        </w:tc>
        <w:tc>
          <w:tcPr>
            <w:tcW w:w="7160" w:type="dxa"/>
            <w:shd w:val="clear" w:color="auto" w:fill="auto"/>
            <w:tcMar>
              <w:top w:w="80" w:type="dxa"/>
              <w:left w:w="120" w:type="dxa"/>
              <w:bottom w:w="80" w:type="dxa"/>
              <w:right w:w="120" w:type="dxa"/>
            </w:tcMar>
          </w:tcPr>
          <w:p w14:paraId="794A85DB">
            <w:r>
              <w:t>Med-Gemini</w:t>
            </w:r>
            <w:r>
              <w:rPr>
                <w:rFonts w:hint="default"/>
                <w:lang w:val="es-ES"/>
              </w:rPr>
              <w:t>,</w:t>
            </w:r>
            <w:r>
              <w:t xml:space="preserve"> detección predictiva de anomalías biométricas</w:t>
            </w:r>
          </w:p>
        </w:tc>
      </w:tr>
      <w:tr w14:paraId="1C8F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FCB0424">
            <w:r>
              <w:rPr>
                <w:b/>
                <w:bCs/>
              </w:rPr>
              <w:t>Descripción</w:t>
            </w:r>
          </w:p>
        </w:tc>
        <w:tc>
          <w:tcPr>
            <w:tcW w:w="7160" w:type="dxa"/>
            <w:shd w:val="clear" w:color="auto" w:fill="auto"/>
            <w:tcMar>
              <w:top w:w="80" w:type="dxa"/>
              <w:left w:w="120" w:type="dxa"/>
              <w:bottom w:w="80" w:type="dxa"/>
              <w:right w:w="120" w:type="dxa"/>
            </w:tcMar>
          </w:tcPr>
          <w:p w14:paraId="6A6AC187">
            <w:r>
              <w:t>El sistema utilizará Med-Gemini para analizar los flujos biométricos continuos del paciente (EKG, EEG, SpO2), detectar señales de alerta antes de que ocurra un evento crítico y generar alertas con una explicación clara del riesgo detectado. Med-Gemini analiza los datos biométricos y devuelve el nivel de riesgo detectado con su explicación correspondiente.</w:t>
            </w:r>
          </w:p>
        </w:tc>
      </w:tr>
      <w:tr w14:paraId="56D0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DAA2F11">
            <w:r>
              <w:rPr>
                <w:b/>
                <w:bCs/>
              </w:rPr>
              <w:t>Prioridad</w:t>
            </w:r>
          </w:p>
        </w:tc>
        <w:tc>
          <w:tcPr>
            <w:tcW w:w="7160" w:type="dxa"/>
            <w:shd w:val="clear" w:color="auto" w:fill="auto"/>
            <w:tcMar>
              <w:top w:w="80" w:type="dxa"/>
              <w:left w:w="120" w:type="dxa"/>
              <w:bottom w:w="80" w:type="dxa"/>
              <w:right w:w="120" w:type="dxa"/>
            </w:tcMar>
          </w:tcPr>
          <w:p w14:paraId="44DC69BB">
            <w:r>
              <w:t>Alta (Must)</w:t>
            </w:r>
          </w:p>
        </w:tc>
      </w:tr>
      <w:tr w14:paraId="0238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A272352">
            <w:r>
              <w:rPr>
                <w:b/>
                <w:bCs/>
              </w:rPr>
              <w:t>Precondiciones</w:t>
            </w:r>
          </w:p>
        </w:tc>
        <w:tc>
          <w:tcPr>
            <w:tcW w:w="7160" w:type="dxa"/>
            <w:shd w:val="clear" w:color="auto" w:fill="auto"/>
            <w:tcMar>
              <w:top w:w="80" w:type="dxa"/>
              <w:left w:w="120" w:type="dxa"/>
              <w:bottom w:w="80" w:type="dxa"/>
              <w:right w:w="120" w:type="dxa"/>
            </w:tcMar>
          </w:tcPr>
          <w:p w14:paraId="3A82CF51">
            <w:pPr>
              <w:pStyle w:val="17"/>
              <w:numPr>
                <w:ilvl w:val="0"/>
                <w:numId w:val="1"/>
              </w:numPr>
            </w:pPr>
            <w:r>
              <w:t>El sistema está capturando flujos biométricos continuos del paciente.</w:t>
            </w:r>
          </w:p>
          <w:p w14:paraId="475817B0">
            <w:pPr>
              <w:pStyle w:val="17"/>
              <w:numPr>
                <w:ilvl w:val="0"/>
                <w:numId w:val="1"/>
              </w:numPr>
            </w:pPr>
            <w:r>
              <w:t>Med-Gemini está integrado y operativo con umbrales clínicos validados por ST02 y ST04.</w:t>
            </w:r>
          </w:p>
          <w:p w14:paraId="19919CCC">
            <w:pPr>
              <w:pStyle w:val="17"/>
              <w:numPr>
                <w:ilvl w:val="0"/>
                <w:numId w:val="1"/>
              </w:numPr>
            </w:pPr>
            <w:r>
              <w:t>El equipo MLOps (ST07) ha validado la precisión del modelo antes del despliegue.</w:t>
            </w:r>
          </w:p>
        </w:tc>
      </w:tr>
      <w:tr w14:paraId="765C3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EE08A6B">
            <w:r>
              <w:rPr>
                <w:b/>
                <w:bCs/>
              </w:rPr>
              <w:t>Postcondiciones</w:t>
            </w:r>
          </w:p>
        </w:tc>
        <w:tc>
          <w:tcPr>
            <w:tcW w:w="7160" w:type="dxa"/>
            <w:shd w:val="clear" w:color="auto" w:fill="auto"/>
            <w:tcMar>
              <w:top w:w="80" w:type="dxa"/>
              <w:left w:w="120" w:type="dxa"/>
              <w:bottom w:w="80" w:type="dxa"/>
              <w:right w:w="120" w:type="dxa"/>
            </w:tcMar>
          </w:tcPr>
          <w:p w14:paraId="672B212F">
            <w:pPr>
              <w:pStyle w:val="17"/>
              <w:numPr>
                <w:ilvl w:val="0"/>
                <w:numId w:val="1"/>
              </w:numPr>
            </w:pPr>
            <w:r>
              <w:t>Anomalía biométrica detectada con nivel de riesgo y explicación XAI generada.</w:t>
            </w:r>
          </w:p>
          <w:p w14:paraId="7CA4F1A5">
            <w:pPr>
              <w:pStyle w:val="17"/>
              <w:numPr>
                <w:ilvl w:val="0"/>
                <w:numId w:val="1"/>
              </w:numPr>
            </w:pPr>
            <w:r>
              <w:t>Alerta proactiva generada y enviada al módulo M3 para su comunicación.</w:t>
            </w:r>
          </w:p>
          <w:p w14:paraId="5ED74485">
            <w:pPr>
              <w:pStyle w:val="17"/>
              <w:numPr>
                <w:ilvl w:val="0"/>
                <w:numId w:val="1"/>
              </w:numPr>
            </w:pPr>
            <w:r>
              <w:t>Decisión de Med-Gemini registrada en el log de auditoría con versión del modelo, inputs y outputs.</w:t>
            </w:r>
          </w:p>
          <w:p w14:paraId="036C8CA5">
            <w:pPr>
              <w:pStyle w:val="17"/>
              <w:numPr>
                <w:ilvl w:val="0"/>
                <w:numId w:val="1"/>
              </w:numPr>
            </w:pPr>
            <w:r>
              <w:t>Historial de alertas actualizado en el repositorio centralizado.</w:t>
            </w:r>
          </w:p>
        </w:tc>
      </w:tr>
      <w:tr w14:paraId="582A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C06903A">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32D7D511">
            <w:pPr>
              <w:pStyle w:val="17"/>
              <w:numPr>
                <w:ilvl w:val="0"/>
                <w:numId w:val="2"/>
              </w:numPr>
            </w:pPr>
            <w:r>
              <w:t>Med-Gemini detecta anomalías biométricas con precisión de detección mayor o igual al 98%.</w:t>
            </w:r>
          </w:p>
          <w:p w14:paraId="1D15B868">
            <w:pPr>
              <w:pStyle w:val="17"/>
              <w:numPr>
                <w:ilvl w:val="0"/>
                <w:numId w:val="2"/>
              </w:numPr>
            </w:pPr>
            <w:r>
              <w:t>La tasa de falsos positivos es menor o igual al 2%, validada por ST07 con supervisión de ST02.</w:t>
            </w:r>
          </w:p>
          <w:p w14:paraId="65502F57">
            <w:pPr>
              <w:pStyle w:val="17"/>
              <w:numPr>
                <w:ilvl w:val="0"/>
                <w:numId w:val="2"/>
              </w:numPr>
            </w:pPr>
            <w:r>
              <w:t>Cada alerta incluye nivel de riesgo clasificado y explicación XAI comprensible.</w:t>
            </w:r>
          </w:p>
          <w:p w14:paraId="50351A56">
            <w:pPr>
              <w:pStyle w:val="17"/>
              <w:numPr>
                <w:ilvl w:val="0"/>
                <w:numId w:val="2"/>
              </w:numPr>
            </w:pPr>
            <w:r>
              <w:t>La detección y generación de alerta se completa en menos de 30 segundos desde la anomalía.</w:t>
            </w:r>
          </w:p>
          <w:p w14:paraId="20402724">
            <w:pPr>
              <w:pStyle w:val="17"/>
              <w:numPr>
                <w:ilvl w:val="0"/>
                <w:numId w:val="2"/>
              </w:numPr>
            </w:pPr>
            <w:r>
              <w:t>Auditorías semestrales de equidad ejecutadas por ST07 garantizan 0 sesgos críticos.</w:t>
            </w:r>
          </w:p>
        </w:tc>
      </w:tr>
      <w:tr w14:paraId="6E330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B7F2CF3">
            <w:r>
              <w:rPr>
                <w:b/>
                <w:bCs/>
              </w:rPr>
              <w:t>Trazabilidad</w:t>
            </w:r>
          </w:p>
        </w:tc>
        <w:tc>
          <w:tcPr>
            <w:tcW w:w="7160" w:type="dxa"/>
            <w:shd w:val="clear" w:color="auto" w:fill="auto"/>
            <w:tcMar>
              <w:top w:w="80" w:type="dxa"/>
              <w:left w:w="120" w:type="dxa"/>
              <w:bottom w:w="80" w:type="dxa"/>
              <w:right w:w="120" w:type="dxa"/>
            </w:tcMar>
          </w:tcPr>
          <w:p w14:paraId="08EC5985">
            <w:r>
              <w:t>M03-C02, CU: Analizar patrones con Med-Gemini, Detectar anomalía predictiva, Generar alerta proactiva, RF-M3-001, ST01, ST02, ST07, Diagrama de Contexto M3</w:t>
            </w:r>
          </w:p>
        </w:tc>
      </w:tr>
    </w:tbl>
    <w:p w14:paraId="364F031B">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275C4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1036F4DC">
            <w:pPr>
              <w:jc w:val="center"/>
            </w:pPr>
            <w:r>
              <w:rPr>
                <w:b/>
                <w:bCs/>
              </w:rPr>
              <w:t>RF-11: Comunicación de alertas al paciente vía bot (XAI)</w:t>
            </w:r>
          </w:p>
        </w:tc>
      </w:tr>
      <w:tr w14:paraId="4347D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AC67495">
            <w:r>
              <w:rPr>
                <w:b/>
                <w:bCs/>
              </w:rPr>
              <w:t>ID</w:t>
            </w:r>
          </w:p>
        </w:tc>
        <w:tc>
          <w:tcPr>
            <w:tcW w:w="7160" w:type="dxa"/>
            <w:shd w:val="clear" w:color="auto" w:fill="auto"/>
            <w:tcMar>
              <w:top w:w="80" w:type="dxa"/>
              <w:left w:w="120" w:type="dxa"/>
              <w:bottom w:w="80" w:type="dxa"/>
              <w:right w:w="120" w:type="dxa"/>
            </w:tcMar>
          </w:tcPr>
          <w:p w14:paraId="4A7345C1">
            <w:r>
              <w:t>RF</w:t>
            </w:r>
            <w:r>
              <w:rPr>
                <w:rFonts w:hint="default"/>
                <w:lang w:val="es-ES"/>
              </w:rPr>
              <w:t>-</w:t>
            </w:r>
            <w:r>
              <w:t>11</w:t>
            </w:r>
          </w:p>
        </w:tc>
      </w:tr>
      <w:tr w14:paraId="110BE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716946A">
            <w:r>
              <w:rPr>
                <w:b/>
                <w:bCs/>
              </w:rPr>
              <w:t>Nombre</w:t>
            </w:r>
          </w:p>
        </w:tc>
        <w:tc>
          <w:tcPr>
            <w:tcW w:w="7160" w:type="dxa"/>
            <w:shd w:val="clear" w:color="auto" w:fill="auto"/>
            <w:tcMar>
              <w:top w:w="80" w:type="dxa"/>
              <w:left w:w="120" w:type="dxa"/>
              <w:bottom w:w="80" w:type="dxa"/>
              <w:right w:w="120" w:type="dxa"/>
            </w:tcMar>
          </w:tcPr>
          <w:p w14:paraId="78488464">
            <w:r>
              <w:t>Comunicación de alertas al paciente vía bot (XAI)</w:t>
            </w:r>
          </w:p>
        </w:tc>
      </w:tr>
      <w:tr w14:paraId="74B65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FC45DDA">
            <w:r>
              <w:rPr>
                <w:b/>
                <w:bCs/>
              </w:rPr>
              <w:t>Descripción</w:t>
            </w:r>
          </w:p>
        </w:tc>
        <w:tc>
          <w:tcPr>
            <w:tcW w:w="7160" w:type="dxa"/>
            <w:shd w:val="clear" w:color="auto" w:fill="auto"/>
            <w:tcMar>
              <w:top w:w="80" w:type="dxa"/>
              <w:left w:w="120" w:type="dxa"/>
              <w:bottom w:w="80" w:type="dxa"/>
              <w:right w:w="120" w:type="dxa"/>
            </w:tcMar>
          </w:tcPr>
          <w:p w14:paraId="7B513049">
            <w:r>
              <w:t>El sistema enviará cada alerta biométrica generada por Med-Gemini al bot conversacional para que este explique al paciente en lenguaje comprensible las razones de la alerta, la guía de pasos a seguir y el nivel de riesgo detectado. El bot confirmará la entrega al paciente y reportará esa confirmación al módulo M3.</w:t>
            </w:r>
          </w:p>
        </w:tc>
      </w:tr>
      <w:tr w14:paraId="4895E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1CC406D">
            <w:r>
              <w:rPr>
                <w:b/>
                <w:bCs/>
              </w:rPr>
              <w:t>Prioridad</w:t>
            </w:r>
          </w:p>
        </w:tc>
        <w:tc>
          <w:tcPr>
            <w:tcW w:w="7160" w:type="dxa"/>
            <w:shd w:val="clear" w:color="auto" w:fill="auto"/>
            <w:tcMar>
              <w:top w:w="80" w:type="dxa"/>
              <w:left w:w="120" w:type="dxa"/>
              <w:bottom w:w="80" w:type="dxa"/>
              <w:right w:w="120" w:type="dxa"/>
            </w:tcMar>
          </w:tcPr>
          <w:p w14:paraId="63D04939">
            <w:r>
              <w:t>Alta (Must)</w:t>
            </w:r>
          </w:p>
        </w:tc>
      </w:tr>
      <w:tr w14:paraId="3792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B0AC793">
            <w:r>
              <w:rPr>
                <w:b/>
                <w:bCs/>
              </w:rPr>
              <w:t>Precondiciones</w:t>
            </w:r>
          </w:p>
        </w:tc>
        <w:tc>
          <w:tcPr>
            <w:tcW w:w="7160" w:type="dxa"/>
            <w:shd w:val="clear" w:color="auto" w:fill="auto"/>
            <w:tcMar>
              <w:top w:w="80" w:type="dxa"/>
              <w:left w:w="120" w:type="dxa"/>
              <w:bottom w:w="80" w:type="dxa"/>
              <w:right w:w="120" w:type="dxa"/>
            </w:tcMar>
          </w:tcPr>
          <w:p w14:paraId="27972161">
            <w:pPr>
              <w:pStyle w:val="17"/>
              <w:numPr>
                <w:ilvl w:val="0"/>
                <w:numId w:val="1"/>
              </w:numPr>
            </w:pPr>
            <w:r>
              <w:t>Med-Gemini ha generado una alerta con anomalía detectada, nivel de riesgo y explicación XAI.</w:t>
            </w:r>
          </w:p>
          <w:p w14:paraId="6BE84AF2">
            <w:pPr>
              <w:pStyle w:val="17"/>
              <w:numPr>
                <w:ilvl w:val="0"/>
                <w:numId w:val="1"/>
              </w:numPr>
            </w:pPr>
            <w:r>
              <w:t>El bot conversacional está operativo y el paciente tiene conectividad activa.</w:t>
            </w:r>
          </w:p>
          <w:p w14:paraId="49901568">
            <w:pPr>
              <w:pStyle w:val="17"/>
              <w:numPr>
                <w:ilvl w:val="0"/>
                <w:numId w:val="1"/>
              </w:numPr>
            </w:pPr>
            <w:r>
              <w:t>El paciente tiene sesión activa en el sistema.</w:t>
            </w:r>
          </w:p>
        </w:tc>
      </w:tr>
      <w:tr w14:paraId="5C2B3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B3262CF">
            <w:r>
              <w:rPr>
                <w:b/>
                <w:bCs/>
              </w:rPr>
              <w:t>Postcondiciones</w:t>
            </w:r>
          </w:p>
        </w:tc>
        <w:tc>
          <w:tcPr>
            <w:tcW w:w="7160" w:type="dxa"/>
            <w:shd w:val="clear" w:color="auto" w:fill="auto"/>
            <w:tcMar>
              <w:top w:w="80" w:type="dxa"/>
              <w:left w:w="120" w:type="dxa"/>
              <w:bottom w:w="80" w:type="dxa"/>
              <w:right w:w="120" w:type="dxa"/>
            </w:tcMar>
          </w:tcPr>
          <w:p w14:paraId="57058CF8">
            <w:pPr>
              <w:pStyle w:val="17"/>
              <w:numPr>
                <w:ilvl w:val="0"/>
                <w:numId w:val="1"/>
              </w:numPr>
            </w:pPr>
            <w:r>
              <w:t>Alerta biométrica comunicada al paciente en lenguaje comprensible sin tecnicismos.</w:t>
            </w:r>
          </w:p>
          <w:p w14:paraId="0AFDE3FC">
            <w:pPr>
              <w:pStyle w:val="17"/>
              <w:numPr>
                <w:ilvl w:val="0"/>
                <w:numId w:val="1"/>
              </w:numPr>
            </w:pPr>
            <w:r>
              <w:t>Guía de pasos a seguir entregada al paciente.</w:t>
            </w:r>
          </w:p>
          <w:p w14:paraId="491FDE83">
            <w:pPr>
              <w:pStyle w:val="17"/>
              <w:numPr>
                <w:ilvl w:val="0"/>
                <w:numId w:val="1"/>
              </w:numPr>
            </w:pPr>
            <w:r>
              <w:t>Confirmación de entrega a la paciente registrada en el módulo M3.</w:t>
            </w:r>
          </w:p>
          <w:p w14:paraId="66A8289F">
            <w:pPr>
              <w:pStyle w:val="17"/>
              <w:numPr>
                <w:ilvl w:val="0"/>
                <w:numId w:val="1"/>
              </w:numPr>
            </w:pPr>
            <w:r>
              <w:t>Interacción del bot registrada en el log de auditoría.</w:t>
            </w:r>
          </w:p>
        </w:tc>
      </w:tr>
      <w:tr w14:paraId="6294F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1FEB7C0">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23DBE637">
            <w:pPr>
              <w:pStyle w:val="17"/>
              <w:numPr>
                <w:ilvl w:val="0"/>
                <w:numId w:val="2"/>
              </w:numPr>
            </w:pPr>
            <w:r>
              <w:t>El bot explica la alerta en lenguaje comprensible sin términos médicos complejos.</w:t>
            </w:r>
          </w:p>
          <w:p w14:paraId="461B9EEE">
            <w:pPr>
              <w:pStyle w:val="17"/>
              <w:numPr>
                <w:ilvl w:val="0"/>
                <w:numId w:val="2"/>
              </w:numPr>
            </w:pPr>
            <w:r>
              <w:t>La guía de pasos a seguir es clara y accionable para el paciente.</w:t>
            </w:r>
          </w:p>
          <w:p w14:paraId="2CACDDDD">
            <w:pPr>
              <w:pStyle w:val="17"/>
              <w:numPr>
                <w:ilvl w:val="0"/>
                <w:numId w:val="2"/>
              </w:numPr>
            </w:pPr>
            <w:r>
              <w:t>La entrega de la alerta al paciente se confirma en menos de 10 segundos.</w:t>
            </w:r>
          </w:p>
          <w:p w14:paraId="7EC8331C">
            <w:pPr>
              <w:pStyle w:val="17"/>
              <w:numPr>
                <w:ilvl w:val="0"/>
                <w:numId w:val="2"/>
              </w:numPr>
            </w:pPr>
            <w:r>
              <w:t>El 100% de las alertas generadas por Med-Gemini son comunicadas al paciente vía bot.</w:t>
            </w:r>
          </w:p>
          <w:p w14:paraId="615DB27B">
            <w:pPr>
              <w:pStyle w:val="17"/>
              <w:numPr>
                <w:ilvl w:val="0"/>
                <w:numId w:val="2"/>
              </w:numPr>
            </w:pPr>
            <w:r>
              <w:t>En caso de fallo del bot, el sistema genera una notificación alternativa (SMS o push).</w:t>
            </w:r>
          </w:p>
        </w:tc>
      </w:tr>
      <w:tr w14:paraId="50ED3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79BCB2F">
            <w:r>
              <w:rPr>
                <w:b/>
                <w:bCs/>
              </w:rPr>
              <w:t>Trazabilidad</w:t>
            </w:r>
          </w:p>
        </w:tc>
        <w:tc>
          <w:tcPr>
            <w:tcW w:w="7160" w:type="dxa"/>
            <w:shd w:val="clear" w:color="auto" w:fill="auto"/>
            <w:tcMar>
              <w:top w:w="80" w:type="dxa"/>
              <w:left w:w="120" w:type="dxa"/>
              <w:bottom w:w="80" w:type="dxa"/>
              <w:right w:w="120" w:type="dxa"/>
            </w:tcMar>
          </w:tcPr>
          <w:p w14:paraId="7ECE71B5">
            <w:r>
              <w:t>M03-C03, CU: Explicar alerta al paciente vía bot, Guiar pasos a seguir, RF-M3-002, ST01, ST07, Diagrama de Contexto M3</w:t>
            </w:r>
          </w:p>
        </w:tc>
      </w:tr>
    </w:tbl>
    <w:p w14:paraId="3663DEDB">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447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30695751">
            <w:pPr>
              <w:jc w:val="center"/>
            </w:pPr>
            <w:r>
              <w:rPr>
                <w:b/>
                <w:bCs/>
              </w:rPr>
              <w:t>RF-12: Envío simultáneo de alertas críticas multicanal</w:t>
            </w:r>
          </w:p>
        </w:tc>
      </w:tr>
      <w:tr w14:paraId="0172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A727152">
            <w:r>
              <w:rPr>
                <w:b/>
                <w:bCs/>
              </w:rPr>
              <w:t>ID</w:t>
            </w:r>
          </w:p>
        </w:tc>
        <w:tc>
          <w:tcPr>
            <w:tcW w:w="7160" w:type="dxa"/>
            <w:shd w:val="clear" w:color="auto" w:fill="auto"/>
            <w:tcMar>
              <w:top w:w="80" w:type="dxa"/>
              <w:left w:w="120" w:type="dxa"/>
              <w:bottom w:w="80" w:type="dxa"/>
              <w:right w:w="120" w:type="dxa"/>
            </w:tcMar>
          </w:tcPr>
          <w:p w14:paraId="7372429C">
            <w:r>
              <w:t>RF-12</w:t>
            </w:r>
          </w:p>
        </w:tc>
      </w:tr>
      <w:tr w14:paraId="621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785DE32">
            <w:r>
              <w:rPr>
                <w:b/>
                <w:bCs/>
              </w:rPr>
              <w:t>Nombre</w:t>
            </w:r>
          </w:p>
        </w:tc>
        <w:tc>
          <w:tcPr>
            <w:tcW w:w="7160" w:type="dxa"/>
            <w:shd w:val="clear" w:color="auto" w:fill="auto"/>
            <w:tcMar>
              <w:top w:w="80" w:type="dxa"/>
              <w:left w:w="120" w:type="dxa"/>
              <w:bottom w:w="80" w:type="dxa"/>
              <w:right w:w="120" w:type="dxa"/>
            </w:tcMar>
          </w:tcPr>
          <w:p w14:paraId="05A9E728">
            <w:r>
              <w:t>Envío simultáneo de alertas críticas multicanal</w:t>
            </w:r>
          </w:p>
        </w:tc>
      </w:tr>
      <w:tr w14:paraId="528F2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067CC27">
            <w:r>
              <w:rPr>
                <w:b/>
                <w:bCs/>
              </w:rPr>
              <w:t>Descripción</w:t>
            </w:r>
          </w:p>
        </w:tc>
        <w:tc>
          <w:tcPr>
            <w:tcW w:w="7160" w:type="dxa"/>
            <w:shd w:val="clear" w:color="auto" w:fill="auto"/>
            <w:tcMar>
              <w:top w:w="80" w:type="dxa"/>
              <w:left w:w="120" w:type="dxa"/>
              <w:bottom w:w="80" w:type="dxa"/>
              <w:right w:w="120" w:type="dxa"/>
            </w:tcMar>
          </w:tcPr>
          <w:p w14:paraId="590FE9F4">
            <w:r>
              <w:t>El sistema enviará alertas críticas de forma simultánea al paciente (ST01), al médico responsable (ST02) y al centro de asistencia asignado (ST04). El médico recibirá un resumen biométrico con la explicación XAI de Med-Gemini para tomar una decisión clínica fundamentada. El centro de asistencia recibirá la alerta con los datos del paciente para coordinar la respuesta.</w:t>
            </w:r>
          </w:p>
        </w:tc>
      </w:tr>
      <w:tr w14:paraId="4BB81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86B0FA9">
            <w:r>
              <w:rPr>
                <w:b/>
                <w:bCs/>
              </w:rPr>
              <w:t>Prioridad</w:t>
            </w:r>
          </w:p>
        </w:tc>
        <w:tc>
          <w:tcPr>
            <w:tcW w:w="7160" w:type="dxa"/>
            <w:shd w:val="clear" w:color="auto" w:fill="auto"/>
            <w:tcMar>
              <w:top w:w="80" w:type="dxa"/>
              <w:left w:w="120" w:type="dxa"/>
              <w:bottom w:w="80" w:type="dxa"/>
              <w:right w:w="120" w:type="dxa"/>
            </w:tcMar>
          </w:tcPr>
          <w:p w14:paraId="1E44AD46">
            <w:r>
              <w:t>Alta (Must)</w:t>
            </w:r>
          </w:p>
        </w:tc>
      </w:tr>
      <w:tr w14:paraId="768AD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0A2A0F5">
            <w:r>
              <w:rPr>
                <w:b/>
                <w:bCs/>
              </w:rPr>
              <w:t>Precondiciones</w:t>
            </w:r>
          </w:p>
        </w:tc>
        <w:tc>
          <w:tcPr>
            <w:tcW w:w="7160" w:type="dxa"/>
            <w:shd w:val="clear" w:color="auto" w:fill="auto"/>
            <w:tcMar>
              <w:top w:w="80" w:type="dxa"/>
              <w:left w:w="120" w:type="dxa"/>
              <w:bottom w:w="80" w:type="dxa"/>
              <w:right w:w="120" w:type="dxa"/>
            </w:tcMar>
          </w:tcPr>
          <w:p w14:paraId="2A05C00E">
            <w:pPr>
              <w:pStyle w:val="17"/>
              <w:numPr>
                <w:ilvl w:val="0"/>
                <w:numId w:val="1"/>
              </w:numPr>
            </w:pPr>
            <w:r>
              <w:t>Med-Gemini ha generado una alerta crítica con nivel de riesgo alto.</w:t>
            </w:r>
          </w:p>
          <w:p w14:paraId="39A5A60A">
            <w:pPr>
              <w:pStyle w:val="17"/>
              <w:numPr>
                <w:ilvl w:val="0"/>
                <w:numId w:val="1"/>
              </w:numPr>
            </w:pPr>
            <w:r>
              <w:t>El médico responsable (ST02) y el centro de asistencia (ST04) están asignados al paciente.</w:t>
            </w:r>
          </w:p>
          <w:p w14:paraId="22DF9604">
            <w:pPr>
              <w:pStyle w:val="17"/>
              <w:numPr>
                <w:ilvl w:val="0"/>
                <w:numId w:val="1"/>
              </w:numPr>
            </w:pPr>
            <w:r>
              <w:t>Los canales de notificación están operativos.</w:t>
            </w:r>
          </w:p>
        </w:tc>
      </w:tr>
      <w:tr w14:paraId="63BFB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843FF5A">
            <w:r>
              <w:rPr>
                <w:b/>
                <w:bCs/>
              </w:rPr>
              <w:t>Postcondiciones</w:t>
            </w:r>
          </w:p>
        </w:tc>
        <w:tc>
          <w:tcPr>
            <w:tcW w:w="7160" w:type="dxa"/>
            <w:shd w:val="clear" w:color="auto" w:fill="auto"/>
            <w:tcMar>
              <w:top w:w="80" w:type="dxa"/>
              <w:left w:w="120" w:type="dxa"/>
              <w:bottom w:w="80" w:type="dxa"/>
              <w:right w:w="120" w:type="dxa"/>
            </w:tcMar>
          </w:tcPr>
          <w:p w14:paraId="73A809B7">
            <w:pPr>
              <w:pStyle w:val="17"/>
              <w:numPr>
                <w:ilvl w:val="0"/>
                <w:numId w:val="1"/>
              </w:numPr>
            </w:pPr>
            <w:r>
              <w:t>Alerta entregada simultáneamente al paciente (vía bot), al médico (resumen biométrico + XAI) y al centro de asistencia (datos del paciente).</w:t>
            </w:r>
          </w:p>
          <w:p w14:paraId="1089B283">
            <w:pPr>
              <w:pStyle w:val="17"/>
              <w:numPr>
                <w:ilvl w:val="0"/>
                <w:numId w:val="1"/>
              </w:numPr>
            </w:pPr>
            <w:r>
              <w:t>Decisión clínica del ST02 ante la alerta registrada en el sistema.</w:t>
            </w:r>
          </w:p>
          <w:p w14:paraId="0D91F6FA">
            <w:pPr>
              <w:pStyle w:val="17"/>
              <w:numPr>
                <w:ilvl w:val="0"/>
                <w:numId w:val="1"/>
              </w:numPr>
            </w:pPr>
            <w:r>
              <w:t>Confirmación de recepción de alerta registrada para cada destinatario.</w:t>
            </w:r>
          </w:p>
          <w:p w14:paraId="33BC8ED1">
            <w:pPr>
              <w:pStyle w:val="17"/>
              <w:numPr>
                <w:ilvl w:val="0"/>
                <w:numId w:val="1"/>
              </w:numPr>
            </w:pPr>
            <w:r>
              <w:t>Alerta crítica registrada en el log de auditoría con timestamp.</w:t>
            </w:r>
          </w:p>
        </w:tc>
      </w:tr>
      <w:tr w14:paraId="689A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C1DA908">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28EA86BA">
            <w:pPr>
              <w:pStyle w:val="17"/>
              <w:numPr>
                <w:ilvl w:val="0"/>
                <w:numId w:val="2"/>
              </w:numPr>
            </w:pPr>
            <w:r>
              <w:t>La alerta crítica llega a los tres destinatarios (ST01, ST02, ST04) en menos de 30 segundos.</w:t>
            </w:r>
          </w:p>
          <w:p w14:paraId="483F59D9">
            <w:pPr>
              <w:pStyle w:val="17"/>
              <w:numPr>
                <w:ilvl w:val="0"/>
                <w:numId w:val="2"/>
              </w:numPr>
            </w:pPr>
            <w:r>
              <w:t>El resumen biométrico enviado a ST02 incluye datos EKG, EEG, SpO2 y la explicación XAI.</w:t>
            </w:r>
          </w:p>
          <w:p w14:paraId="4166B039">
            <w:pPr>
              <w:pStyle w:val="17"/>
              <w:numPr>
                <w:ilvl w:val="0"/>
                <w:numId w:val="2"/>
              </w:numPr>
            </w:pPr>
            <w:r>
              <w:t>El ST04 recibe los datos del paciente suficientes para coordinar la respuesta.</w:t>
            </w:r>
          </w:p>
          <w:p w14:paraId="1B83651C">
            <w:pPr>
              <w:pStyle w:val="17"/>
              <w:numPr>
                <w:ilvl w:val="0"/>
                <w:numId w:val="2"/>
              </w:numPr>
            </w:pPr>
            <w:r>
              <w:t>El sistema registra confirmación de recepción de cada destinatario.</w:t>
            </w:r>
          </w:p>
          <w:p w14:paraId="1ACA93F4">
            <w:pPr>
              <w:pStyle w:val="17"/>
              <w:numPr>
                <w:ilvl w:val="0"/>
                <w:numId w:val="2"/>
              </w:numPr>
            </w:pPr>
            <w:r>
              <w:t>En caso de fallo de un canal, el sistema reintenta la entrega por canal alternativo.</w:t>
            </w:r>
          </w:p>
        </w:tc>
      </w:tr>
      <w:tr w14:paraId="4B77C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2107F26">
            <w:r>
              <w:rPr>
                <w:b/>
                <w:bCs/>
              </w:rPr>
              <w:t>Trazabilidad</w:t>
            </w:r>
          </w:p>
        </w:tc>
        <w:tc>
          <w:tcPr>
            <w:tcW w:w="7160" w:type="dxa"/>
            <w:shd w:val="clear" w:color="auto" w:fill="auto"/>
            <w:tcMar>
              <w:top w:w="80" w:type="dxa"/>
              <w:left w:w="120" w:type="dxa"/>
              <w:bottom w:w="80" w:type="dxa"/>
              <w:right w:w="120" w:type="dxa"/>
            </w:tcMar>
          </w:tcPr>
          <w:p w14:paraId="1DEA958C">
            <w:r>
              <w:t>M03-C03, CU: Notificar a médico y centro, RF-M3-002, ST01, ST02, ST04, Diagrama de Contexto M3</w:t>
            </w:r>
          </w:p>
        </w:tc>
      </w:tr>
    </w:tbl>
    <w:p w14:paraId="6BD771CA">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200"/>
        <w:gridCol w:w="7160"/>
      </w:tblGrid>
      <w:tr w14:paraId="6D35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4335421A">
            <w:pPr>
              <w:jc w:val="center"/>
            </w:pPr>
            <w:r>
              <w:rPr>
                <w:b/>
                <w:bCs/>
              </w:rPr>
              <w:t>RF-13: Teleconsulta con historial clínico y soporte Med-Gemini XAI</w:t>
            </w:r>
          </w:p>
        </w:tc>
      </w:tr>
      <w:tr w14:paraId="71F00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0150293">
            <w:r>
              <w:rPr>
                <w:b/>
                <w:bCs/>
              </w:rPr>
              <w:t>ID</w:t>
            </w:r>
          </w:p>
        </w:tc>
        <w:tc>
          <w:tcPr>
            <w:tcW w:w="7160" w:type="dxa"/>
            <w:shd w:val="clear" w:color="auto" w:fill="auto"/>
            <w:tcMar>
              <w:top w:w="80" w:type="dxa"/>
              <w:left w:w="120" w:type="dxa"/>
              <w:bottom w:w="80" w:type="dxa"/>
              <w:right w:w="120" w:type="dxa"/>
            </w:tcMar>
          </w:tcPr>
          <w:p w14:paraId="011085F7">
            <w:r>
              <w:t>RF-13</w:t>
            </w:r>
          </w:p>
        </w:tc>
      </w:tr>
      <w:tr w14:paraId="2B679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19FBD9C">
            <w:r>
              <w:rPr>
                <w:b/>
                <w:bCs/>
              </w:rPr>
              <w:t>Nombre</w:t>
            </w:r>
          </w:p>
        </w:tc>
        <w:tc>
          <w:tcPr>
            <w:tcW w:w="7160" w:type="dxa"/>
            <w:shd w:val="clear" w:color="auto" w:fill="auto"/>
            <w:tcMar>
              <w:top w:w="80" w:type="dxa"/>
              <w:left w:w="120" w:type="dxa"/>
              <w:bottom w:w="80" w:type="dxa"/>
              <w:right w:w="120" w:type="dxa"/>
            </w:tcMar>
          </w:tcPr>
          <w:p w14:paraId="0839C5D8">
            <w:r>
              <w:t>Teleconsulta con historial clínico y soporte Med-Gemini XAI</w:t>
            </w:r>
          </w:p>
        </w:tc>
      </w:tr>
      <w:tr w14:paraId="5B339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1111907">
            <w:r>
              <w:rPr>
                <w:b/>
                <w:bCs/>
              </w:rPr>
              <w:t>Descripción</w:t>
            </w:r>
          </w:p>
        </w:tc>
        <w:tc>
          <w:tcPr>
            <w:tcW w:w="7160" w:type="dxa"/>
            <w:shd w:val="clear" w:color="auto" w:fill="auto"/>
            <w:tcMar>
              <w:top w:w="80" w:type="dxa"/>
              <w:left w:w="120" w:type="dxa"/>
              <w:bottom w:w="80" w:type="dxa"/>
              <w:right w:w="120" w:type="dxa"/>
            </w:tcMar>
          </w:tcPr>
          <w:p w14:paraId="47F9F4DD">
            <w:r>
              <w:t>El sistema habilitará un canal de videollamada estable entre el paciente y el médico, con el historial clínico completo y el historial biométrico del módulo M3 integrados en la misma pantalla del médico. Med-Gemini generará sugerencias de diagnóstico con explicación visible para el médico durante la teleconsulta.</w:t>
            </w:r>
          </w:p>
        </w:tc>
      </w:tr>
      <w:tr w14:paraId="0425C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5E24A54">
            <w:r>
              <w:rPr>
                <w:b/>
                <w:bCs/>
              </w:rPr>
              <w:t>Prioridad</w:t>
            </w:r>
          </w:p>
        </w:tc>
        <w:tc>
          <w:tcPr>
            <w:tcW w:w="7160" w:type="dxa"/>
            <w:shd w:val="clear" w:color="auto" w:fill="auto"/>
            <w:tcMar>
              <w:top w:w="80" w:type="dxa"/>
              <w:left w:w="120" w:type="dxa"/>
              <w:bottom w:w="80" w:type="dxa"/>
              <w:right w:w="120" w:type="dxa"/>
            </w:tcMar>
          </w:tcPr>
          <w:p w14:paraId="354A72E0">
            <w:r>
              <w:t>Alta (Must)</w:t>
            </w:r>
          </w:p>
        </w:tc>
      </w:tr>
      <w:tr w14:paraId="29862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840E9DF">
            <w:r>
              <w:rPr>
                <w:b/>
                <w:bCs/>
              </w:rPr>
              <w:t>Precondiciones</w:t>
            </w:r>
          </w:p>
        </w:tc>
        <w:tc>
          <w:tcPr>
            <w:tcW w:w="7160" w:type="dxa"/>
            <w:shd w:val="clear" w:color="auto" w:fill="auto"/>
            <w:tcMar>
              <w:top w:w="80" w:type="dxa"/>
              <w:left w:w="120" w:type="dxa"/>
              <w:bottom w:w="80" w:type="dxa"/>
              <w:right w:w="120" w:type="dxa"/>
            </w:tcMar>
          </w:tcPr>
          <w:p w14:paraId="2D58E761">
            <w:pPr>
              <w:pStyle w:val="17"/>
              <w:numPr>
                <w:ilvl w:val="0"/>
                <w:numId w:val="1"/>
              </w:numPr>
            </w:pPr>
            <w:r>
              <w:t>El paciente y el médico tienen perfiles activos con sesión iniciada.</w:t>
            </w:r>
          </w:p>
          <w:p w14:paraId="46B14623">
            <w:pPr>
              <w:pStyle w:val="17"/>
              <w:numPr>
                <w:ilvl w:val="0"/>
                <w:numId w:val="1"/>
              </w:numPr>
            </w:pPr>
            <w:r>
              <w:t>La solicitud ha sido asignada al médico a través del módulo M2.</w:t>
            </w:r>
          </w:p>
          <w:p w14:paraId="19DC74A6">
            <w:pPr>
              <w:pStyle w:val="17"/>
              <w:numPr>
                <w:ilvl w:val="0"/>
                <w:numId w:val="1"/>
              </w:numPr>
            </w:pPr>
            <w:r>
              <w:t>El historial clínico del paciente está disponible (incluyendo datos del IESS/MSP via HL7/FHIR).</w:t>
            </w:r>
          </w:p>
          <w:p w14:paraId="3973C62B">
            <w:pPr>
              <w:pStyle w:val="17"/>
              <w:numPr>
                <w:ilvl w:val="0"/>
                <w:numId w:val="1"/>
              </w:numPr>
            </w:pPr>
            <w:r>
              <w:t>Med-Gemini está operativo e integrado con el módulo M4.</w:t>
            </w:r>
          </w:p>
        </w:tc>
      </w:tr>
      <w:tr w14:paraId="7DE6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B65EBEA">
            <w:r>
              <w:rPr>
                <w:b/>
                <w:bCs/>
              </w:rPr>
              <w:t>Postcondiciones</w:t>
            </w:r>
          </w:p>
        </w:tc>
        <w:tc>
          <w:tcPr>
            <w:tcW w:w="7160" w:type="dxa"/>
            <w:shd w:val="clear" w:color="auto" w:fill="auto"/>
            <w:tcMar>
              <w:top w:w="80" w:type="dxa"/>
              <w:left w:w="120" w:type="dxa"/>
              <w:bottom w:w="80" w:type="dxa"/>
              <w:right w:w="120" w:type="dxa"/>
            </w:tcMar>
          </w:tcPr>
          <w:p w14:paraId="30183970">
            <w:pPr>
              <w:pStyle w:val="17"/>
              <w:numPr>
                <w:ilvl w:val="0"/>
                <w:numId w:val="1"/>
              </w:numPr>
            </w:pPr>
            <w:r>
              <w:t>Teleconsulta completada con historial clínico y biométrico visibles para el ST02.</w:t>
            </w:r>
          </w:p>
          <w:p w14:paraId="2C6057D4">
            <w:pPr>
              <w:pStyle w:val="17"/>
              <w:numPr>
                <w:ilvl w:val="0"/>
                <w:numId w:val="1"/>
              </w:numPr>
            </w:pPr>
            <w:r>
              <w:t>Sugerencias diagnósticas de Med-Gemini con XAI registradas en el historial.</w:t>
            </w:r>
          </w:p>
          <w:p w14:paraId="07162734">
            <w:pPr>
              <w:pStyle w:val="17"/>
              <w:numPr>
                <w:ilvl w:val="0"/>
                <w:numId w:val="1"/>
              </w:numPr>
            </w:pPr>
            <w:r>
              <w:t>Diagnóstico o validación de sugerencia del ST02 registrado en el sistema.</w:t>
            </w:r>
          </w:p>
          <w:p w14:paraId="77EA986E">
            <w:pPr>
              <w:pStyle w:val="17"/>
              <w:numPr>
                <w:ilvl w:val="0"/>
                <w:numId w:val="1"/>
              </w:numPr>
            </w:pPr>
            <w:r>
              <w:t>Teleconsulta registrada en el log de auditoría con timestamp.</w:t>
            </w:r>
          </w:p>
        </w:tc>
      </w:tr>
      <w:tr w14:paraId="6197F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5167264">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192F2CB0">
            <w:pPr>
              <w:pStyle w:val="17"/>
              <w:numPr>
                <w:ilvl w:val="0"/>
                <w:numId w:val="2"/>
              </w:numPr>
            </w:pPr>
            <w:r>
              <w:t>La latencia del canal de video/audio es menor o igual a 200ms en el 95% de las sesiones.</w:t>
            </w:r>
          </w:p>
          <w:p w14:paraId="41D224EB">
            <w:pPr>
              <w:pStyle w:val="17"/>
              <w:numPr>
                <w:ilvl w:val="0"/>
                <w:numId w:val="2"/>
              </w:numPr>
            </w:pPr>
            <w:r>
              <w:t>El historial clínico completo y el historial biométrico están visibles para el ST02 durante la consulta.</w:t>
            </w:r>
          </w:p>
          <w:p w14:paraId="35DF2210">
            <w:pPr>
              <w:pStyle w:val="17"/>
              <w:numPr>
                <w:ilvl w:val="0"/>
                <w:numId w:val="2"/>
              </w:numPr>
            </w:pPr>
            <w:r>
              <w:t>Med-Gemini genera sugerencias diagnósticas con XAI en menos de 2 segundos.</w:t>
            </w:r>
          </w:p>
          <w:p w14:paraId="4C2A9FB8">
            <w:pPr>
              <w:pStyle w:val="17"/>
              <w:numPr>
                <w:ilvl w:val="0"/>
                <w:numId w:val="2"/>
              </w:numPr>
            </w:pPr>
            <w:r>
              <w:t>El médico puede validar o rechazar cada sugerencia diagnóstica de Med-Gemini con registro obligatorio.</w:t>
            </w:r>
          </w:p>
          <w:p w14:paraId="1A3E42DE">
            <w:pPr>
              <w:pStyle w:val="17"/>
              <w:numPr>
                <w:ilvl w:val="0"/>
                <w:numId w:val="2"/>
              </w:numPr>
            </w:pPr>
            <w:r>
              <w:t>El 100% de las sugerencias de Med-Gemini incluyen explicación XAI comprensible para el médico.</w:t>
            </w:r>
          </w:p>
        </w:tc>
      </w:tr>
      <w:tr w14:paraId="68800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ED7144A">
            <w:r>
              <w:rPr>
                <w:b/>
                <w:bCs/>
              </w:rPr>
              <w:t>Trazabilidad</w:t>
            </w:r>
          </w:p>
        </w:tc>
        <w:tc>
          <w:tcPr>
            <w:tcW w:w="7160" w:type="dxa"/>
            <w:shd w:val="clear" w:color="auto" w:fill="auto"/>
            <w:tcMar>
              <w:top w:w="80" w:type="dxa"/>
              <w:left w:w="120" w:type="dxa"/>
              <w:bottom w:w="80" w:type="dxa"/>
              <w:right w:w="120" w:type="dxa"/>
            </w:tcMar>
          </w:tcPr>
          <w:p w14:paraId="3C3215ED">
            <w:r>
              <w:t>M04-C01, CU: Iniciar teleconsulta, Acceder a historial clínico, Recibir sugerencias Med-Gemini, RF-M2-005, RF-M3-001, ST01, ST02, ST07, Diagrama de Contexto M4</w:t>
            </w:r>
          </w:p>
        </w:tc>
      </w:tr>
    </w:tbl>
    <w:p w14:paraId="12278611">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1FEE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114F07E1">
            <w:pPr>
              <w:jc w:val="center"/>
            </w:pPr>
            <w:r>
              <w:rPr>
                <w:b/>
                <w:bCs/>
              </w:rPr>
              <w:t>RF</w:t>
            </w:r>
            <w:r>
              <w:rPr>
                <w:rFonts w:hint="default"/>
                <w:b/>
                <w:bCs/>
                <w:lang w:val="es-ES"/>
              </w:rPr>
              <w:t>-</w:t>
            </w:r>
            <w:r>
              <w:rPr>
                <w:b/>
                <w:bCs/>
              </w:rPr>
              <w:t>14: Emisión de recetas digitales con firma electrónica</w:t>
            </w:r>
          </w:p>
        </w:tc>
      </w:tr>
      <w:tr w14:paraId="43A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91F35BB">
            <w:r>
              <w:rPr>
                <w:b/>
                <w:bCs/>
              </w:rPr>
              <w:t>ID</w:t>
            </w:r>
          </w:p>
        </w:tc>
        <w:tc>
          <w:tcPr>
            <w:tcW w:w="7160" w:type="dxa"/>
            <w:shd w:val="clear" w:color="auto" w:fill="auto"/>
            <w:tcMar>
              <w:top w:w="80" w:type="dxa"/>
              <w:left w:w="120" w:type="dxa"/>
              <w:bottom w:w="80" w:type="dxa"/>
              <w:right w:w="120" w:type="dxa"/>
            </w:tcMar>
          </w:tcPr>
          <w:p w14:paraId="0D5CFED5">
            <w:r>
              <w:t>RF-14</w:t>
            </w:r>
          </w:p>
        </w:tc>
      </w:tr>
      <w:tr w14:paraId="52AE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44615DD">
            <w:r>
              <w:rPr>
                <w:b/>
                <w:bCs/>
              </w:rPr>
              <w:t>Nombre</w:t>
            </w:r>
          </w:p>
        </w:tc>
        <w:tc>
          <w:tcPr>
            <w:tcW w:w="7160" w:type="dxa"/>
            <w:shd w:val="clear" w:color="auto" w:fill="auto"/>
            <w:tcMar>
              <w:top w:w="80" w:type="dxa"/>
              <w:left w:w="120" w:type="dxa"/>
              <w:bottom w:w="80" w:type="dxa"/>
              <w:right w:w="120" w:type="dxa"/>
            </w:tcMar>
          </w:tcPr>
          <w:p w14:paraId="4FC1A39D">
            <w:r>
              <w:t>Emisión de recetas digitales con firma electrónica</w:t>
            </w:r>
          </w:p>
        </w:tc>
      </w:tr>
      <w:tr w14:paraId="75F3F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0444FB2">
            <w:r>
              <w:rPr>
                <w:b/>
                <w:bCs/>
              </w:rPr>
              <w:t>Descripción</w:t>
            </w:r>
          </w:p>
        </w:tc>
        <w:tc>
          <w:tcPr>
            <w:tcW w:w="7160" w:type="dxa"/>
            <w:shd w:val="clear" w:color="auto" w:fill="auto"/>
            <w:tcMar>
              <w:top w:w="80" w:type="dxa"/>
              <w:left w:w="120" w:type="dxa"/>
              <w:bottom w:w="80" w:type="dxa"/>
              <w:right w:w="120" w:type="dxa"/>
            </w:tcMar>
          </w:tcPr>
          <w:p w14:paraId="27B2159D">
            <w:r>
              <w:t>El sistema permitirá al médico emitir recetas digitales e instrucciones médicas durante la teleconsulta. Los datos de la receta serán enviados al Sistema de Recetas Digitales para su firma electrónica, y la receta firmada y validada será devuelta al módulo M4 para entrega al paciente.</w:t>
            </w:r>
          </w:p>
        </w:tc>
      </w:tr>
      <w:tr w14:paraId="5FAAE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BB6CE88">
            <w:r>
              <w:rPr>
                <w:b/>
                <w:bCs/>
              </w:rPr>
              <w:t>Prioridad</w:t>
            </w:r>
          </w:p>
        </w:tc>
        <w:tc>
          <w:tcPr>
            <w:tcW w:w="7160" w:type="dxa"/>
            <w:shd w:val="clear" w:color="auto" w:fill="auto"/>
            <w:tcMar>
              <w:top w:w="80" w:type="dxa"/>
              <w:left w:w="120" w:type="dxa"/>
              <w:bottom w:w="80" w:type="dxa"/>
              <w:right w:w="120" w:type="dxa"/>
            </w:tcMar>
          </w:tcPr>
          <w:p w14:paraId="1F1E1226">
            <w:r>
              <w:t>Alta (Must)</w:t>
            </w:r>
          </w:p>
        </w:tc>
      </w:tr>
      <w:tr w14:paraId="1279E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B799107">
            <w:r>
              <w:rPr>
                <w:b/>
                <w:bCs/>
              </w:rPr>
              <w:t>Precondiciones</w:t>
            </w:r>
          </w:p>
        </w:tc>
        <w:tc>
          <w:tcPr>
            <w:tcW w:w="7160" w:type="dxa"/>
            <w:shd w:val="clear" w:color="auto" w:fill="auto"/>
            <w:tcMar>
              <w:top w:w="80" w:type="dxa"/>
              <w:left w:w="120" w:type="dxa"/>
              <w:bottom w:w="80" w:type="dxa"/>
              <w:right w:w="120" w:type="dxa"/>
            </w:tcMar>
          </w:tcPr>
          <w:p w14:paraId="41BD8C44">
            <w:pPr>
              <w:pStyle w:val="17"/>
              <w:numPr>
                <w:ilvl w:val="0"/>
                <w:numId w:val="1"/>
              </w:numPr>
            </w:pPr>
            <w:r>
              <w:t>La teleconsulta está activa y el médico (ST02) tiene permisos de prescripción.</w:t>
            </w:r>
          </w:p>
          <w:p w14:paraId="1FBAD490">
            <w:pPr>
              <w:pStyle w:val="17"/>
              <w:numPr>
                <w:ilvl w:val="0"/>
                <w:numId w:val="1"/>
              </w:numPr>
            </w:pPr>
            <w:r>
              <w:t>El Sistema de Recetas Digitales está operativo y conectado.</w:t>
            </w:r>
          </w:p>
          <w:p w14:paraId="5D795334">
            <w:pPr>
              <w:pStyle w:val="17"/>
              <w:numPr>
                <w:ilvl w:val="0"/>
                <w:numId w:val="1"/>
              </w:numPr>
            </w:pPr>
            <w:r>
              <w:t>La firma electrónica del médico está configurada y activa.</w:t>
            </w:r>
          </w:p>
        </w:tc>
      </w:tr>
      <w:tr w14:paraId="3956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69F623A6">
            <w:r>
              <w:rPr>
                <w:b/>
                <w:bCs/>
              </w:rPr>
              <w:t>Postcondiciones</w:t>
            </w:r>
          </w:p>
        </w:tc>
        <w:tc>
          <w:tcPr>
            <w:tcW w:w="7160" w:type="dxa"/>
            <w:shd w:val="clear" w:color="auto" w:fill="auto"/>
            <w:tcMar>
              <w:top w:w="80" w:type="dxa"/>
              <w:left w:w="120" w:type="dxa"/>
              <w:bottom w:w="80" w:type="dxa"/>
              <w:right w:w="120" w:type="dxa"/>
            </w:tcMar>
          </w:tcPr>
          <w:p w14:paraId="22C28A9F">
            <w:pPr>
              <w:pStyle w:val="17"/>
              <w:numPr>
                <w:ilvl w:val="0"/>
                <w:numId w:val="1"/>
              </w:numPr>
            </w:pPr>
            <w:r>
              <w:t>Receta digital generada con firma electrónica del médico.</w:t>
            </w:r>
          </w:p>
          <w:p w14:paraId="1C4CBE25">
            <w:pPr>
              <w:pStyle w:val="17"/>
              <w:numPr>
                <w:ilvl w:val="0"/>
                <w:numId w:val="1"/>
              </w:numPr>
            </w:pPr>
            <w:r>
              <w:t>Receta firmada y validada disponible para descarga del paciente.</w:t>
            </w:r>
          </w:p>
          <w:p w14:paraId="472756C0">
            <w:pPr>
              <w:pStyle w:val="17"/>
              <w:numPr>
                <w:ilvl w:val="0"/>
                <w:numId w:val="1"/>
              </w:numPr>
            </w:pPr>
            <w:r>
              <w:t>Receta e instrucciones médicas registradas en el historial clínico del paciente.</w:t>
            </w:r>
          </w:p>
          <w:p w14:paraId="4B37DE43">
            <w:pPr>
              <w:pStyle w:val="17"/>
              <w:numPr>
                <w:ilvl w:val="0"/>
                <w:numId w:val="1"/>
              </w:numPr>
            </w:pPr>
            <w:r>
              <w:t>Generación de receta registrada en el log de auditoría.</w:t>
            </w:r>
          </w:p>
        </w:tc>
      </w:tr>
      <w:tr w14:paraId="0CE7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A6CBC73">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48865960">
            <w:pPr>
              <w:pStyle w:val="17"/>
              <w:numPr>
                <w:ilvl w:val="0"/>
                <w:numId w:val="2"/>
              </w:numPr>
            </w:pPr>
            <w:r>
              <w:t>La receta digital incluye firma electrónica válida del médico (ST02).</w:t>
            </w:r>
          </w:p>
          <w:p w14:paraId="651F8A4B">
            <w:pPr>
              <w:pStyle w:val="17"/>
              <w:numPr>
                <w:ilvl w:val="0"/>
                <w:numId w:val="2"/>
              </w:numPr>
            </w:pPr>
            <w:r>
              <w:t>El paciente recibe la receta firmada en menos de 60 segundos tras su emisión.</w:t>
            </w:r>
          </w:p>
          <w:p w14:paraId="060957F6">
            <w:pPr>
              <w:pStyle w:val="17"/>
              <w:numPr>
                <w:ilvl w:val="0"/>
                <w:numId w:val="2"/>
              </w:numPr>
            </w:pPr>
            <w:r>
              <w:t>La receta queda registrada permanentemente en el historial clínico del paciente.</w:t>
            </w:r>
          </w:p>
          <w:p w14:paraId="2F801D62">
            <w:pPr>
              <w:pStyle w:val="17"/>
              <w:numPr>
                <w:ilvl w:val="0"/>
                <w:numId w:val="2"/>
              </w:numPr>
            </w:pPr>
            <w:r>
              <w:t>El Sistema de Recetas Digitales valida la firma antes de entregar la receta al módulo M4.</w:t>
            </w:r>
          </w:p>
          <w:p w14:paraId="60F40819">
            <w:pPr>
              <w:pStyle w:val="17"/>
              <w:numPr>
                <w:ilvl w:val="0"/>
                <w:numId w:val="2"/>
              </w:numPr>
            </w:pPr>
            <w:r>
              <w:t>El paciente puede descargar la receta desde su perfil en cualquier momento posterior.</w:t>
            </w:r>
          </w:p>
        </w:tc>
      </w:tr>
      <w:tr w14:paraId="06EEB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C6E5FB0">
            <w:r>
              <w:rPr>
                <w:b/>
                <w:bCs/>
              </w:rPr>
              <w:t>Trazabilidad</w:t>
            </w:r>
          </w:p>
        </w:tc>
        <w:tc>
          <w:tcPr>
            <w:tcW w:w="7160" w:type="dxa"/>
            <w:shd w:val="clear" w:color="auto" w:fill="auto"/>
            <w:tcMar>
              <w:top w:w="80" w:type="dxa"/>
              <w:left w:w="120" w:type="dxa"/>
              <w:bottom w:w="80" w:type="dxa"/>
              <w:right w:w="120" w:type="dxa"/>
            </w:tcMar>
          </w:tcPr>
          <w:p w14:paraId="2159A3D4">
            <w:r>
              <w:t>M04-C02, CU: Emitir receta digital firmada, RF-M4-001, ST01, ST02, Diagrama de Contexto M4</w:t>
            </w:r>
          </w:p>
        </w:tc>
      </w:tr>
    </w:tbl>
    <w:tbl>
      <w:tblPr>
        <w:tblStyle w:val="9"/>
        <w:tblpPr w:leftFromText="180" w:rightFromText="180" w:vertAnchor="text" w:horzAnchor="page" w:tblpX="1270" w:tblpY="323"/>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7FEF6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6B6292DB">
            <w:pPr>
              <w:jc w:val="center"/>
            </w:pPr>
            <w:r>
              <w:rPr>
                <w:b/>
                <w:bCs/>
              </w:rPr>
              <w:t>RF-15: Derivación de emergencia presencial</w:t>
            </w:r>
          </w:p>
        </w:tc>
      </w:tr>
      <w:tr w14:paraId="65618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E3D488D">
            <w:r>
              <w:rPr>
                <w:b/>
                <w:bCs/>
              </w:rPr>
              <w:t>ID</w:t>
            </w:r>
          </w:p>
        </w:tc>
        <w:tc>
          <w:tcPr>
            <w:tcW w:w="7160" w:type="dxa"/>
            <w:shd w:val="clear" w:color="auto" w:fill="auto"/>
            <w:tcMar>
              <w:top w:w="80" w:type="dxa"/>
              <w:left w:w="120" w:type="dxa"/>
              <w:bottom w:w="80" w:type="dxa"/>
              <w:right w:w="120" w:type="dxa"/>
            </w:tcMar>
          </w:tcPr>
          <w:p w14:paraId="3B3900C3">
            <w:r>
              <w:t>RF-15</w:t>
            </w:r>
          </w:p>
        </w:tc>
      </w:tr>
      <w:tr w14:paraId="38866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DF46AE7">
            <w:r>
              <w:rPr>
                <w:b/>
                <w:bCs/>
              </w:rPr>
              <w:t>Nombre</w:t>
            </w:r>
          </w:p>
        </w:tc>
        <w:tc>
          <w:tcPr>
            <w:tcW w:w="7160" w:type="dxa"/>
            <w:shd w:val="clear" w:color="auto" w:fill="auto"/>
            <w:tcMar>
              <w:top w:w="80" w:type="dxa"/>
              <w:left w:w="120" w:type="dxa"/>
              <w:bottom w:w="80" w:type="dxa"/>
              <w:right w:w="120" w:type="dxa"/>
            </w:tcMar>
          </w:tcPr>
          <w:p w14:paraId="37E441E0">
            <w:r>
              <w:t>Derivación de emergencia presencial</w:t>
            </w:r>
          </w:p>
        </w:tc>
      </w:tr>
      <w:tr w14:paraId="06BF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28521C8D">
            <w:r>
              <w:rPr>
                <w:b/>
                <w:bCs/>
              </w:rPr>
              <w:t>Descripción</w:t>
            </w:r>
          </w:p>
        </w:tc>
        <w:tc>
          <w:tcPr>
            <w:tcW w:w="7160" w:type="dxa"/>
            <w:shd w:val="clear" w:color="auto" w:fill="auto"/>
            <w:tcMar>
              <w:top w:w="80" w:type="dxa"/>
              <w:left w:w="120" w:type="dxa"/>
              <w:bottom w:w="80" w:type="dxa"/>
              <w:right w:w="120" w:type="dxa"/>
            </w:tcMar>
          </w:tcPr>
          <w:p w14:paraId="79CC5DD0">
            <w:r>
              <w:t>El sistema proveerá al médico un mecanismo de derivación inmediata para solicitar el despacho de emergencia presencial cuando determine que el caso es crítico. El sistema enviará la solicitud de derivación y los datos clínicos urgentes del paciente al Sistema de Emergencias. El centro de asistencia (ST04) recibirá la confirmación o reasignación de la solicitud.</w:t>
            </w:r>
          </w:p>
        </w:tc>
      </w:tr>
      <w:tr w14:paraId="3E77C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E6A89F5">
            <w:r>
              <w:rPr>
                <w:b/>
                <w:bCs/>
              </w:rPr>
              <w:t>Prioridad</w:t>
            </w:r>
          </w:p>
        </w:tc>
        <w:tc>
          <w:tcPr>
            <w:tcW w:w="7160" w:type="dxa"/>
            <w:shd w:val="clear" w:color="auto" w:fill="auto"/>
            <w:tcMar>
              <w:top w:w="80" w:type="dxa"/>
              <w:left w:w="120" w:type="dxa"/>
              <w:bottom w:w="80" w:type="dxa"/>
              <w:right w:w="120" w:type="dxa"/>
            </w:tcMar>
          </w:tcPr>
          <w:p w14:paraId="0914C780">
            <w:r>
              <w:t>Alta (Must)</w:t>
            </w:r>
          </w:p>
        </w:tc>
      </w:tr>
      <w:tr w14:paraId="49BE1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888C81F">
            <w:r>
              <w:rPr>
                <w:b/>
                <w:bCs/>
              </w:rPr>
              <w:t>Precondiciones</w:t>
            </w:r>
          </w:p>
        </w:tc>
        <w:tc>
          <w:tcPr>
            <w:tcW w:w="7160" w:type="dxa"/>
            <w:shd w:val="clear" w:color="auto" w:fill="auto"/>
            <w:tcMar>
              <w:top w:w="80" w:type="dxa"/>
              <w:left w:w="120" w:type="dxa"/>
              <w:bottom w:w="80" w:type="dxa"/>
              <w:right w:w="120" w:type="dxa"/>
            </w:tcMar>
          </w:tcPr>
          <w:p w14:paraId="7ABB90E2">
            <w:pPr>
              <w:pStyle w:val="17"/>
              <w:numPr>
                <w:ilvl w:val="0"/>
                <w:numId w:val="1"/>
              </w:numPr>
            </w:pPr>
            <w:r>
              <w:t>La teleconsulta está activa y el médico (ST02) ha determinado la necesidad de atención presencial.</w:t>
            </w:r>
          </w:p>
          <w:p w14:paraId="49854526">
            <w:pPr>
              <w:pStyle w:val="17"/>
              <w:numPr>
                <w:ilvl w:val="0"/>
                <w:numId w:val="1"/>
              </w:numPr>
            </w:pPr>
            <w:r>
              <w:t>El Sistema de Emergencias está operativo y accesible.</w:t>
            </w:r>
          </w:p>
          <w:p w14:paraId="45B26D73">
            <w:pPr>
              <w:pStyle w:val="17"/>
              <w:numPr>
                <w:ilvl w:val="0"/>
                <w:numId w:val="1"/>
              </w:numPr>
            </w:pPr>
            <w:r>
              <w:t>Los datos clínicos urgentes del paciente están disponibles en el sistema.</w:t>
            </w:r>
          </w:p>
        </w:tc>
      </w:tr>
      <w:tr w14:paraId="4AB3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073184D3">
            <w:r>
              <w:rPr>
                <w:b/>
                <w:bCs/>
              </w:rPr>
              <w:t>Postcondiciones</w:t>
            </w:r>
          </w:p>
        </w:tc>
        <w:tc>
          <w:tcPr>
            <w:tcW w:w="7160" w:type="dxa"/>
            <w:shd w:val="clear" w:color="auto" w:fill="auto"/>
            <w:tcMar>
              <w:top w:w="80" w:type="dxa"/>
              <w:left w:w="120" w:type="dxa"/>
              <w:bottom w:w="80" w:type="dxa"/>
              <w:right w:w="120" w:type="dxa"/>
            </w:tcMar>
          </w:tcPr>
          <w:p w14:paraId="745A73E1">
            <w:pPr>
              <w:pStyle w:val="17"/>
              <w:numPr>
                <w:ilvl w:val="0"/>
                <w:numId w:val="1"/>
              </w:numPr>
            </w:pPr>
            <w:r>
              <w:t>Solicitud de derivación presencial enviada al Sistema de Emergencias con datos clínicos urgentes.</w:t>
            </w:r>
          </w:p>
          <w:p w14:paraId="19823B85">
            <w:pPr>
              <w:pStyle w:val="17"/>
              <w:numPr>
                <w:ilvl w:val="0"/>
                <w:numId w:val="1"/>
              </w:numPr>
            </w:pPr>
            <w:r>
              <w:t>Confirmación o reasignación recibida del ST04.</w:t>
            </w:r>
          </w:p>
          <w:p w14:paraId="426F7797">
            <w:pPr>
              <w:pStyle w:val="17"/>
              <w:numPr>
                <w:ilvl w:val="0"/>
                <w:numId w:val="1"/>
              </w:numPr>
            </w:pPr>
            <w:r>
              <w:t>Estado del paciente actualizado a 'Derivación Presencial' en el panel dinámico.</w:t>
            </w:r>
          </w:p>
          <w:p w14:paraId="71BD7493">
            <w:pPr>
              <w:pStyle w:val="17"/>
              <w:numPr>
                <w:ilvl w:val="0"/>
                <w:numId w:val="1"/>
              </w:numPr>
            </w:pPr>
            <w:r>
              <w:t>Solicitud de derivación registrada en el log de auditoría.</w:t>
            </w:r>
          </w:p>
        </w:tc>
      </w:tr>
      <w:tr w14:paraId="2DF47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569F9A6">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52BD599F">
            <w:pPr>
              <w:pStyle w:val="17"/>
              <w:numPr>
                <w:ilvl w:val="0"/>
                <w:numId w:val="2"/>
              </w:numPr>
            </w:pPr>
            <w:r>
              <w:t>La solicitud de derivación llega al Sistema de Emergencias en menos de 10 segundos.</w:t>
            </w:r>
          </w:p>
          <w:p w14:paraId="35720602">
            <w:pPr>
              <w:pStyle w:val="17"/>
              <w:numPr>
                <w:ilvl w:val="0"/>
                <w:numId w:val="2"/>
              </w:numPr>
            </w:pPr>
            <w:r>
              <w:t>Los datos clínicos urgentes del paciente se incluyen automáticamente en la solicitud.</w:t>
            </w:r>
          </w:p>
          <w:p w14:paraId="5B6D8615">
            <w:pPr>
              <w:pStyle w:val="17"/>
              <w:numPr>
                <w:ilvl w:val="0"/>
                <w:numId w:val="2"/>
              </w:numPr>
            </w:pPr>
            <w:r>
              <w:t>El ST04 recibe confirmación y puede coordinar la respuesta inmediatamente.</w:t>
            </w:r>
          </w:p>
          <w:p w14:paraId="1576ED64">
            <w:pPr>
              <w:pStyle w:val="17"/>
              <w:numPr>
                <w:ilvl w:val="0"/>
                <w:numId w:val="2"/>
              </w:numPr>
            </w:pPr>
            <w:r>
              <w:t>El estado del paciente se actualiza en tiempo real en el panel dinámico.</w:t>
            </w:r>
          </w:p>
          <w:p w14:paraId="79E6CD9D">
            <w:pPr>
              <w:pStyle w:val="17"/>
              <w:numPr>
                <w:ilvl w:val="0"/>
                <w:numId w:val="2"/>
              </w:numPr>
            </w:pPr>
            <w:r>
              <w:t>El médico recibe confirmación de recepción de la derivación por el Sistema de Emergencias.</w:t>
            </w:r>
          </w:p>
        </w:tc>
      </w:tr>
      <w:tr w14:paraId="4A736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511888A">
            <w:r>
              <w:rPr>
                <w:b/>
                <w:bCs/>
              </w:rPr>
              <w:t>Trazabilidad</w:t>
            </w:r>
          </w:p>
        </w:tc>
        <w:tc>
          <w:tcPr>
            <w:tcW w:w="7160" w:type="dxa"/>
            <w:shd w:val="clear" w:color="auto" w:fill="auto"/>
            <w:tcMar>
              <w:top w:w="80" w:type="dxa"/>
              <w:left w:w="120" w:type="dxa"/>
              <w:bottom w:w="80" w:type="dxa"/>
              <w:right w:w="120" w:type="dxa"/>
            </w:tcMar>
          </w:tcPr>
          <w:p w14:paraId="687ABD2B">
            <w:r>
              <w:t>M04-C03, CU: Derivar a emergencia presencial, RF-M4-001, ST02, ST04, Diagrama de Contexto M4</w:t>
            </w:r>
          </w:p>
        </w:tc>
      </w:tr>
    </w:tbl>
    <w:p w14:paraId="640BC83E">
      <w:pPr>
        <w:spacing w:after="100"/>
      </w:pPr>
    </w:p>
    <w:p w14:paraId="3CC4547D">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200"/>
        <w:gridCol w:w="7160"/>
      </w:tblGrid>
      <w:tr w14:paraId="77567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9360" w:type="dxa"/>
            <w:gridSpan w:val="2"/>
            <w:shd w:val="clear" w:color="auto" w:fill="auto"/>
            <w:tcMar>
              <w:top w:w="100" w:type="dxa"/>
              <w:left w:w="120" w:type="dxa"/>
              <w:bottom w:w="100" w:type="dxa"/>
              <w:right w:w="120" w:type="dxa"/>
            </w:tcMar>
          </w:tcPr>
          <w:p w14:paraId="52EA088A">
            <w:pPr>
              <w:jc w:val="center"/>
            </w:pPr>
            <w:r>
              <w:rPr>
                <w:b/>
                <w:bCs/>
              </w:rPr>
              <w:t>RF-16: Rechazo y reasignación de solicitud de emergencia</w:t>
            </w:r>
          </w:p>
        </w:tc>
      </w:tr>
      <w:tr w14:paraId="0385D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BB06281">
            <w:r>
              <w:rPr>
                <w:b/>
                <w:bCs/>
              </w:rPr>
              <w:t>ID</w:t>
            </w:r>
          </w:p>
        </w:tc>
        <w:tc>
          <w:tcPr>
            <w:tcW w:w="7160" w:type="dxa"/>
            <w:shd w:val="clear" w:color="auto" w:fill="auto"/>
            <w:tcMar>
              <w:top w:w="80" w:type="dxa"/>
              <w:left w:w="120" w:type="dxa"/>
              <w:bottom w:w="80" w:type="dxa"/>
              <w:right w:w="120" w:type="dxa"/>
            </w:tcMar>
          </w:tcPr>
          <w:p w14:paraId="48BFDCC8">
            <w:r>
              <w:t>RF-16</w:t>
            </w:r>
          </w:p>
        </w:tc>
      </w:tr>
      <w:tr w14:paraId="6F890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3F98E0E6">
            <w:r>
              <w:rPr>
                <w:b/>
                <w:bCs/>
              </w:rPr>
              <w:t>Nombre</w:t>
            </w:r>
          </w:p>
        </w:tc>
        <w:tc>
          <w:tcPr>
            <w:tcW w:w="7160" w:type="dxa"/>
            <w:shd w:val="clear" w:color="auto" w:fill="auto"/>
            <w:tcMar>
              <w:top w:w="80" w:type="dxa"/>
              <w:left w:w="120" w:type="dxa"/>
              <w:bottom w:w="80" w:type="dxa"/>
              <w:right w:w="120" w:type="dxa"/>
            </w:tcMar>
          </w:tcPr>
          <w:p w14:paraId="66F8BD75">
            <w:r>
              <w:t>Rechazo y reasignación de solicitud de emergencia</w:t>
            </w:r>
          </w:p>
        </w:tc>
      </w:tr>
      <w:tr w14:paraId="4309F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7B2FE91">
            <w:r>
              <w:rPr>
                <w:b/>
                <w:bCs/>
              </w:rPr>
              <w:t>Descripción</w:t>
            </w:r>
          </w:p>
        </w:tc>
        <w:tc>
          <w:tcPr>
            <w:tcW w:w="7160" w:type="dxa"/>
            <w:shd w:val="clear" w:color="auto" w:fill="auto"/>
            <w:tcMar>
              <w:top w:w="80" w:type="dxa"/>
              <w:left w:w="120" w:type="dxa"/>
              <w:bottom w:w="80" w:type="dxa"/>
              <w:right w:w="120" w:type="dxa"/>
            </w:tcMar>
          </w:tcPr>
          <w:p w14:paraId="28DD0B5F">
            <w:r>
              <w:t>El sistema permitirá al médico rechazar una solicitud de emergencia cuando no pueda atenderla, seleccionando un motivo obligatorio. El sistema reasignará automáticamente la solicitud al médico o centro de asistencia (ST04) más idóneo según disponibilidad, especialidad y zona geográfica. Si no hay recurso disponible en 5 minutos, el sistema escalará automáticamente al Centro de Asistencia o Sistema de Emergencias.</w:t>
            </w:r>
          </w:p>
        </w:tc>
      </w:tr>
      <w:tr w14:paraId="2FFE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70642318">
            <w:r>
              <w:rPr>
                <w:b/>
                <w:bCs/>
              </w:rPr>
              <w:t>Prioridad</w:t>
            </w:r>
          </w:p>
        </w:tc>
        <w:tc>
          <w:tcPr>
            <w:tcW w:w="7160" w:type="dxa"/>
            <w:shd w:val="clear" w:color="auto" w:fill="auto"/>
            <w:tcMar>
              <w:top w:w="80" w:type="dxa"/>
              <w:left w:w="120" w:type="dxa"/>
              <w:bottom w:w="80" w:type="dxa"/>
              <w:right w:w="120" w:type="dxa"/>
            </w:tcMar>
          </w:tcPr>
          <w:p w14:paraId="4CA34E46">
            <w:r>
              <w:t>Alta (Must)</w:t>
            </w:r>
          </w:p>
        </w:tc>
      </w:tr>
      <w:tr w14:paraId="22EF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7194F72">
            <w:r>
              <w:rPr>
                <w:b/>
                <w:bCs/>
              </w:rPr>
              <w:t>Precondiciones</w:t>
            </w:r>
          </w:p>
        </w:tc>
        <w:tc>
          <w:tcPr>
            <w:tcW w:w="7160" w:type="dxa"/>
            <w:shd w:val="clear" w:color="auto" w:fill="auto"/>
            <w:tcMar>
              <w:top w:w="80" w:type="dxa"/>
              <w:left w:w="120" w:type="dxa"/>
              <w:bottom w:w="80" w:type="dxa"/>
              <w:right w:w="120" w:type="dxa"/>
            </w:tcMar>
          </w:tcPr>
          <w:p w14:paraId="0109B0A5">
            <w:pPr>
              <w:pStyle w:val="17"/>
              <w:numPr>
                <w:ilvl w:val="0"/>
                <w:numId w:val="1"/>
              </w:numPr>
            </w:pPr>
            <w:r>
              <w:t>Una solicitud de emergencia ha sido asignada al médico.</w:t>
            </w:r>
          </w:p>
          <w:p w14:paraId="6BCA5074">
            <w:pPr>
              <w:pStyle w:val="17"/>
              <w:numPr>
                <w:ilvl w:val="0"/>
                <w:numId w:val="1"/>
              </w:numPr>
            </w:pPr>
            <w:r>
              <w:t>El médico ha determinado que no puede atender la solicitud.</w:t>
            </w:r>
          </w:p>
          <w:p w14:paraId="4B7D59EB">
            <w:pPr>
              <w:pStyle w:val="17"/>
              <w:numPr>
                <w:ilvl w:val="0"/>
                <w:numId w:val="1"/>
              </w:numPr>
            </w:pPr>
            <w:r>
              <w:t>El motor de reasignación está operativo con información de disponibilidad actualizada.</w:t>
            </w:r>
          </w:p>
        </w:tc>
      </w:tr>
      <w:tr w14:paraId="751DE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5478FF91">
            <w:r>
              <w:rPr>
                <w:b/>
                <w:bCs/>
              </w:rPr>
              <w:t>Postcondiciones</w:t>
            </w:r>
          </w:p>
        </w:tc>
        <w:tc>
          <w:tcPr>
            <w:tcW w:w="7160" w:type="dxa"/>
            <w:shd w:val="clear" w:color="auto" w:fill="auto"/>
            <w:tcMar>
              <w:top w:w="80" w:type="dxa"/>
              <w:left w:w="120" w:type="dxa"/>
              <w:bottom w:w="80" w:type="dxa"/>
              <w:right w:w="120" w:type="dxa"/>
            </w:tcMar>
          </w:tcPr>
          <w:p w14:paraId="40F13245">
            <w:pPr>
              <w:pStyle w:val="17"/>
              <w:numPr>
                <w:ilvl w:val="0"/>
                <w:numId w:val="1"/>
              </w:numPr>
            </w:pPr>
            <w:r>
              <w:t>Solicitud rechazada con motivo obligatorio registrado.</w:t>
            </w:r>
          </w:p>
          <w:p w14:paraId="00225DAF">
            <w:pPr>
              <w:pStyle w:val="17"/>
              <w:numPr>
                <w:ilvl w:val="0"/>
                <w:numId w:val="1"/>
              </w:numPr>
            </w:pPr>
            <w:r>
              <w:t>Solicitud reasignada al médico o ST04 más idóneo automáticamente.</w:t>
            </w:r>
          </w:p>
          <w:p w14:paraId="4170A32B">
            <w:pPr>
              <w:pStyle w:val="17"/>
              <w:numPr>
                <w:ilvl w:val="0"/>
                <w:numId w:val="1"/>
              </w:numPr>
            </w:pPr>
            <w:r>
              <w:t>En caso de no disponibilidad en 5 minutos, escalación automática ejecutada.</w:t>
            </w:r>
          </w:p>
          <w:p w14:paraId="193082FD">
            <w:pPr>
              <w:pStyle w:val="17"/>
              <w:numPr>
                <w:ilvl w:val="0"/>
                <w:numId w:val="1"/>
              </w:numPr>
            </w:pPr>
            <w:r>
              <w:t>Todo el proceso de rechazo y reasignación registrado en el log de auditoría.</w:t>
            </w:r>
          </w:p>
        </w:tc>
      </w:tr>
      <w:tr w14:paraId="3D38C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175AE5EE">
            <w:r>
              <w:rPr>
                <w:b/>
                <w:bCs/>
              </w:rPr>
              <w:t xml:space="preserve">Criterios de </w:t>
            </w:r>
            <w:r>
              <w:rPr>
                <w:rFonts w:hint="default"/>
                <w:b/>
                <w:bCs/>
                <w:lang w:val="es-ES"/>
              </w:rPr>
              <w:t>a</w:t>
            </w:r>
            <w:r>
              <w:rPr>
                <w:b/>
                <w:bCs/>
              </w:rPr>
              <w:t>ceptación</w:t>
            </w:r>
          </w:p>
        </w:tc>
        <w:tc>
          <w:tcPr>
            <w:tcW w:w="7160" w:type="dxa"/>
            <w:shd w:val="clear" w:color="auto" w:fill="auto"/>
            <w:tcMar>
              <w:top w:w="80" w:type="dxa"/>
              <w:left w:w="120" w:type="dxa"/>
              <w:bottom w:w="80" w:type="dxa"/>
              <w:right w:w="120" w:type="dxa"/>
            </w:tcMar>
          </w:tcPr>
          <w:p w14:paraId="15339456">
            <w:pPr>
              <w:pStyle w:val="17"/>
              <w:numPr>
                <w:ilvl w:val="0"/>
                <w:numId w:val="2"/>
              </w:numPr>
            </w:pPr>
            <w:r>
              <w:t>El médico debe seleccionar un motivo obligatorio antes de rechazar la solicitud.</w:t>
            </w:r>
          </w:p>
          <w:p w14:paraId="76CE558B">
            <w:pPr>
              <w:pStyle w:val="17"/>
              <w:numPr>
                <w:ilvl w:val="0"/>
                <w:numId w:val="2"/>
              </w:numPr>
            </w:pPr>
            <w:r>
              <w:t>La reasignación automática se completa en menos de 5 minutos.</w:t>
            </w:r>
          </w:p>
          <w:p w14:paraId="64B4BF70">
            <w:pPr>
              <w:pStyle w:val="17"/>
              <w:numPr>
                <w:ilvl w:val="0"/>
                <w:numId w:val="2"/>
              </w:numPr>
            </w:pPr>
            <w:r>
              <w:t>Si no hay médico disponible en 5 minutos, el sistema escala al ST04 o Sistema de Emergencias automáticamente.</w:t>
            </w:r>
          </w:p>
          <w:p w14:paraId="052114F7">
            <w:pPr>
              <w:pStyle w:val="17"/>
              <w:numPr>
                <w:ilvl w:val="0"/>
                <w:numId w:val="2"/>
              </w:numPr>
            </w:pPr>
            <w:r>
              <w:t>El 100% de las reasignaciones se completan dentro del tiempo máximo establecido.</w:t>
            </w:r>
          </w:p>
          <w:p w14:paraId="612E0312">
            <w:pPr>
              <w:pStyle w:val="17"/>
              <w:numPr>
                <w:ilvl w:val="0"/>
                <w:numId w:val="2"/>
              </w:numPr>
            </w:pPr>
            <w:r>
              <w:t>El paciente es notificado del rechazo y la nueva asignación en tiempo real.</w:t>
            </w:r>
          </w:p>
        </w:tc>
      </w:tr>
      <w:tr w14:paraId="28090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200" w:type="dxa"/>
            <w:shd w:val="clear" w:color="auto" w:fill="auto"/>
            <w:tcMar>
              <w:top w:w="80" w:type="dxa"/>
              <w:left w:w="120" w:type="dxa"/>
              <w:bottom w:w="80" w:type="dxa"/>
              <w:right w:w="120" w:type="dxa"/>
            </w:tcMar>
          </w:tcPr>
          <w:p w14:paraId="45D15902">
            <w:r>
              <w:rPr>
                <w:b/>
                <w:bCs/>
              </w:rPr>
              <w:t>Trazabilidad</w:t>
            </w:r>
          </w:p>
        </w:tc>
        <w:tc>
          <w:tcPr>
            <w:tcW w:w="7160" w:type="dxa"/>
            <w:shd w:val="clear" w:color="auto" w:fill="auto"/>
            <w:tcMar>
              <w:top w:w="80" w:type="dxa"/>
              <w:left w:w="120" w:type="dxa"/>
              <w:bottom w:w="80" w:type="dxa"/>
              <w:right w:w="120" w:type="dxa"/>
            </w:tcMar>
          </w:tcPr>
          <w:p w14:paraId="0B5070EE">
            <w:r>
              <w:t>M04-C04, CU: Validar o rechazar sugerencia de IA, RF-M4-001, RF-M2-005, ST01, ST02, ST04, Diagrama de Contexto M4</w:t>
            </w:r>
          </w:p>
        </w:tc>
      </w:tr>
    </w:tbl>
    <w:p w14:paraId="7E5FE23E">
      <w:pPr>
        <w:spacing w:after="100"/>
      </w:pPr>
    </w:p>
    <w:p w14:paraId="642910D4">
      <w:pPr>
        <w:spacing w:after="100"/>
      </w:pPr>
    </w:p>
    <w:p w14:paraId="2FF44B8C">
      <w:pPr>
        <w:spacing w:after="100"/>
      </w:pPr>
    </w:p>
    <w:p w14:paraId="0CFBDECF">
      <w:pPr>
        <w:spacing w:after="100"/>
      </w:pPr>
    </w:p>
    <w:p w14:paraId="3FFFCF08">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00742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16777946">
            <w:pPr>
              <w:jc w:val="center"/>
            </w:pPr>
            <w:r>
              <w:rPr>
                <w:b/>
                <w:bCs/>
              </w:rPr>
              <w:t>RF-</w:t>
            </w:r>
            <w:r>
              <w:rPr>
                <w:rFonts w:hint="default"/>
                <w:b/>
                <w:bCs/>
                <w:lang w:val="es-ES"/>
              </w:rPr>
              <w:t>17</w:t>
            </w:r>
            <w:r>
              <w:rPr>
                <w:b/>
                <w:bCs/>
              </w:rPr>
              <w:t xml:space="preserve">: Cifrado de </w:t>
            </w:r>
            <w:r>
              <w:rPr>
                <w:rFonts w:hint="default"/>
                <w:b/>
                <w:bCs/>
                <w:lang w:val="es-ES"/>
              </w:rPr>
              <w:t>d</w:t>
            </w:r>
            <w:r>
              <w:rPr>
                <w:b/>
                <w:bCs/>
              </w:rPr>
              <w:t xml:space="preserve">atos en </w:t>
            </w:r>
            <w:r>
              <w:rPr>
                <w:rFonts w:hint="default"/>
                <w:b/>
                <w:bCs/>
                <w:lang w:val="es-ES"/>
              </w:rPr>
              <w:t>r</w:t>
            </w:r>
            <w:r>
              <w:rPr>
                <w:b/>
                <w:bCs/>
              </w:rPr>
              <w:t xml:space="preserve">eposo y en </w:t>
            </w:r>
            <w:r>
              <w:rPr>
                <w:rFonts w:hint="default"/>
                <w:b/>
                <w:bCs/>
                <w:lang w:val="es-ES"/>
              </w:rPr>
              <w:t>t</w:t>
            </w:r>
            <w:r>
              <w:rPr>
                <w:b/>
                <w:bCs/>
              </w:rPr>
              <w:t>ránsito</w:t>
            </w:r>
          </w:p>
        </w:tc>
      </w:tr>
      <w:tr w14:paraId="6FA4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312C4A1">
            <w:r>
              <w:rPr>
                <w:b/>
                <w:bCs/>
              </w:rPr>
              <w:t>ID</w:t>
            </w:r>
          </w:p>
        </w:tc>
        <w:tc>
          <w:tcPr>
            <w:tcW w:w="7160" w:type="dxa"/>
            <w:shd w:val="clear" w:color="auto" w:fill="FFFFFF"/>
            <w:tcMar>
              <w:top w:w="80" w:type="dxa"/>
              <w:left w:w="120" w:type="dxa"/>
              <w:bottom w:w="80" w:type="dxa"/>
              <w:right w:w="120" w:type="dxa"/>
            </w:tcMar>
          </w:tcPr>
          <w:p w14:paraId="020E0A11">
            <w:pPr>
              <w:rPr>
                <w:rFonts w:hint="default"/>
                <w:lang w:val="es-ES"/>
              </w:rPr>
            </w:pPr>
            <w:r>
              <w:t>RF-</w:t>
            </w:r>
            <w:r>
              <w:rPr>
                <w:rFonts w:hint="default"/>
                <w:lang w:val="es-ES"/>
              </w:rPr>
              <w:t>17</w:t>
            </w:r>
          </w:p>
        </w:tc>
      </w:tr>
      <w:tr w14:paraId="58912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46FE2E7">
            <w:r>
              <w:rPr>
                <w:b/>
                <w:bCs/>
              </w:rPr>
              <w:t>Nombre</w:t>
            </w:r>
          </w:p>
        </w:tc>
        <w:tc>
          <w:tcPr>
            <w:tcW w:w="7160" w:type="dxa"/>
            <w:shd w:val="clear" w:color="auto" w:fill="FFFFFF"/>
            <w:tcMar>
              <w:top w:w="80" w:type="dxa"/>
              <w:left w:w="120" w:type="dxa"/>
              <w:bottom w:w="80" w:type="dxa"/>
              <w:right w:w="120" w:type="dxa"/>
            </w:tcMar>
          </w:tcPr>
          <w:p w14:paraId="73608311">
            <w:r>
              <w:t>Cifrado de datos en reposo y en tránsito</w:t>
            </w:r>
          </w:p>
        </w:tc>
      </w:tr>
      <w:tr w14:paraId="3F78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41825C6">
            <w:r>
              <w:rPr>
                <w:b/>
                <w:bCs/>
              </w:rPr>
              <w:t>Descripción</w:t>
            </w:r>
          </w:p>
        </w:tc>
        <w:tc>
          <w:tcPr>
            <w:tcW w:w="7160" w:type="dxa"/>
            <w:shd w:val="clear" w:color="auto" w:fill="FFFFFF"/>
            <w:tcMar>
              <w:top w:w="80" w:type="dxa"/>
              <w:left w:w="120" w:type="dxa"/>
              <w:bottom w:w="80" w:type="dxa"/>
              <w:right w:w="120" w:type="dxa"/>
            </w:tcMar>
          </w:tcPr>
          <w:p w14:paraId="3D6DFC64">
            <w:r>
              <w:t>El sistema cifrará todos los datos almacenados con AES-256 en reposo y todas las comunicaciones con TLS 1.3 en tránsito, incluyendo conversaciones del bot, datos biométricos y registros clínicos. Los datos cifrados serán almacenados en la infraestructura Cloud GCP bajo supervisión del DPO (ST06).</w:t>
            </w:r>
          </w:p>
        </w:tc>
      </w:tr>
      <w:tr w14:paraId="29A32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4F6C45A">
            <w:r>
              <w:rPr>
                <w:b/>
                <w:bCs/>
              </w:rPr>
              <w:t>Prioridad</w:t>
            </w:r>
          </w:p>
        </w:tc>
        <w:tc>
          <w:tcPr>
            <w:tcW w:w="7160" w:type="dxa"/>
            <w:shd w:val="clear" w:color="auto" w:fill="FFFFFF"/>
            <w:tcMar>
              <w:top w:w="80" w:type="dxa"/>
              <w:left w:w="120" w:type="dxa"/>
              <w:bottom w:w="80" w:type="dxa"/>
              <w:right w:w="120" w:type="dxa"/>
            </w:tcMar>
          </w:tcPr>
          <w:p w14:paraId="09D774A9">
            <w:r>
              <w:t>Alta (Must)</w:t>
            </w:r>
          </w:p>
        </w:tc>
      </w:tr>
      <w:tr w14:paraId="03F0B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23DAF5D">
            <w:r>
              <w:rPr>
                <w:b/>
                <w:bCs/>
              </w:rPr>
              <w:t>Precondiciones</w:t>
            </w:r>
          </w:p>
        </w:tc>
        <w:tc>
          <w:tcPr>
            <w:tcW w:w="7160" w:type="dxa"/>
            <w:shd w:val="clear" w:color="auto" w:fill="FFFFFF"/>
            <w:tcMar>
              <w:top w:w="80" w:type="dxa"/>
              <w:left w:w="120" w:type="dxa"/>
              <w:bottom w:w="80" w:type="dxa"/>
              <w:right w:w="120" w:type="dxa"/>
            </w:tcMar>
          </w:tcPr>
          <w:p w14:paraId="437D7D11">
            <w:pPr>
              <w:pStyle w:val="17"/>
              <w:numPr>
                <w:ilvl w:val="0"/>
                <w:numId w:val="1"/>
              </w:numPr>
            </w:pPr>
            <w:r>
              <w:t>La infraestructura Cloud GCP está operativa y configurada con almacenamiento seguro.</w:t>
            </w:r>
          </w:p>
          <w:p w14:paraId="4033DFCD">
            <w:pPr>
              <w:pStyle w:val="17"/>
              <w:numPr>
                <w:ilvl w:val="0"/>
                <w:numId w:val="1"/>
              </w:numPr>
            </w:pPr>
            <w:r>
              <w:t>Los certificados TLS 1.3 están instalados y activos en todos los componentes del sistema.</w:t>
            </w:r>
          </w:p>
          <w:p w14:paraId="211D8128">
            <w:pPr>
              <w:pStyle w:val="17"/>
              <w:numPr>
                <w:ilvl w:val="0"/>
                <w:numId w:val="1"/>
              </w:numPr>
            </w:pPr>
            <w:r>
              <w:t>El DPO (ST06) ha supervisado y aprobado la configuración de cifrado.</w:t>
            </w:r>
          </w:p>
        </w:tc>
      </w:tr>
      <w:tr w14:paraId="27881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3FD9419">
            <w:r>
              <w:rPr>
                <w:b/>
                <w:bCs/>
              </w:rPr>
              <w:t>Postcondiciones</w:t>
            </w:r>
          </w:p>
        </w:tc>
        <w:tc>
          <w:tcPr>
            <w:tcW w:w="7160" w:type="dxa"/>
            <w:shd w:val="clear" w:color="auto" w:fill="FFFFFF"/>
            <w:tcMar>
              <w:top w:w="80" w:type="dxa"/>
              <w:left w:w="120" w:type="dxa"/>
              <w:bottom w:w="80" w:type="dxa"/>
              <w:right w:w="120" w:type="dxa"/>
            </w:tcMar>
          </w:tcPr>
          <w:p w14:paraId="72275F9E">
            <w:pPr>
              <w:pStyle w:val="17"/>
              <w:numPr>
                <w:ilvl w:val="0"/>
                <w:numId w:val="1"/>
              </w:numPr>
            </w:pPr>
            <w:r>
              <w:t>Todos los datos almacenados en Cloud GCP están cifrados con AES-256.</w:t>
            </w:r>
          </w:p>
          <w:p w14:paraId="6B8C16C0">
            <w:pPr>
              <w:pStyle w:val="17"/>
              <w:numPr>
                <w:ilvl w:val="0"/>
                <w:numId w:val="1"/>
              </w:numPr>
            </w:pPr>
            <w:r>
              <w:t>Todas las comunicaciones del sistema utilizan TLS 1.3 sin excepción.</w:t>
            </w:r>
          </w:p>
          <w:p w14:paraId="7851A262">
            <w:pPr>
              <w:pStyle w:val="17"/>
              <w:numPr>
                <w:ilvl w:val="0"/>
                <w:numId w:val="1"/>
              </w:numPr>
            </w:pPr>
            <w:r>
              <w:t>Confirmación de almacenamiento seguro disponible para auditoría del DPO (ST06).</w:t>
            </w:r>
          </w:p>
          <w:p w14:paraId="6ECF7353">
            <w:pPr>
              <w:pStyle w:val="17"/>
              <w:numPr>
                <w:ilvl w:val="0"/>
                <w:numId w:val="1"/>
              </w:numPr>
            </w:pPr>
            <w:r>
              <w:t>Configuración de cifrado registrada en el log de auditoría.</w:t>
            </w:r>
          </w:p>
        </w:tc>
      </w:tr>
      <w:tr w14:paraId="5207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BB59E5D">
            <w:r>
              <w:rPr>
                <w:b/>
                <w:bCs/>
              </w:rPr>
              <w:t xml:space="preserve">Criterios de </w:t>
            </w:r>
            <w:r>
              <w:rPr>
                <w:rFonts w:hint="default"/>
                <w:b/>
                <w:bCs/>
                <w:lang w:val="es-ES"/>
              </w:rPr>
              <w:t>a</w:t>
            </w:r>
            <w:r>
              <w:rPr>
                <w:b/>
                <w:bCs/>
              </w:rPr>
              <w:t>ceptación</w:t>
            </w:r>
          </w:p>
        </w:tc>
        <w:tc>
          <w:tcPr>
            <w:tcW w:w="7160" w:type="dxa"/>
            <w:shd w:val="clear" w:color="auto" w:fill="FFFFFF"/>
            <w:tcMar>
              <w:top w:w="80" w:type="dxa"/>
              <w:left w:w="120" w:type="dxa"/>
              <w:bottom w:w="80" w:type="dxa"/>
              <w:right w:w="120" w:type="dxa"/>
            </w:tcMar>
          </w:tcPr>
          <w:p w14:paraId="7189298D">
            <w:pPr>
              <w:pStyle w:val="17"/>
              <w:numPr>
                <w:ilvl w:val="0"/>
                <w:numId w:val="2"/>
              </w:numPr>
            </w:pPr>
            <w:r>
              <w:t>El 100% de los datos en reposo (clínicos, biométricos, conversaciones) están cifrados con AES-256.</w:t>
            </w:r>
          </w:p>
          <w:p w14:paraId="360C0946">
            <w:pPr>
              <w:pStyle w:val="17"/>
              <w:numPr>
                <w:ilvl w:val="0"/>
                <w:numId w:val="2"/>
              </w:numPr>
            </w:pPr>
            <w:r>
              <w:t>El 100% de las comunicaciones utilizan TLS 1.3, sin soporte a versiones inferiores.</w:t>
            </w:r>
          </w:p>
          <w:p w14:paraId="06CC906F">
            <w:pPr>
              <w:pStyle w:val="17"/>
              <w:numPr>
                <w:ilvl w:val="0"/>
                <w:numId w:val="2"/>
              </w:numPr>
            </w:pPr>
            <w:r>
              <w:t>El DPO (ST06) puede verificar en cualquier momento el estado del cifrado.</w:t>
            </w:r>
          </w:p>
          <w:p w14:paraId="70CDA92B">
            <w:pPr>
              <w:pStyle w:val="17"/>
              <w:numPr>
                <w:ilvl w:val="0"/>
                <w:numId w:val="2"/>
              </w:numPr>
            </w:pPr>
            <w:r>
              <w:t>La infraestructura Cloud GCP proporciona confirmación de almacenamiento seguro al sistema.</w:t>
            </w:r>
          </w:p>
          <w:p w14:paraId="1CDFD554">
            <w:pPr>
              <w:pStyle w:val="17"/>
              <w:numPr>
                <w:ilvl w:val="0"/>
                <w:numId w:val="2"/>
              </w:numPr>
            </w:pPr>
            <w:r>
              <w:t>Auditorías semestrales de seguridad realizadas por ST06 no detectan vulnerabilidades críticas.</w:t>
            </w:r>
          </w:p>
        </w:tc>
      </w:tr>
      <w:tr w14:paraId="4D1D1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C1D999A">
            <w:r>
              <w:rPr>
                <w:b/>
                <w:bCs/>
              </w:rPr>
              <w:t>Trazabilidad</w:t>
            </w:r>
          </w:p>
        </w:tc>
        <w:tc>
          <w:tcPr>
            <w:tcW w:w="7160" w:type="dxa"/>
            <w:shd w:val="clear" w:color="auto" w:fill="FFFFFF"/>
            <w:tcMar>
              <w:top w:w="80" w:type="dxa"/>
              <w:left w:w="120" w:type="dxa"/>
              <w:bottom w:w="80" w:type="dxa"/>
              <w:right w:w="120" w:type="dxa"/>
            </w:tcMar>
          </w:tcPr>
          <w:p w14:paraId="669A6B8E">
            <w:r>
              <w:t>M05-C01, CU: Cifrar datos, RF-M1-003, ST05, ST06, Diagrama de Contexto M5</w:t>
            </w:r>
          </w:p>
        </w:tc>
      </w:tr>
    </w:tbl>
    <w:p w14:paraId="6F666795">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1DF32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46A0B2AB">
            <w:pPr>
              <w:jc w:val="center"/>
            </w:pPr>
            <w:r>
              <w:rPr>
                <w:b/>
                <w:bCs/>
              </w:rPr>
              <w:t>RF-</w:t>
            </w:r>
            <w:r>
              <w:rPr>
                <w:rFonts w:hint="default"/>
                <w:b/>
                <w:bCs/>
                <w:lang w:val="es-ES"/>
              </w:rPr>
              <w:t>18</w:t>
            </w:r>
            <w:r>
              <w:rPr>
                <w:b/>
                <w:bCs/>
              </w:rPr>
              <w:t xml:space="preserve">: Registro de </w:t>
            </w:r>
            <w:r>
              <w:rPr>
                <w:rFonts w:hint="default"/>
                <w:b/>
                <w:bCs/>
                <w:lang w:val="es-ES"/>
              </w:rPr>
              <w:t>c</w:t>
            </w:r>
            <w:r>
              <w:rPr>
                <w:b/>
                <w:bCs/>
              </w:rPr>
              <w:t xml:space="preserve">onsentimiento </w:t>
            </w:r>
            <w:r>
              <w:rPr>
                <w:rFonts w:hint="default"/>
                <w:b/>
                <w:bCs/>
                <w:lang w:val="es-ES"/>
              </w:rPr>
              <w:t>e</w:t>
            </w:r>
            <w:r>
              <w:rPr>
                <w:b/>
                <w:bCs/>
              </w:rPr>
              <w:t>xplícito LOPDP</w:t>
            </w:r>
          </w:p>
        </w:tc>
      </w:tr>
      <w:tr w14:paraId="2A162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4415FD6">
            <w:r>
              <w:rPr>
                <w:b/>
                <w:bCs/>
              </w:rPr>
              <w:t>ID</w:t>
            </w:r>
          </w:p>
        </w:tc>
        <w:tc>
          <w:tcPr>
            <w:tcW w:w="7160" w:type="dxa"/>
            <w:shd w:val="clear" w:color="auto" w:fill="FFFFFF"/>
            <w:tcMar>
              <w:top w:w="80" w:type="dxa"/>
              <w:left w:w="120" w:type="dxa"/>
              <w:bottom w:w="80" w:type="dxa"/>
              <w:right w:w="120" w:type="dxa"/>
            </w:tcMar>
          </w:tcPr>
          <w:p w14:paraId="2B0641C7">
            <w:pPr>
              <w:rPr>
                <w:rFonts w:hint="default"/>
                <w:lang w:val="es-ES"/>
              </w:rPr>
            </w:pPr>
            <w:r>
              <w:t>RF-</w:t>
            </w:r>
            <w:r>
              <w:rPr>
                <w:rFonts w:hint="default"/>
                <w:lang w:val="es-ES"/>
              </w:rPr>
              <w:t>18</w:t>
            </w:r>
          </w:p>
        </w:tc>
      </w:tr>
      <w:tr w14:paraId="707B7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F35063F">
            <w:r>
              <w:rPr>
                <w:b/>
                <w:bCs/>
              </w:rPr>
              <w:t>Nombre</w:t>
            </w:r>
          </w:p>
        </w:tc>
        <w:tc>
          <w:tcPr>
            <w:tcW w:w="7160" w:type="dxa"/>
            <w:shd w:val="clear" w:color="auto" w:fill="FFFFFF"/>
            <w:tcMar>
              <w:top w:w="80" w:type="dxa"/>
              <w:left w:w="120" w:type="dxa"/>
              <w:bottom w:w="80" w:type="dxa"/>
              <w:right w:w="120" w:type="dxa"/>
            </w:tcMar>
          </w:tcPr>
          <w:p w14:paraId="203D7342">
            <w:r>
              <w:t>Registro de consentimiento explícito LOPDP</w:t>
            </w:r>
          </w:p>
        </w:tc>
      </w:tr>
      <w:tr w14:paraId="2E794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AEB76E5">
            <w:r>
              <w:rPr>
                <w:b/>
                <w:bCs/>
              </w:rPr>
              <w:t>Descripción</w:t>
            </w:r>
          </w:p>
        </w:tc>
        <w:tc>
          <w:tcPr>
            <w:tcW w:w="7160" w:type="dxa"/>
            <w:shd w:val="clear" w:color="auto" w:fill="FFFFFF"/>
            <w:tcMar>
              <w:top w:w="80" w:type="dxa"/>
              <w:left w:w="120" w:type="dxa"/>
              <w:bottom w:w="80" w:type="dxa"/>
              <w:right w:w="120" w:type="dxa"/>
            </w:tcMar>
          </w:tcPr>
          <w:p w14:paraId="463D086E">
            <w:r>
              <w:t>El sistema registrará el consentimiento explícito del paciente bajo la LOPDP antes de acceder a su historial clínico o usar sus conversaciones con el bot para reentrenamiento de modelos por parte del equipo MLOps (ST07). El sistema enviará al DPO (ST06) los consentimientos registrados y los logs de cumplimiento para supervisión.</w:t>
            </w:r>
          </w:p>
        </w:tc>
      </w:tr>
      <w:tr w14:paraId="36C42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E303D07">
            <w:r>
              <w:rPr>
                <w:b/>
                <w:bCs/>
              </w:rPr>
              <w:t>Prioridad</w:t>
            </w:r>
          </w:p>
        </w:tc>
        <w:tc>
          <w:tcPr>
            <w:tcW w:w="7160" w:type="dxa"/>
            <w:shd w:val="clear" w:color="auto" w:fill="FFFFFF"/>
            <w:tcMar>
              <w:top w:w="80" w:type="dxa"/>
              <w:left w:w="120" w:type="dxa"/>
              <w:bottom w:w="80" w:type="dxa"/>
              <w:right w:w="120" w:type="dxa"/>
            </w:tcMar>
          </w:tcPr>
          <w:p w14:paraId="1BA22723">
            <w:r>
              <w:t>Alta (Must)</w:t>
            </w:r>
          </w:p>
        </w:tc>
      </w:tr>
      <w:tr w14:paraId="09C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EBD1A29">
            <w:r>
              <w:rPr>
                <w:b/>
                <w:bCs/>
              </w:rPr>
              <w:t>Precondiciones</w:t>
            </w:r>
          </w:p>
        </w:tc>
        <w:tc>
          <w:tcPr>
            <w:tcW w:w="7160" w:type="dxa"/>
            <w:shd w:val="clear" w:color="auto" w:fill="FFFFFF"/>
            <w:tcMar>
              <w:top w:w="80" w:type="dxa"/>
              <w:left w:w="120" w:type="dxa"/>
              <w:bottom w:w="80" w:type="dxa"/>
              <w:right w:w="120" w:type="dxa"/>
            </w:tcMar>
          </w:tcPr>
          <w:p w14:paraId="57A168CA">
            <w:pPr>
              <w:pStyle w:val="17"/>
              <w:numPr>
                <w:ilvl w:val="0"/>
                <w:numId w:val="1"/>
              </w:numPr>
            </w:pPr>
            <w:r>
              <w:t>El paciente tiene un perfil activo en el sistema.</w:t>
            </w:r>
          </w:p>
          <w:p w14:paraId="663DFBAD">
            <w:pPr>
              <w:pStyle w:val="17"/>
              <w:numPr>
                <w:ilvl w:val="0"/>
                <w:numId w:val="1"/>
              </w:numPr>
            </w:pPr>
            <w:r>
              <w:t>El formulario de consentimiento LOPDP está disponible y actualizado.</w:t>
            </w:r>
          </w:p>
          <w:p w14:paraId="72ED0412">
            <w:pPr>
              <w:pStyle w:val="17"/>
              <w:numPr>
                <w:ilvl w:val="0"/>
                <w:numId w:val="1"/>
              </w:numPr>
            </w:pPr>
            <w:r>
              <w:t>El DPO (ST06) ha aprobado el texto del consentimiento.</w:t>
            </w:r>
          </w:p>
        </w:tc>
      </w:tr>
      <w:tr w14:paraId="409EE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663CF37">
            <w:r>
              <w:rPr>
                <w:b/>
                <w:bCs/>
              </w:rPr>
              <w:t>Postcondiciones</w:t>
            </w:r>
          </w:p>
        </w:tc>
        <w:tc>
          <w:tcPr>
            <w:tcW w:w="7160" w:type="dxa"/>
            <w:shd w:val="clear" w:color="auto" w:fill="FFFFFF"/>
            <w:tcMar>
              <w:top w:w="80" w:type="dxa"/>
              <w:left w:w="120" w:type="dxa"/>
              <w:bottom w:w="80" w:type="dxa"/>
              <w:right w:w="120" w:type="dxa"/>
            </w:tcMar>
          </w:tcPr>
          <w:p w14:paraId="6E116EB5">
            <w:pPr>
              <w:pStyle w:val="17"/>
              <w:numPr>
                <w:ilvl w:val="0"/>
                <w:numId w:val="1"/>
              </w:numPr>
            </w:pPr>
            <w:r>
              <w:t>Consentimiento explícito del paciente registrado con timestamp y versión del formulario.</w:t>
            </w:r>
          </w:p>
          <w:p w14:paraId="2DD10E2A">
            <w:pPr>
              <w:pStyle w:val="17"/>
              <w:numPr>
                <w:ilvl w:val="0"/>
                <w:numId w:val="1"/>
              </w:numPr>
            </w:pPr>
            <w:r>
              <w:t>Confirmación de consentimiento registrado enviada al paciente.</w:t>
            </w:r>
          </w:p>
          <w:p w14:paraId="48193733">
            <w:pPr>
              <w:pStyle w:val="17"/>
              <w:numPr>
                <w:ilvl w:val="0"/>
                <w:numId w:val="1"/>
              </w:numPr>
            </w:pPr>
            <w:r>
              <w:t>Consentimientos y logs de cumplimiento enviados al DPO (ST06).</w:t>
            </w:r>
          </w:p>
          <w:p w14:paraId="0A67867B">
            <w:pPr>
              <w:pStyle w:val="17"/>
              <w:numPr>
                <w:ilvl w:val="0"/>
                <w:numId w:val="1"/>
              </w:numPr>
            </w:pPr>
            <w:r>
              <w:t>Sin consentimiento, el acceso al historial y el uso de conversaciones para reentrenamiento están bloqueados.</w:t>
            </w:r>
          </w:p>
        </w:tc>
      </w:tr>
      <w:tr w14:paraId="70FA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AF1A08C">
            <w:r>
              <w:rPr>
                <w:b/>
                <w:bCs/>
              </w:rPr>
              <w:t xml:space="preserve">Criterios de </w:t>
            </w:r>
            <w:r>
              <w:rPr>
                <w:rFonts w:hint="default"/>
                <w:b/>
                <w:bCs/>
                <w:lang w:val="es-ES"/>
              </w:rPr>
              <w:t>a</w:t>
            </w:r>
            <w:r>
              <w:rPr>
                <w:b/>
                <w:bCs/>
              </w:rPr>
              <w:t>ceptación</w:t>
            </w:r>
          </w:p>
        </w:tc>
        <w:tc>
          <w:tcPr>
            <w:tcW w:w="7160" w:type="dxa"/>
            <w:shd w:val="clear" w:color="auto" w:fill="FFFFFF"/>
            <w:tcMar>
              <w:top w:w="80" w:type="dxa"/>
              <w:left w:w="120" w:type="dxa"/>
              <w:bottom w:w="80" w:type="dxa"/>
              <w:right w:w="120" w:type="dxa"/>
            </w:tcMar>
          </w:tcPr>
          <w:p w14:paraId="12A8DDEC">
            <w:pPr>
              <w:pStyle w:val="17"/>
              <w:numPr>
                <w:ilvl w:val="0"/>
                <w:numId w:val="2"/>
              </w:numPr>
            </w:pPr>
            <w:r>
              <w:t>El sistema bloquea el acceso al historial clínico si el consentimiento LOPDP no ha sido otorgado.</w:t>
            </w:r>
          </w:p>
          <w:p w14:paraId="73567003">
            <w:pPr>
              <w:pStyle w:val="17"/>
              <w:numPr>
                <w:ilvl w:val="0"/>
                <w:numId w:val="2"/>
              </w:numPr>
            </w:pPr>
            <w:r>
              <w:t>El consentimiento para reentrenamiento de modelos es independiente y puede ser revocado por el paciente.</w:t>
            </w:r>
          </w:p>
          <w:p w14:paraId="561415A7">
            <w:pPr>
              <w:pStyle w:val="17"/>
              <w:numPr>
                <w:ilvl w:val="0"/>
                <w:numId w:val="2"/>
              </w:numPr>
            </w:pPr>
            <w:r>
              <w:t>El DPO (ST06) recibe los consentimientos registrados en tiempo real.</w:t>
            </w:r>
          </w:p>
          <w:p w14:paraId="5B8F9D87">
            <w:pPr>
              <w:pStyle w:val="17"/>
              <w:numPr>
                <w:ilvl w:val="0"/>
                <w:numId w:val="2"/>
              </w:numPr>
            </w:pPr>
            <w:r>
              <w:t>El registro de consentimiento incluye timestamp, versión del formulario y canal de aceptación.</w:t>
            </w:r>
          </w:p>
          <w:p w14:paraId="2F9B3988">
            <w:pPr>
              <w:pStyle w:val="17"/>
              <w:numPr>
                <w:ilvl w:val="0"/>
                <w:numId w:val="2"/>
              </w:numPr>
            </w:pPr>
            <w:r>
              <w:t>El sistema permite al paciente consultar y revocar sus consentimientos en cualquier momento.</w:t>
            </w:r>
          </w:p>
        </w:tc>
      </w:tr>
      <w:tr w14:paraId="5219D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64CB7EF9">
            <w:r>
              <w:rPr>
                <w:b/>
                <w:bCs/>
              </w:rPr>
              <w:t>Trazabilidad</w:t>
            </w:r>
          </w:p>
        </w:tc>
        <w:tc>
          <w:tcPr>
            <w:tcW w:w="7160" w:type="dxa"/>
            <w:shd w:val="clear" w:color="auto" w:fill="FFFFFF"/>
            <w:tcMar>
              <w:top w:w="80" w:type="dxa"/>
              <w:left w:w="120" w:type="dxa"/>
              <w:bottom w:w="80" w:type="dxa"/>
              <w:right w:w="120" w:type="dxa"/>
            </w:tcMar>
          </w:tcPr>
          <w:p w14:paraId="6DD2FBFB">
            <w:r>
              <w:t>M05-C02, CU: Registrar consentimiento LOPDP, RF-M1-001, RF-M5-001, ST01, ST06, ST07, Diagrama de Contexto M5</w:t>
            </w:r>
          </w:p>
        </w:tc>
      </w:tr>
    </w:tbl>
    <w:p w14:paraId="4377DBA4">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E492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6831EC75">
            <w:pPr>
              <w:jc w:val="center"/>
            </w:pPr>
            <w:r>
              <w:rPr>
                <w:b/>
                <w:bCs/>
              </w:rPr>
              <w:t>RF-</w:t>
            </w:r>
            <w:r>
              <w:rPr>
                <w:rFonts w:hint="default"/>
                <w:b/>
                <w:bCs/>
                <w:lang w:val="es-ES"/>
              </w:rPr>
              <w:t>19</w:t>
            </w:r>
            <w:r>
              <w:rPr>
                <w:b/>
                <w:bCs/>
              </w:rPr>
              <w:t xml:space="preserve">: Repositorio </w:t>
            </w:r>
            <w:r>
              <w:rPr>
                <w:rFonts w:hint="default"/>
                <w:b/>
                <w:bCs/>
                <w:lang w:val="es-ES"/>
              </w:rPr>
              <w:t>c</w:t>
            </w:r>
            <w:r>
              <w:rPr>
                <w:b/>
                <w:bCs/>
              </w:rPr>
              <w:t xml:space="preserve">entralizado </w:t>
            </w:r>
            <w:r>
              <w:rPr>
                <w:rFonts w:hint="default"/>
                <w:b/>
                <w:bCs/>
                <w:lang w:val="es-ES"/>
              </w:rPr>
              <w:t>p</w:t>
            </w:r>
            <w:r>
              <w:rPr>
                <w:b/>
                <w:bCs/>
              </w:rPr>
              <w:t>ersistente</w:t>
            </w:r>
          </w:p>
        </w:tc>
      </w:tr>
      <w:tr w14:paraId="14BF3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36ADA12D">
            <w:r>
              <w:rPr>
                <w:b/>
                <w:bCs/>
              </w:rPr>
              <w:t>ID</w:t>
            </w:r>
          </w:p>
        </w:tc>
        <w:tc>
          <w:tcPr>
            <w:tcW w:w="7160" w:type="dxa"/>
            <w:shd w:val="clear" w:color="auto" w:fill="FFFFFF"/>
            <w:tcMar>
              <w:top w:w="80" w:type="dxa"/>
              <w:left w:w="120" w:type="dxa"/>
              <w:bottom w:w="80" w:type="dxa"/>
              <w:right w:w="120" w:type="dxa"/>
            </w:tcMar>
          </w:tcPr>
          <w:p w14:paraId="3E0D0680">
            <w:pPr>
              <w:rPr>
                <w:rFonts w:hint="default"/>
                <w:lang w:val="es-ES"/>
              </w:rPr>
            </w:pPr>
            <w:r>
              <w:t>RF-</w:t>
            </w:r>
            <w:r>
              <w:rPr>
                <w:rFonts w:hint="default"/>
                <w:lang w:val="es-ES"/>
              </w:rPr>
              <w:t>19</w:t>
            </w:r>
          </w:p>
        </w:tc>
      </w:tr>
      <w:tr w14:paraId="37640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7A58CFF">
            <w:r>
              <w:rPr>
                <w:b/>
                <w:bCs/>
              </w:rPr>
              <w:t>Nombre</w:t>
            </w:r>
          </w:p>
        </w:tc>
        <w:tc>
          <w:tcPr>
            <w:tcW w:w="7160" w:type="dxa"/>
            <w:shd w:val="clear" w:color="auto" w:fill="FFFFFF"/>
            <w:tcMar>
              <w:top w:w="80" w:type="dxa"/>
              <w:left w:w="120" w:type="dxa"/>
              <w:bottom w:w="80" w:type="dxa"/>
              <w:right w:w="120" w:type="dxa"/>
            </w:tcMar>
          </w:tcPr>
          <w:p w14:paraId="751EBDCB">
            <w:r>
              <w:t>Repositorio centralizado persistente</w:t>
            </w:r>
          </w:p>
        </w:tc>
      </w:tr>
      <w:tr w14:paraId="38D2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35C98DC">
            <w:r>
              <w:rPr>
                <w:b/>
                <w:bCs/>
              </w:rPr>
              <w:t>Descripción</w:t>
            </w:r>
          </w:p>
        </w:tc>
        <w:tc>
          <w:tcPr>
            <w:tcW w:w="7160" w:type="dxa"/>
            <w:shd w:val="clear" w:color="auto" w:fill="FFFFFF"/>
            <w:tcMar>
              <w:top w:w="80" w:type="dxa"/>
              <w:left w:w="120" w:type="dxa"/>
              <w:bottom w:w="80" w:type="dxa"/>
              <w:right w:w="120" w:type="dxa"/>
            </w:tcMar>
          </w:tcPr>
          <w:p w14:paraId="6260DB87">
            <w:r>
              <w:t>El sistema almacenará de forma persistente el historial clínico, solicitudes y conversaciones con el bot en un repositorio centralizado en la infraestructura Cloud GCP, con retención mínima de 5 años. El repositorio recibirá datos cifrados AES-256 del sistema y proporcionará la infraestructura de almacenamiento seguro.</w:t>
            </w:r>
          </w:p>
        </w:tc>
      </w:tr>
      <w:tr w14:paraId="64B3A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801F772">
            <w:r>
              <w:rPr>
                <w:b/>
                <w:bCs/>
              </w:rPr>
              <w:t>Prioridad</w:t>
            </w:r>
          </w:p>
        </w:tc>
        <w:tc>
          <w:tcPr>
            <w:tcW w:w="7160" w:type="dxa"/>
            <w:shd w:val="clear" w:color="auto" w:fill="FFFFFF"/>
            <w:tcMar>
              <w:top w:w="80" w:type="dxa"/>
              <w:left w:w="120" w:type="dxa"/>
              <w:bottom w:w="80" w:type="dxa"/>
              <w:right w:w="120" w:type="dxa"/>
            </w:tcMar>
          </w:tcPr>
          <w:p w14:paraId="4E7E774D">
            <w:r>
              <w:t>Alta (Must)</w:t>
            </w:r>
          </w:p>
        </w:tc>
      </w:tr>
      <w:tr w14:paraId="112F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B6FF142">
            <w:r>
              <w:rPr>
                <w:b/>
                <w:bCs/>
              </w:rPr>
              <w:t>Precondiciones</w:t>
            </w:r>
          </w:p>
        </w:tc>
        <w:tc>
          <w:tcPr>
            <w:tcW w:w="7160" w:type="dxa"/>
            <w:shd w:val="clear" w:color="auto" w:fill="FFFFFF"/>
            <w:tcMar>
              <w:top w:w="80" w:type="dxa"/>
              <w:left w:w="120" w:type="dxa"/>
              <w:bottom w:w="80" w:type="dxa"/>
              <w:right w:w="120" w:type="dxa"/>
            </w:tcMar>
          </w:tcPr>
          <w:p w14:paraId="70874CFC">
            <w:pPr>
              <w:pStyle w:val="17"/>
              <w:numPr>
                <w:ilvl w:val="0"/>
                <w:numId w:val="1"/>
              </w:numPr>
            </w:pPr>
            <w:r>
              <w:t>La infraestructura Cloud GCP está configurada con políticas de retención de 5 años mínimo.</w:t>
            </w:r>
          </w:p>
          <w:p w14:paraId="11A161DA">
            <w:pPr>
              <w:pStyle w:val="17"/>
              <w:numPr>
                <w:ilvl w:val="0"/>
                <w:numId w:val="1"/>
              </w:numPr>
            </w:pPr>
            <w:r>
              <w:t>El cifrado AES-256 está activo para todos los datos enviados al repositorio.</w:t>
            </w:r>
          </w:p>
          <w:p w14:paraId="773396DF">
            <w:pPr>
              <w:pStyle w:val="17"/>
              <w:numPr>
                <w:ilvl w:val="0"/>
                <w:numId w:val="1"/>
              </w:numPr>
            </w:pPr>
            <w:r>
              <w:t>El DPO (ST06) ha aprobado las políticas de retención y acceso.</w:t>
            </w:r>
          </w:p>
        </w:tc>
      </w:tr>
      <w:tr w14:paraId="43AFF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7014A11">
            <w:r>
              <w:rPr>
                <w:b/>
                <w:bCs/>
              </w:rPr>
              <w:t>Postcondiciones</w:t>
            </w:r>
          </w:p>
        </w:tc>
        <w:tc>
          <w:tcPr>
            <w:tcW w:w="7160" w:type="dxa"/>
            <w:shd w:val="clear" w:color="auto" w:fill="FFFFFF"/>
            <w:tcMar>
              <w:top w:w="80" w:type="dxa"/>
              <w:left w:w="120" w:type="dxa"/>
              <w:bottom w:w="80" w:type="dxa"/>
              <w:right w:w="120" w:type="dxa"/>
            </w:tcMar>
          </w:tcPr>
          <w:p w14:paraId="078358BA">
            <w:pPr>
              <w:pStyle w:val="17"/>
              <w:numPr>
                <w:ilvl w:val="0"/>
                <w:numId w:val="1"/>
              </w:numPr>
            </w:pPr>
            <w:r>
              <w:t>Todos los datos clínicos, solicitudes y conversaciones almacenados con retención mínima de 5 años.</w:t>
            </w:r>
          </w:p>
          <w:p w14:paraId="54EF966F">
            <w:pPr>
              <w:pStyle w:val="17"/>
              <w:numPr>
                <w:ilvl w:val="0"/>
                <w:numId w:val="1"/>
              </w:numPr>
            </w:pPr>
            <w:r>
              <w:t>Datos accesibles para consulta del MSP (ST05) y DPO (ST06) en cualquier momento.</w:t>
            </w:r>
          </w:p>
          <w:p w14:paraId="066B0961">
            <w:pPr>
              <w:pStyle w:val="17"/>
              <w:numPr>
                <w:ilvl w:val="0"/>
                <w:numId w:val="1"/>
              </w:numPr>
            </w:pPr>
            <w:r>
              <w:t>Backups automáticos diarios ejecutados con RPO máximo de 24 horas.</w:t>
            </w:r>
          </w:p>
          <w:p w14:paraId="535374AD">
            <w:pPr>
              <w:pStyle w:val="17"/>
              <w:numPr>
                <w:ilvl w:val="0"/>
                <w:numId w:val="1"/>
              </w:numPr>
            </w:pPr>
            <w:r>
              <w:t>Capacidad de recuperación ante fallos con RTO máximo de 4 horas.</w:t>
            </w:r>
          </w:p>
        </w:tc>
      </w:tr>
      <w:tr w14:paraId="6F0F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FD68795">
            <w:r>
              <w:rPr>
                <w:b/>
                <w:bCs/>
              </w:rPr>
              <w:t xml:space="preserve">Criterios de </w:t>
            </w:r>
            <w:r>
              <w:rPr>
                <w:rFonts w:hint="default"/>
                <w:b/>
                <w:bCs/>
                <w:lang w:val="es-ES"/>
              </w:rPr>
              <w:t>a</w:t>
            </w:r>
            <w:r>
              <w:rPr>
                <w:b/>
                <w:bCs/>
              </w:rPr>
              <w:t>ceptación</w:t>
            </w:r>
          </w:p>
        </w:tc>
        <w:tc>
          <w:tcPr>
            <w:tcW w:w="7160" w:type="dxa"/>
            <w:shd w:val="clear" w:color="auto" w:fill="FFFFFF"/>
            <w:tcMar>
              <w:top w:w="80" w:type="dxa"/>
              <w:left w:w="120" w:type="dxa"/>
              <w:bottom w:w="80" w:type="dxa"/>
              <w:right w:w="120" w:type="dxa"/>
            </w:tcMar>
          </w:tcPr>
          <w:p w14:paraId="741C38E4">
            <w:pPr>
              <w:pStyle w:val="17"/>
              <w:numPr>
                <w:ilvl w:val="0"/>
                <w:numId w:val="2"/>
              </w:numPr>
            </w:pPr>
            <w:r>
              <w:t>El 100% de los datos clínicos y conversaciones son almacenados con retención mínima de 5 años.</w:t>
            </w:r>
          </w:p>
          <w:p w14:paraId="79BF73E4">
            <w:pPr>
              <w:pStyle w:val="17"/>
              <w:numPr>
                <w:ilvl w:val="0"/>
                <w:numId w:val="2"/>
              </w:numPr>
            </w:pPr>
            <w:r>
              <w:t>Los backups automáticos diarios se ejecutan sin intervención manual.</w:t>
            </w:r>
          </w:p>
          <w:p w14:paraId="40CDF5C7">
            <w:pPr>
              <w:pStyle w:val="17"/>
              <w:numPr>
                <w:ilvl w:val="0"/>
                <w:numId w:val="2"/>
              </w:numPr>
            </w:pPr>
            <w:r>
              <w:t>El RTO es menor o igual a 4 horas y el RPO menor o igual a 24 horas.</w:t>
            </w:r>
          </w:p>
          <w:p w14:paraId="385AA830">
            <w:pPr>
              <w:pStyle w:val="17"/>
              <w:numPr>
                <w:ilvl w:val="0"/>
                <w:numId w:val="2"/>
              </w:numPr>
            </w:pPr>
            <w:r>
              <w:t>El MSP (ST05) y DPO (ST06) tienen acceso controlado al repositorio para auditorías.</w:t>
            </w:r>
          </w:p>
          <w:p w14:paraId="08F30B90">
            <w:pPr>
              <w:pStyle w:val="17"/>
              <w:numPr>
                <w:ilvl w:val="0"/>
                <w:numId w:val="2"/>
              </w:numPr>
            </w:pPr>
            <w:r>
              <w:t>La infraestructura Cloud GCP garantiza disponibilidad mínima del 99.5% para el repositorio.</w:t>
            </w:r>
          </w:p>
        </w:tc>
      </w:tr>
      <w:tr w14:paraId="4537B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388E7FE2">
            <w:r>
              <w:rPr>
                <w:b/>
                <w:bCs/>
              </w:rPr>
              <w:t>Trazabilidad</w:t>
            </w:r>
          </w:p>
        </w:tc>
        <w:tc>
          <w:tcPr>
            <w:tcW w:w="7160" w:type="dxa"/>
            <w:shd w:val="clear" w:color="auto" w:fill="FFFFFF"/>
            <w:tcMar>
              <w:top w:w="80" w:type="dxa"/>
              <w:left w:w="120" w:type="dxa"/>
              <w:bottom w:w="80" w:type="dxa"/>
              <w:right w:w="120" w:type="dxa"/>
            </w:tcMar>
          </w:tcPr>
          <w:p w14:paraId="4DCCCF40">
            <w:r>
              <w:t>M05-C03, CU: Almacenar en repositorio centralizado, RF-M5-001, RF-M5-002, ST05, ST06, Diagrama de Contexto M5</w:t>
            </w:r>
          </w:p>
        </w:tc>
      </w:tr>
    </w:tbl>
    <w:tbl>
      <w:tblPr>
        <w:tblStyle w:val="9"/>
        <w:tblpPr w:leftFromText="180" w:rightFromText="180" w:vertAnchor="text" w:horzAnchor="page" w:tblpX="1257" w:tblpY="312"/>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91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41F8FB53">
            <w:pPr>
              <w:jc w:val="center"/>
            </w:pPr>
            <w:r>
              <w:rPr>
                <w:b/>
                <w:bCs/>
              </w:rPr>
              <w:t>RF-</w:t>
            </w:r>
            <w:r>
              <w:rPr>
                <w:rFonts w:hint="default"/>
                <w:b/>
                <w:bCs/>
                <w:lang w:val="es-ES"/>
              </w:rPr>
              <w:t>20</w:t>
            </w:r>
            <w:r>
              <w:rPr>
                <w:b/>
                <w:bCs/>
              </w:rPr>
              <w:t>: Logs de Auditoría Inmutables con Hash Criptográfico</w:t>
            </w:r>
          </w:p>
        </w:tc>
      </w:tr>
      <w:tr w14:paraId="3FFD3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10E6BD5">
            <w:r>
              <w:rPr>
                <w:b/>
                <w:bCs/>
              </w:rPr>
              <w:t>ID</w:t>
            </w:r>
          </w:p>
        </w:tc>
        <w:tc>
          <w:tcPr>
            <w:tcW w:w="7160" w:type="dxa"/>
            <w:shd w:val="clear" w:color="auto" w:fill="FFFFFF"/>
            <w:tcMar>
              <w:top w:w="80" w:type="dxa"/>
              <w:left w:w="120" w:type="dxa"/>
              <w:bottom w:w="80" w:type="dxa"/>
              <w:right w:w="120" w:type="dxa"/>
            </w:tcMar>
          </w:tcPr>
          <w:p w14:paraId="3421EB34">
            <w:pPr>
              <w:rPr>
                <w:rFonts w:hint="default"/>
                <w:lang w:val="es-ES"/>
              </w:rPr>
            </w:pPr>
            <w:r>
              <w:t>RF-</w:t>
            </w:r>
            <w:r>
              <w:rPr>
                <w:rFonts w:hint="default"/>
                <w:lang w:val="es-ES"/>
              </w:rPr>
              <w:t>20</w:t>
            </w:r>
          </w:p>
        </w:tc>
      </w:tr>
      <w:tr w14:paraId="641DA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8D449E6">
            <w:r>
              <w:rPr>
                <w:b/>
                <w:bCs/>
              </w:rPr>
              <w:t>Nombre</w:t>
            </w:r>
          </w:p>
        </w:tc>
        <w:tc>
          <w:tcPr>
            <w:tcW w:w="7160" w:type="dxa"/>
            <w:shd w:val="clear" w:color="auto" w:fill="FFFFFF"/>
            <w:tcMar>
              <w:top w:w="80" w:type="dxa"/>
              <w:left w:w="120" w:type="dxa"/>
              <w:bottom w:w="80" w:type="dxa"/>
              <w:right w:w="120" w:type="dxa"/>
            </w:tcMar>
          </w:tcPr>
          <w:p w14:paraId="208EF155">
            <w:r>
              <w:t>Logs de auditoría inmutables con hash criptográfico</w:t>
            </w:r>
          </w:p>
        </w:tc>
      </w:tr>
      <w:tr w14:paraId="444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6A11B55">
            <w:r>
              <w:rPr>
                <w:b/>
                <w:bCs/>
              </w:rPr>
              <w:t>Descripción</w:t>
            </w:r>
          </w:p>
        </w:tc>
        <w:tc>
          <w:tcPr>
            <w:tcW w:w="7160" w:type="dxa"/>
            <w:shd w:val="clear" w:color="auto" w:fill="FFFFFF"/>
            <w:tcMar>
              <w:top w:w="80" w:type="dxa"/>
              <w:left w:w="120" w:type="dxa"/>
              <w:bottom w:w="80" w:type="dxa"/>
              <w:right w:w="120" w:type="dxa"/>
            </w:tcMar>
          </w:tcPr>
          <w:p w14:paraId="3F7370CA">
            <w:r>
              <w:t>El sistema generará registros de auditoría inmutables con verificación criptográfica que incluyan decisiones de Med-Gemini (con versión del modelo, nivel de confianza, inputs y outputs), conversaciones con el bot y acciones del personal médico. Los logs serán exportados al MSP (ST05) para inspección regulatoria y las métricas de precisión y versiones del modelo estarán disponibles para el equipo MLOps (ST07).</w:t>
            </w:r>
          </w:p>
        </w:tc>
      </w:tr>
      <w:tr w14:paraId="4209C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2AE9C9A">
            <w:r>
              <w:rPr>
                <w:b/>
                <w:bCs/>
              </w:rPr>
              <w:t>Prioridad</w:t>
            </w:r>
          </w:p>
        </w:tc>
        <w:tc>
          <w:tcPr>
            <w:tcW w:w="7160" w:type="dxa"/>
            <w:shd w:val="clear" w:color="auto" w:fill="FFFFFF"/>
            <w:tcMar>
              <w:top w:w="80" w:type="dxa"/>
              <w:left w:w="120" w:type="dxa"/>
              <w:bottom w:w="80" w:type="dxa"/>
              <w:right w:w="120" w:type="dxa"/>
            </w:tcMar>
          </w:tcPr>
          <w:p w14:paraId="1430B977">
            <w:r>
              <w:t>Alta (Must)</w:t>
            </w:r>
          </w:p>
        </w:tc>
      </w:tr>
      <w:tr w14:paraId="3EA18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604AEBCC">
            <w:r>
              <w:rPr>
                <w:b/>
                <w:bCs/>
              </w:rPr>
              <w:t>Precondiciones</w:t>
            </w:r>
          </w:p>
        </w:tc>
        <w:tc>
          <w:tcPr>
            <w:tcW w:w="7160" w:type="dxa"/>
            <w:shd w:val="clear" w:color="auto" w:fill="FFFFFF"/>
            <w:tcMar>
              <w:top w:w="80" w:type="dxa"/>
              <w:left w:w="120" w:type="dxa"/>
              <w:bottom w:w="80" w:type="dxa"/>
              <w:right w:w="120" w:type="dxa"/>
            </w:tcMar>
          </w:tcPr>
          <w:p w14:paraId="0FCDA588">
            <w:pPr>
              <w:pStyle w:val="17"/>
              <w:numPr>
                <w:ilvl w:val="0"/>
                <w:numId w:val="1"/>
              </w:numPr>
            </w:pPr>
            <w:r>
              <w:t>El sistema está operativo y generando eventos auditables.</w:t>
            </w:r>
          </w:p>
          <w:p w14:paraId="35003FD0">
            <w:pPr>
              <w:pStyle w:val="17"/>
              <w:numPr>
                <w:ilvl w:val="0"/>
                <w:numId w:val="1"/>
              </w:numPr>
            </w:pPr>
            <w:r>
              <w:t>La infraestructura de almacenamiento de logs en Cloud GCP está activa.</w:t>
            </w:r>
          </w:p>
          <w:p w14:paraId="362D5FD4">
            <w:pPr>
              <w:pStyle w:val="17"/>
              <w:numPr>
                <w:ilvl w:val="0"/>
                <w:numId w:val="1"/>
              </w:numPr>
            </w:pPr>
            <w:r>
              <w:t>El MSP (ST05) tiene acceso configurado para inspección de logs.</w:t>
            </w:r>
          </w:p>
        </w:tc>
      </w:tr>
      <w:tr w14:paraId="3C141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7145F9E">
            <w:r>
              <w:rPr>
                <w:b/>
                <w:bCs/>
              </w:rPr>
              <w:t>Postcondiciones</w:t>
            </w:r>
          </w:p>
        </w:tc>
        <w:tc>
          <w:tcPr>
            <w:tcW w:w="7160" w:type="dxa"/>
            <w:shd w:val="clear" w:color="auto" w:fill="FFFFFF"/>
            <w:tcMar>
              <w:top w:w="80" w:type="dxa"/>
              <w:left w:w="120" w:type="dxa"/>
              <w:bottom w:w="80" w:type="dxa"/>
              <w:right w:w="120" w:type="dxa"/>
            </w:tcMar>
          </w:tcPr>
          <w:p w14:paraId="160865AE">
            <w:pPr>
              <w:pStyle w:val="17"/>
              <w:numPr>
                <w:ilvl w:val="0"/>
                <w:numId w:val="1"/>
              </w:numPr>
            </w:pPr>
            <w:r>
              <w:t>Registros inmutables generados para cada evento del sistema.</w:t>
            </w:r>
          </w:p>
          <w:p w14:paraId="25831FF3">
            <w:pPr>
              <w:pStyle w:val="17"/>
              <w:numPr>
                <w:ilvl w:val="0"/>
                <w:numId w:val="1"/>
              </w:numPr>
            </w:pPr>
            <w:r>
              <w:t>Informes de auditoría exportados y disponibles para el MSP (ST05).</w:t>
            </w:r>
          </w:p>
          <w:p w14:paraId="0F3E6D6A">
            <w:pPr>
              <w:pStyle w:val="17"/>
              <w:numPr>
                <w:ilvl w:val="0"/>
                <w:numId w:val="1"/>
              </w:numPr>
            </w:pPr>
            <w:r>
              <w:t>Métricas de precisión y versiones de Med-Gemini disponibles para ST07.</w:t>
            </w:r>
          </w:p>
          <w:p w14:paraId="697F2510">
            <w:pPr>
              <w:pStyle w:val="17"/>
              <w:numPr>
                <w:ilvl w:val="0"/>
                <w:numId w:val="1"/>
              </w:numPr>
            </w:pPr>
            <w:r>
              <w:t>Auditorías semestrales de equidad de Med-Gemini ejecutadas por ST07 con supervisión del ST06.</w:t>
            </w:r>
          </w:p>
        </w:tc>
      </w:tr>
      <w:tr w14:paraId="3831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339F2898">
            <w:r>
              <w:rPr>
                <w:b/>
                <w:bCs/>
              </w:rPr>
              <w:t xml:space="preserve">Criterios de </w:t>
            </w:r>
            <w:r>
              <w:rPr>
                <w:rFonts w:hint="default"/>
                <w:b/>
                <w:bCs/>
                <w:lang w:val="es-ES"/>
              </w:rPr>
              <w:t>a</w:t>
            </w:r>
            <w:r>
              <w:rPr>
                <w:b/>
                <w:bCs/>
              </w:rPr>
              <w:t>ceptación</w:t>
            </w:r>
          </w:p>
        </w:tc>
        <w:tc>
          <w:tcPr>
            <w:tcW w:w="7160" w:type="dxa"/>
            <w:shd w:val="clear" w:color="auto" w:fill="FFFFFF"/>
            <w:tcMar>
              <w:top w:w="80" w:type="dxa"/>
              <w:left w:w="120" w:type="dxa"/>
              <w:bottom w:w="80" w:type="dxa"/>
              <w:right w:w="120" w:type="dxa"/>
            </w:tcMar>
          </w:tcPr>
          <w:p w14:paraId="44750A7E">
            <w:pPr>
              <w:pStyle w:val="17"/>
              <w:numPr>
                <w:ilvl w:val="0"/>
                <w:numId w:val="2"/>
              </w:numPr>
            </w:pPr>
            <w:r>
              <w:t>El 100% de las decisiones de Med-Gemini están registradas con versión del modelo, confianza, inputs y outputs.</w:t>
            </w:r>
          </w:p>
          <w:p w14:paraId="12B3DED8">
            <w:pPr>
              <w:pStyle w:val="17"/>
              <w:numPr>
                <w:ilvl w:val="0"/>
                <w:numId w:val="2"/>
              </w:numPr>
            </w:pPr>
            <w:r>
              <w:t>Los logs son inmutables: no pueden ser modificados ni eliminados una vez generados.</w:t>
            </w:r>
          </w:p>
          <w:p w14:paraId="50A282B6">
            <w:pPr>
              <w:pStyle w:val="17"/>
              <w:numPr>
                <w:ilvl w:val="0"/>
                <w:numId w:val="2"/>
              </w:numPr>
            </w:pPr>
            <w:r>
              <w:t>El sistema permite verificar la integridad de cada registro en cualquier momento.</w:t>
            </w:r>
          </w:p>
          <w:p w14:paraId="4F509F44">
            <w:pPr>
              <w:pStyle w:val="17"/>
              <w:numPr>
                <w:ilvl w:val="0"/>
                <w:numId w:val="2"/>
              </w:numPr>
            </w:pPr>
            <w:r>
              <w:t>El MSP (ST05) puede acceder y exportar los informes de auditoría sin intervención del equipo.</w:t>
            </w:r>
          </w:p>
          <w:p w14:paraId="77D6CC16">
            <w:pPr>
              <w:pStyle w:val="17"/>
              <w:numPr>
                <w:ilvl w:val="0"/>
                <w:numId w:val="2"/>
              </w:numPr>
            </w:pPr>
            <w:r>
              <w:t>Las auditorías semestrales de equidad de Med-Gemini no detectan sesgos críticos.</w:t>
            </w:r>
          </w:p>
        </w:tc>
      </w:tr>
      <w:tr w14:paraId="77C08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3805AD02">
            <w:r>
              <w:rPr>
                <w:b/>
                <w:bCs/>
              </w:rPr>
              <w:t>Trazabilidad</w:t>
            </w:r>
          </w:p>
        </w:tc>
        <w:tc>
          <w:tcPr>
            <w:tcW w:w="7160" w:type="dxa"/>
            <w:shd w:val="clear" w:color="auto" w:fill="FFFFFF"/>
            <w:tcMar>
              <w:top w:w="80" w:type="dxa"/>
              <w:left w:w="120" w:type="dxa"/>
              <w:bottom w:w="80" w:type="dxa"/>
              <w:right w:w="120" w:type="dxa"/>
            </w:tcMar>
          </w:tcPr>
          <w:p w14:paraId="6663A164">
            <w:r>
              <w:t>M05-C04, CU: Generar log auditoría inmutable, Inspeccionar logs MSP, Auditar equidad Med-Gemini, RF-M5-001, RF-M5-002, RF-M5-003, ST05, ST06, ST07, Diagrama de Contexto M5</w:t>
            </w:r>
          </w:p>
        </w:tc>
      </w:tr>
    </w:tbl>
    <w:p w14:paraId="25592128">
      <w:pPr>
        <w:spacing w:after="100"/>
      </w:pPr>
    </w:p>
    <w:p w14:paraId="357A5E03">
      <w:pPr>
        <w:spacing w:after="100"/>
      </w:pPr>
    </w:p>
    <w:p w14:paraId="32757088">
      <w:r>
        <w:br w:type="page"/>
      </w:r>
    </w:p>
    <w:p w14:paraId="46AA433D">
      <w:pPr>
        <w:pStyle w:val="2"/>
      </w:pPr>
      <w:r>
        <w:rPr>
          <w:color w:val="auto"/>
        </w:rPr>
        <w:t xml:space="preserve">6. </w:t>
      </w:r>
      <w:r>
        <w:rPr>
          <w:rFonts w:hint="default"/>
          <w:color w:val="auto"/>
          <w:lang w:val="es-ES"/>
        </w:rPr>
        <w:t>Requerimientos n</w:t>
      </w:r>
      <w:r>
        <w:rPr>
          <w:color w:val="auto"/>
        </w:rPr>
        <w:t xml:space="preserve">o </w:t>
      </w:r>
      <w:r>
        <w:rPr>
          <w:rFonts w:hint="default"/>
          <w:color w:val="auto"/>
          <w:lang w:val="es-ES"/>
        </w:rPr>
        <w:t>f</w:t>
      </w:r>
      <w:r>
        <w:rPr>
          <w:color w:val="auto"/>
        </w:rPr>
        <w:t xml:space="preserve">uncionales </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6419F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0CE263C3">
            <w:pPr>
              <w:jc w:val="center"/>
            </w:pPr>
            <w:r>
              <w:rPr>
                <w:b/>
                <w:bCs/>
              </w:rPr>
              <w:t>RNF-</w:t>
            </w:r>
            <w:r>
              <w:rPr>
                <w:rFonts w:hint="default"/>
                <w:b/>
                <w:bCs/>
                <w:lang w:val="es-ES"/>
              </w:rPr>
              <w:t>0</w:t>
            </w:r>
            <w:r>
              <w:rPr>
                <w:b/>
                <w:bCs/>
              </w:rPr>
              <w:t>1: Seguridad</w:t>
            </w:r>
          </w:p>
        </w:tc>
      </w:tr>
      <w:tr w14:paraId="6F146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379C655">
            <w:r>
              <w:rPr>
                <w:b/>
                <w:bCs/>
              </w:rPr>
              <w:t>ID</w:t>
            </w:r>
          </w:p>
        </w:tc>
        <w:tc>
          <w:tcPr>
            <w:tcW w:w="7160" w:type="dxa"/>
            <w:shd w:val="clear" w:color="auto" w:fill="FFFFFF"/>
            <w:tcMar>
              <w:top w:w="80" w:type="dxa"/>
              <w:left w:w="120" w:type="dxa"/>
              <w:bottom w:w="80" w:type="dxa"/>
              <w:right w:w="120" w:type="dxa"/>
            </w:tcMar>
          </w:tcPr>
          <w:p w14:paraId="01BA9C8D">
            <w:r>
              <w:t>RNF-01</w:t>
            </w:r>
          </w:p>
        </w:tc>
      </w:tr>
      <w:tr w14:paraId="073EB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E022293">
            <w:r>
              <w:rPr>
                <w:b/>
                <w:bCs/>
              </w:rPr>
              <w:t>Nombre</w:t>
            </w:r>
          </w:p>
        </w:tc>
        <w:tc>
          <w:tcPr>
            <w:tcW w:w="7160" w:type="dxa"/>
            <w:shd w:val="clear" w:color="auto" w:fill="FFFFFF"/>
            <w:tcMar>
              <w:top w:w="80" w:type="dxa"/>
              <w:left w:w="120" w:type="dxa"/>
              <w:bottom w:w="80" w:type="dxa"/>
              <w:right w:w="120" w:type="dxa"/>
            </w:tcMar>
          </w:tcPr>
          <w:p w14:paraId="32F54AAD">
            <w:r>
              <w:t>Seguridad</w:t>
            </w:r>
          </w:p>
        </w:tc>
      </w:tr>
      <w:tr w14:paraId="14D93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B0AEBE8">
            <w:r>
              <w:rPr>
                <w:b/>
                <w:bCs/>
              </w:rPr>
              <w:t>Descripción</w:t>
            </w:r>
          </w:p>
        </w:tc>
        <w:tc>
          <w:tcPr>
            <w:tcW w:w="7160" w:type="dxa"/>
            <w:shd w:val="clear" w:color="auto" w:fill="FFFFFF"/>
            <w:tcMar>
              <w:top w:w="80" w:type="dxa"/>
              <w:left w:w="120" w:type="dxa"/>
              <w:bottom w:w="80" w:type="dxa"/>
              <w:right w:w="120" w:type="dxa"/>
            </w:tcMar>
          </w:tcPr>
          <w:p w14:paraId="3D08C779">
            <w:r>
              <w:t>El sistema implementará controles de seguridad robustos para proteger la autenticación MFA de todos los usuarios, el almacenamiento cifrado de datos sensibles (AES-256 en reposo, TLS 1.3 en tránsito) y el cumplimiento de la LOPDP ecuatoriana. El DPO (ST06) supervisará las auditorías de seguridad semestrales. El sistema no presentará vulnerabilidades críticas sin mitigar.</w:t>
            </w:r>
          </w:p>
        </w:tc>
      </w:tr>
      <w:tr w14:paraId="03386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6CF4037F">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68371406">
            <w:pPr>
              <w:pStyle w:val="17"/>
              <w:numPr>
                <w:ilvl w:val="0"/>
                <w:numId w:val="1"/>
              </w:numPr>
            </w:pPr>
            <w:r>
              <w:t>0 accesos no autorizados detectados en auditorías de seguridad.</w:t>
            </w:r>
          </w:p>
          <w:p w14:paraId="240811CF">
            <w:pPr>
              <w:pStyle w:val="17"/>
              <w:numPr>
                <w:ilvl w:val="0"/>
                <w:numId w:val="1"/>
              </w:numPr>
            </w:pPr>
            <w:r>
              <w:t>MFA obligatorio y funcional para el 100% de los usuarios del sistema.</w:t>
            </w:r>
          </w:p>
          <w:p w14:paraId="649FEDB1">
            <w:pPr>
              <w:pStyle w:val="17"/>
              <w:numPr>
                <w:ilvl w:val="0"/>
                <w:numId w:val="1"/>
              </w:numPr>
            </w:pPr>
            <w:r>
              <w:t>Cifrado AES-256 en reposo y TLS 1.3 en tránsito verificado en el 100% de los datos.</w:t>
            </w:r>
          </w:p>
          <w:p w14:paraId="666E81AE">
            <w:pPr>
              <w:pStyle w:val="17"/>
              <w:numPr>
                <w:ilvl w:val="0"/>
                <w:numId w:val="1"/>
              </w:numPr>
            </w:pPr>
            <w:r>
              <w:t>0 vulnerabilidades críticas sin mitigar en auditorías semestrales (ST06).</w:t>
            </w:r>
          </w:p>
          <w:p w14:paraId="3871DD02">
            <w:pPr>
              <w:pStyle w:val="17"/>
              <w:numPr>
                <w:ilvl w:val="0"/>
                <w:numId w:val="1"/>
              </w:numPr>
            </w:pPr>
            <w:r>
              <w:t>Cumplimiento LOPDP verificado por el DPO (ST06) en cada ciclo de auditoría.</w:t>
            </w:r>
          </w:p>
        </w:tc>
      </w:tr>
      <w:tr w14:paraId="0A9A6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5A1706C">
            <w:r>
              <w:rPr>
                <w:b/>
                <w:bCs/>
              </w:rPr>
              <w:t>Trazabilidad con RF</w:t>
            </w:r>
          </w:p>
        </w:tc>
        <w:tc>
          <w:tcPr>
            <w:tcW w:w="7160" w:type="dxa"/>
            <w:shd w:val="clear" w:color="auto" w:fill="FFFFFF"/>
            <w:tcMar>
              <w:top w:w="80" w:type="dxa"/>
              <w:left w:w="120" w:type="dxa"/>
              <w:bottom w:w="80" w:type="dxa"/>
              <w:right w:w="120" w:type="dxa"/>
            </w:tcMar>
          </w:tcPr>
          <w:p w14:paraId="3D629928">
            <w:pPr>
              <w:rPr>
                <w:lang w:val="en-US"/>
              </w:rPr>
            </w:pPr>
            <w:r>
              <w:rPr>
                <w:lang w:val="en-US"/>
              </w:rPr>
              <w:t>RF-M1-001, RF-M1-003, RF-M5-001, RF-M5-002</w:t>
            </w:r>
          </w:p>
        </w:tc>
      </w:tr>
    </w:tbl>
    <w:p w14:paraId="616E26AA">
      <w:pPr>
        <w:spacing w:after="100"/>
        <w:rPr>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721D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59CE3706">
            <w:pPr>
              <w:jc w:val="center"/>
            </w:pPr>
            <w:r>
              <w:rPr>
                <w:b/>
                <w:bCs/>
              </w:rPr>
              <w:t>RNF-</w:t>
            </w:r>
            <w:r>
              <w:rPr>
                <w:rFonts w:hint="default"/>
                <w:b/>
                <w:bCs/>
                <w:lang w:val="es-ES"/>
              </w:rPr>
              <w:t>02</w:t>
            </w:r>
            <w:r>
              <w:rPr>
                <w:b/>
                <w:bCs/>
              </w:rPr>
              <w:t>: Eficiencia de Rendimiento</w:t>
            </w:r>
          </w:p>
        </w:tc>
      </w:tr>
      <w:tr w14:paraId="2072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84C2FBB">
            <w:r>
              <w:rPr>
                <w:b/>
                <w:bCs/>
              </w:rPr>
              <w:t>ID</w:t>
            </w:r>
          </w:p>
        </w:tc>
        <w:tc>
          <w:tcPr>
            <w:tcW w:w="7160" w:type="dxa"/>
            <w:shd w:val="clear" w:color="auto" w:fill="FFFFFF"/>
            <w:tcMar>
              <w:top w:w="80" w:type="dxa"/>
              <w:left w:w="120" w:type="dxa"/>
              <w:bottom w:w="80" w:type="dxa"/>
              <w:right w:w="120" w:type="dxa"/>
            </w:tcMar>
          </w:tcPr>
          <w:p w14:paraId="2DD00595">
            <w:r>
              <w:t>RNF-</w:t>
            </w:r>
            <w:r>
              <w:rPr>
                <w:rFonts w:hint="default"/>
                <w:lang w:val="es-ES"/>
              </w:rPr>
              <w:t>02</w:t>
            </w:r>
          </w:p>
        </w:tc>
      </w:tr>
      <w:tr w14:paraId="7D3A5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31A2AE3">
            <w:r>
              <w:rPr>
                <w:b/>
                <w:bCs/>
              </w:rPr>
              <w:t>Nombre</w:t>
            </w:r>
          </w:p>
        </w:tc>
        <w:tc>
          <w:tcPr>
            <w:tcW w:w="7160" w:type="dxa"/>
            <w:shd w:val="clear" w:color="auto" w:fill="FFFFFF"/>
            <w:tcMar>
              <w:top w:w="80" w:type="dxa"/>
              <w:left w:w="120" w:type="dxa"/>
              <w:bottom w:w="80" w:type="dxa"/>
              <w:right w:w="120" w:type="dxa"/>
            </w:tcMar>
          </w:tcPr>
          <w:p w14:paraId="4DEC4C5C">
            <w:pPr>
              <w:rPr>
                <w:rFonts w:hint="default"/>
                <w:lang w:val="es-ES"/>
              </w:rPr>
            </w:pPr>
            <w:r>
              <w:t xml:space="preserve">Eficiencia de </w:t>
            </w:r>
            <w:r>
              <w:rPr>
                <w:rFonts w:hint="default"/>
                <w:lang w:val="es-ES"/>
              </w:rPr>
              <w:t>r</w:t>
            </w:r>
            <w:r>
              <w:t>endimient</w:t>
            </w:r>
            <w:r>
              <w:rPr>
                <w:rFonts w:hint="default"/>
                <w:lang w:val="es-ES"/>
              </w:rPr>
              <w:t>o</w:t>
            </w:r>
          </w:p>
        </w:tc>
      </w:tr>
      <w:tr w14:paraId="7C9AC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20397B2">
            <w:r>
              <w:rPr>
                <w:b/>
                <w:bCs/>
              </w:rPr>
              <w:t>Descripción</w:t>
            </w:r>
          </w:p>
        </w:tc>
        <w:tc>
          <w:tcPr>
            <w:tcW w:w="7160" w:type="dxa"/>
            <w:shd w:val="clear" w:color="auto" w:fill="FFFFFF"/>
            <w:tcMar>
              <w:top w:w="80" w:type="dxa"/>
              <w:left w:w="120" w:type="dxa"/>
              <w:bottom w:w="80" w:type="dxa"/>
              <w:right w:w="120" w:type="dxa"/>
            </w:tcMar>
          </w:tcPr>
          <w:p w14:paraId="1EDF6E65">
            <w:r>
              <w:t>El sistema garantizará tiempos de respuesta eficientes en sus operaciones críticas: clasificación de triaje por Med-Gemini, actualización del panel dinámico, procesamiento asíncrono de solicitudes y latencia de teleconsulta. El sistema soportará 5.000 usuarios concurrentes sin degradación del rendimiento.</w:t>
            </w:r>
          </w:p>
        </w:tc>
      </w:tr>
      <w:tr w14:paraId="7E759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9C27D5A">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154FCE13">
            <w:pPr>
              <w:pStyle w:val="17"/>
              <w:numPr>
                <w:ilvl w:val="0"/>
                <w:numId w:val="1"/>
              </w:numPr>
            </w:pPr>
            <w:r>
              <w:t>Med-Gemini clasifica síntomas y genera XAI en menos de 2 segundos.</w:t>
            </w:r>
          </w:p>
          <w:p w14:paraId="31A1635A">
            <w:pPr>
              <w:pStyle w:val="17"/>
              <w:numPr>
                <w:ilvl w:val="0"/>
                <w:numId w:val="1"/>
              </w:numPr>
            </w:pPr>
            <w:r>
              <w:t>Panel dinámico actualizado en menos de 500ms ante cualquier cambio de estado.</w:t>
            </w:r>
          </w:p>
          <w:p w14:paraId="176D533B">
            <w:pPr>
              <w:pStyle w:val="17"/>
              <w:numPr>
                <w:ilvl w:val="0"/>
                <w:numId w:val="1"/>
              </w:numPr>
            </w:pPr>
            <w:r>
              <w:t>Procesamiento y asignación asíncrona completada en menos de 5 segundos en el 99% de los casos.</w:t>
            </w:r>
          </w:p>
          <w:p w14:paraId="581EC89D">
            <w:pPr>
              <w:pStyle w:val="17"/>
              <w:numPr>
                <w:ilvl w:val="0"/>
                <w:numId w:val="1"/>
              </w:numPr>
            </w:pPr>
            <w:r>
              <w:t>Latencia de video/audio en teleconsulta menor o igual a 200ms en el 95% de las sesiones.</w:t>
            </w:r>
          </w:p>
          <w:p w14:paraId="30030222">
            <w:pPr>
              <w:pStyle w:val="17"/>
              <w:numPr>
                <w:ilvl w:val="0"/>
                <w:numId w:val="1"/>
              </w:numPr>
            </w:pPr>
            <w:r>
              <w:t>Tiempo de respuesta del sistema menor o igual a 3 segundos bajo 5.000 usuarios concurrentes.</w:t>
            </w:r>
          </w:p>
        </w:tc>
      </w:tr>
      <w:tr w14:paraId="42D7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022AA98">
            <w:r>
              <w:rPr>
                <w:b/>
                <w:bCs/>
              </w:rPr>
              <w:t>Trazabilidad con RF</w:t>
            </w:r>
          </w:p>
        </w:tc>
        <w:tc>
          <w:tcPr>
            <w:tcW w:w="7160" w:type="dxa"/>
            <w:shd w:val="clear" w:color="auto" w:fill="FFFFFF"/>
            <w:tcMar>
              <w:top w:w="80" w:type="dxa"/>
              <w:left w:w="120" w:type="dxa"/>
              <w:bottom w:w="80" w:type="dxa"/>
              <w:right w:w="120" w:type="dxa"/>
            </w:tcMar>
          </w:tcPr>
          <w:p w14:paraId="4CF735CD">
            <w:r>
              <w:t>RF-M2-002, RF-M2-005, RF-M4-001</w:t>
            </w:r>
          </w:p>
        </w:tc>
      </w:tr>
    </w:tbl>
    <w:p w14:paraId="6D429F13">
      <w:pPr>
        <w:spacing w:after="100"/>
      </w:pPr>
    </w:p>
    <w:p w14:paraId="09B1A4D8">
      <w:pPr>
        <w:spacing w:after="100"/>
      </w:pPr>
    </w:p>
    <w:p w14:paraId="22075E77">
      <w:pPr>
        <w:spacing w:after="100"/>
      </w:pPr>
    </w:p>
    <w:p w14:paraId="16AF166B">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61DA7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2FDD8F98">
            <w:pPr>
              <w:jc w:val="center"/>
            </w:pPr>
            <w:r>
              <w:rPr>
                <w:b/>
                <w:bCs/>
              </w:rPr>
              <w:t>RNF-</w:t>
            </w:r>
            <w:r>
              <w:rPr>
                <w:rFonts w:hint="default"/>
                <w:b/>
                <w:bCs/>
                <w:lang w:val="es-ES"/>
              </w:rPr>
              <w:t>03</w:t>
            </w:r>
            <w:r>
              <w:rPr>
                <w:b/>
                <w:bCs/>
              </w:rPr>
              <w:t>: Fiabilidad</w:t>
            </w:r>
          </w:p>
        </w:tc>
      </w:tr>
      <w:tr w14:paraId="24031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649F956">
            <w:r>
              <w:rPr>
                <w:b/>
                <w:bCs/>
              </w:rPr>
              <w:t>ID</w:t>
            </w:r>
          </w:p>
        </w:tc>
        <w:tc>
          <w:tcPr>
            <w:tcW w:w="7160" w:type="dxa"/>
            <w:shd w:val="clear" w:color="auto" w:fill="FFFFFF"/>
            <w:tcMar>
              <w:top w:w="80" w:type="dxa"/>
              <w:left w:w="120" w:type="dxa"/>
              <w:bottom w:w="80" w:type="dxa"/>
              <w:right w:w="120" w:type="dxa"/>
            </w:tcMar>
          </w:tcPr>
          <w:p w14:paraId="2EEF0E44">
            <w:pPr>
              <w:rPr>
                <w:rFonts w:hint="default"/>
                <w:lang w:val="es-ES"/>
              </w:rPr>
            </w:pPr>
            <w:r>
              <w:t>RNF-</w:t>
            </w:r>
            <w:r>
              <w:rPr>
                <w:rFonts w:hint="default"/>
                <w:lang w:val="es-ES"/>
              </w:rPr>
              <w:t>03</w:t>
            </w:r>
          </w:p>
        </w:tc>
      </w:tr>
      <w:tr w14:paraId="13908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6CDA8A1">
            <w:r>
              <w:rPr>
                <w:b/>
                <w:bCs/>
              </w:rPr>
              <w:t>Nombre</w:t>
            </w:r>
          </w:p>
        </w:tc>
        <w:tc>
          <w:tcPr>
            <w:tcW w:w="7160" w:type="dxa"/>
            <w:shd w:val="clear" w:color="auto" w:fill="FFFFFF"/>
            <w:tcMar>
              <w:top w:w="80" w:type="dxa"/>
              <w:left w:w="120" w:type="dxa"/>
              <w:bottom w:w="80" w:type="dxa"/>
              <w:right w:w="120" w:type="dxa"/>
            </w:tcMar>
          </w:tcPr>
          <w:p w14:paraId="3ACADD17">
            <w:r>
              <w:t>Fiabilidad</w:t>
            </w:r>
          </w:p>
        </w:tc>
      </w:tr>
      <w:tr w14:paraId="443EE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9E9D12B">
            <w:r>
              <w:rPr>
                <w:b/>
                <w:bCs/>
              </w:rPr>
              <w:t>Descripción</w:t>
            </w:r>
          </w:p>
        </w:tc>
        <w:tc>
          <w:tcPr>
            <w:tcW w:w="7160" w:type="dxa"/>
            <w:shd w:val="clear" w:color="auto" w:fill="FFFFFF"/>
            <w:tcMar>
              <w:top w:w="80" w:type="dxa"/>
              <w:left w:w="120" w:type="dxa"/>
              <w:bottom w:w="80" w:type="dxa"/>
              <w:right w:w="120" w:type="dxa"/>
            </w:tcMar>
          </w:tcPr>
          <w:p w14:paraId="0A0A3278">
            <w:r>
              <w:t>El sistema garantizará disponibilidad continua 24/7 con un mínimo del 99.5% de uptime durante los primeros 6 meses de operación productiva. La entrega de alertas críticas biométricas se garantizará en menos de 30 segundos. El sistema implementará mecanismos de alta disponibilidad en la infraestructura Cloud GCP.</w:t>
            </w:r>
          </w:p>
        </w:tc>
      </w:tr>
      <w:tr w14:paraId="2C1A0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3B92E845">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0DE575B0">
            <w:pPr>
              <w:pStyle w:val="17"/>
              <w:numPr>
                <w:ilvl w:val="0"/>
                <w:numId w:val="1"/>
              </w:numPr>
            </w:pPr>
            <w:r>
              <w:t>Disponibilidad del sistema mayor o igual al 99.5% (tiempo de inactividad máximo de 4 horas/año).</w:t>
            </w:r>
          </w:p>
          <w:p w14:paraId="36E09384">
            <w:pPr>
              <w:pStyle w:val="17"/>
              <w:numPr>
                <w:ilvl w:val="0"/>
                <w:numId w:val="1"/>
              </w:numPr>
            </w:pPr>
            <w:r>
              <w:t>Las alertas críticas son entregadas en menos de 30 segundos.</w:t>
            </w:r>
          </w:p>
          <w:p w14:paraId="6087F9BB">
            <w:pPr>
              <w:pStyle w:val="17"/>
              <w:numPr>
                <w:ilvl w:val="0"/>
                <w:numId w:val="1"/>
              </w:numPr>
            </w:pPr>
            <w:r>
              <w:t>Las lecturas biométricas son procesadas en tiempo real con retraso máximo de 1 segundo.</w:t>
            </w:r>
          </w:p>
          <w:p w14:paraId="5B845F69">
            <w:pPr>
              <w:pStyle w:val="17"/>
              <w:numPr>
                <w:ilvl w:val="0"/>
                <w:numId w:val="1"/>
              </w:numPr>
            </w:pPr>
            <w:r>
              <w:t>RTO menor o igual a 4 horas y RPO menor o igual a 24 horas ante fallos.</w:t>
            </w:r>
          </w:p>
          <w:p w14:paraId="004D2F3E">
            <w:pPr>
              <w:pStyle w:val="17"/>
              <w:numPr>
                <w:ilvl w:val="0"/>
                <w:numId w:val="1"/>
              </w:numPr>
            </w:pPr>
            <w:r>
              <w:t>Backups automáticos diarios verificados con retención mínima de 5 años.</w:t>
            </w:r>
          </w:p>
        </w:tc>
      </w:tr>
      <w:tr w14:paraId="5494D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D841042">
            <w:r>
              <w:rPr>
                <w:b/>
                <w:bCs/>
              </w:rPr>
              <w:t>Trazabilidad con RF</w:t>
            </w:r>
          </w:p>
        </w:tc>
        <w:tc>
          <w:tcPr>
            <w:tcW w:w="7160" w:type="dxa"/>
            <w:shd w:val="clear" w:color="auto" w:fill="FFFFFF"/>
            <w:tcMar>
              <w:top w:w="80" w:type="dxa"/>
              <w:left w:w="120" w:type="dxa"/>
              <w:bottom w:w="80" w:type="dxa"/>
              <w:right w:w="120" w:type="dxa"/>
            </w:tcMar>
          </w:tcPr>
          <w:p w14:paraId="4E70B321">
            <w:r>
              <w:t>RF-M3-001, RF-M3-004, RF-M5-003</w:t>
            </w:r>
          </w:p>
        </w:tc>
      </w:tr>
    </w:tbl>
    <w:p w14:paraId="6DD31064">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16167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5528B78D">
            <w:pPr>
              <w:jc w:val="center"/>
              <w:rPr>
                <w:rFonts w:hint="default"/>
                <w:lang w:val="es-ES"/>
              </w:rPr>
            </w:pPr>
            <w:r>
              <w:rPr>
                <w:b/>
                <w:bCs/>
              </w:rPr>
              <w:t>RNF-</w:t>
            </w:r>
            <w:r>
              <w:rPr>
                <w:rFonts w:hint="default"/>
                <w:b/>
                <w:bCs/>
                <w:lang w:val="es-ES"/>
              </w:rPr>
              <w:t>04</w:t>
            </w:r>
            <w:r>
              <w:rPr>
                <w:b/>
                <w:bCs/>
              </w:rPr>
              <w:t xml:space="preserve">: </w:t>
            </w:r>
            <w:r>
              <w:rPr>
                <w:rFonts w:hint="default"/>
                <w:b/>
                <w:bCs/>
                <w:lang w:val="es-ES"/>
              </w:rPr>
              <w:t>Transparencia</w:t>
            </w:r>
          </w:p>
        </w:tc>
      </w:tr>
      <w:tr w14:paraId="694EC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6549A23">
            <w:r>
              <w:rPr>
                <w:b/>
                <w:bCs/>
              </w:rPr>
              <w:t>ID</w:t>
            </w:r>
          </w:p>
        </w:tc>
        <w:tc>
          <w:tcPr>
            <w:tcW w:w="7160" w:type="dxa"/>
            <w:shd w:val="clear" w:color="auto" w:fill="FFFFFF"/>
            <w:tcMar>
              <w:top w:w="80" w:type="dxa"/>
              <w:left w:w="120" w:type="dxa"/>
              <w:bottom w:w="80" w:type="dxa"/>
              <w:right w:w="120" w:type="dxa"/>
            </w:tcMar>
          </w:tcPr>
          <w:p w14:paraId="26AA2B60">
            <w:pPr>
              <w:rPr>
                <w:rFonts w:hint="default"/>
                <w:lang w:val="es-ES"/>
              </w:rPr>
            </w:pPr>
            <w:r>
              <w:t>RNF-</w:t>
            </w:r>
            <w:r>
              <w:rPr>
                <w:rFonts w:hint="default"/>
                <w:lang w:val="es-ES"/>
              </w:rPr>
              <w:t>04</w:t>
            </w:r>
          </w:p>
        </w:tc>
      </w:tr>
      <w:tr w14:paraId="5EA2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D8FB85A">
            <w:r>
              <w:rPr>
                <w:b/>
                <w:bCs/>
              </w:rPr>
              <w:t>Nombre</w:t>
            </w:r>
          </w:p>
        </w:tc>
        <w:tc>
          <w:tcPr>
            <w:tcW w:w="7160" w:type="dxa"/>
            <w:shd w:val="clear" w:color="auto" w:fill="auto"/>
            <w:tcMar>
              <w:top w:w="80" w:type="dxa"/>
              <w:left w:w="120" w:type="dxa"/>
              <w:bottom w:w="80" w:type="dxa"/>
              <w:right w:w="120" w:type="dxa"/>
            </w:tcMar>
          </w:tcPr>
          <w:p w14:paraId="5DA00313">
            <w:pPr>
              <w:rPr>
                <w:rFonts w:hint="default"/>
                <w:lang w:val="es-ES"/>
              </w:rPr>
            </w:pPr>
            <w:r>
              <w:rPr>
                <w:rFonts w:hint="default"/>
                <w:lang w:val="es-ES"/>
              </w:rPr>
              <w:t>Transparencia</w:t>
            </w:r>
          </w:p>
        </w:tc>
      </w:tr>
      <w:tr w14:paraId="6C0B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28A352DB">
            <w:r>
              <w:rPr>
                <w:b/>
                <w:bCs/>
              </w:rPr>
              <w:t>Descripción</w:t>
            </w:r>
          </w:p>
        </w:tc>
        <w:tc>
          <w:tcPr>
            <w:tcW w:w="7160" w:type="dxa"/>
            <w:shd w:val="clear" w:color="auto" w:fill="FFFFFF"/>
            <w:tcMar>
              <w:top w:w="80" w:type="dxa"/>
              <w:left w:w="120" w:type="dxa"/>
              <w:bottom w:w="80" w:type="dxa"/>
              <w:right w:w="120" w:type="dxa"/>
            </w:tcMar>
          </w:tcPr>
          <w:p w14:paraId="1CAE76AD">
            <w:r>
              <w:rPr>
                <w:rFonts w:hint="default"/>
              </w:rPr>
              <w:t>El sistema Med-Gemini deberá garantizar la transparencia de las decisiones generadas en los módulos de triaje (M2), detección de anomalías (M3) y soporte diagnóstico (M4), proporcionando explicaciones comprensibles y verificables, así como mecanismos de auditoría para identificar y mitigar sesgos discriminatorios antes del despliegue y de manera semestral.</w:t>
            </w:r>
          </w:p>
        </w:tc>
      </w:tr>
      <w:tr w14:paraId="0AD71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F42101B">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74708A30">
            <w:pPr>
              <w:pStyle w:val="17"/>
              <w:numPr>
                <w:ilvl w:val="0"/>
                <w:numId w:val="1"/>
              </w:numPr>
            </w:pPr>
            <w:r>
              <w:t>El 100% de las decisiones de Med-Gemini incluyen explicación XAI comprensible verificada por ST06 y ST07.</w:t>
            </w:r>
          </w:p>
          <w:p w14:paraId="1C723DFD">
            <w:pPr>
              <w:pStyle w:val="17"/>
              <w:numPr>
                <w:ilvl w:val="0"/>
                <w:numId w:val="1"/>
              </w:numPr>
            </w:pPr>
            <w:r>
              <w:t>0 sesgos críticos detectados en auditorías de equidad semestrales ejecutadas por ST07.</w:t>
            </w:r>
          </w:p>
          <w:p w14:paraId="65C0D1C6">
            <w:pPr>
              <w:pStyle w:val="17"/>
              <w:numPr>
                <w:ilvl w:val="0"/>
                <w:numId w:val="1"/>
              </w:numPr>
            </w:pPr>
            <w:r>
              <w:t>Precisión de detección de anomalías mayor o igual al 98% con falsos positivos menor o igual al 2%.</w:t>
            </w:r>
          </w:p>
          <w:p w14:paraId="313C81FB">
            <w:pPr>
              <w:pStyle w:val="17"/>
              <w:numPr>
                <w:ilvl w:val="0"/>
                <w:numId w:val="1"/>
              </w:numPr>
            </w:pPr>
            <w:r>
              <w:t>Los criterios de explicabilidad son definidos y validados con el MSP y el DPO antes del despliegue.</w:t>
            </w:r>
          </w:p>
          <w:p w14:paraId="795346FB">
            <w:pPr>
              <w:pStyle w:val="17"/>
              <w:numPr>
                <w:ilvl w:val="0"/>
                <w:numId w:val="1"/>
              </w:numPr>
            </w:pPr>
            <w:r>
              <w:t>Una muestra de 100 decisiones es revisada por el DPO y el equipo MLOps en cada auditoría.</w:t>
            </w:r>
          </w:p>
        </w:tc>
      </w:tr>
      <w:tr w14:paraId="4697E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7E7FA9B">
            <w:r>
              <w:rPr>
                <w:b/>
                <w:bCs/>
              </w:rPr>
              <w:t>Trazabilidad con RF</w:t>
            </w:r>
          </w:p>
        </w:tc>
        <w:tc>
          <w:tcPr>
            <w:tcW w:w="7160" w:type="dxa"/>
            <w:shd w:val="clear" w:color="auto" w:fill="FFFFFF"/>
            <w:tcMar>
              <w:top w:w="80" w:type="dxa"/>
              <w:left w:w="120" w:type="dxa"/>
              <w:bottom w:w="80" w:type="dxa"/>
              <w:right w:w="120" w:type="dxa"/>
            </w:tcMar>
          </w:tcPr>
          <w:p w14:paraId="19860C70">
            <w:r>
              <w:t>RF-M2-002, RF-M3-002, RF-M4-001</w:t>
            </w:r>
          </w:p>
        </w:tc>
      </w:tr>
    </w:tbl>
    <w:tbl>
      <w:tblPr>
        <w:tblStyle w:val="9"/>
        <w:tblpPr w:leftFromText="180" w:rightFromText="180" w:vertAnchor="text" w:horzAnchor="page" w:tblpX="1245" w:tblpY="309"/>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646BD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60976FCE">
            <w:pPr>
              <w:jc w:val="center"/>
            </w:pPr>
            <w:r>
              <w:rPr>
                <w:b/>
                <w:bCs/>
              </w:rPr>
              <w:t>RNF-</w:t>
            </w:r>
            <w:r>
              <w:rPr>
                <w:rFonts w:hint="default"/>
                <w:b/>
                <w:bCs/>
                <w:lang w:val="es-ES"/>
              </w:rPr>
              <w:t>05</w:t>
            </w:r>
            <w:r>
              <w:rPr>
                <w:b/>
                <w:bCs/>
              </w:rPr>
              <w:t>: Usabilidad</w:t>
            </w:r>
          </w:p>
        </w:tc>
      </w:tr>
      <w:tr w14:paraId="1F03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838D8D5">
            <w:r>
              <w:rPr>
                <w:b/>
                <w:bCs/>
              </w:rPr>
              <w:t>ID</w:t>
            </w:r>
          </w:p>
        </w:tc>
        <w:tc>
          <w:tcPr>
            <w:tcW w:w="7160" w:type="dxa"/>
            <w:shd w:val="clear" w:color="auto" w:fill="FFFFFF"/>
            <w:tcMar>
              <w:top w:w="80" w:type="dxa"/>
              <w:left w:w="120" w:type="dxa"/>
              <w:bottom w:w="80" w:type="dxa"/>
              <w:right w:w="120" w:type="dxa"/>
            </w:tcMar>
          </w:tcPr>
          <w:p w14:paraId="376EAA10">
            <w:pPr>
              <w:rPr>
                <w:rFonts w:hint="default"/>
                <w:lang w:val="es-ES"/>
              </w:rPr>
            </w:pPr>
            <w:r>
              <w:t>RNF-</w:t>
            </w:r>
            <w:r>
              <w:rPr>
                <w:rFonts w:hint="default"/>
                <w:lang w:val="es-ES"/>
              </w:rPr>
              <w:t>05</w:t>
            </w:r>
          </w:p>
        </w:tc>
      </w:tr>
      <w:tr w14:paraId="4BAB3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E9E7CB0">
            <w:r>
              <w:rPr>
                <w:b/>
                <w:bCs/>
              </w:rPr>
              <w:t>Nombre</w:t>
            </w:r>
          </w:p>
        </w:tc>
        <w:tc>
          <w:tcPr>
            <w:tcW w:w="7160" w:type="dxa"/>
            <w:shd w:val="clear" w:color="auto" w:fill="FFFFFF"/>
            <w:tcMar>
              <w:top w:w="80" w:type="dxa"/>
              <w:left w:w="120" w:type="dxa"/>
              <w:bottom w:w="80" w:type="dxa"/>
              <w:right w:w="120" w:type="dxa"/>
            </w:tcMar>
          </w:tcPr>
          <w:p w14:paraId="4CB060D5">
            <w:r>
              <w:t>Usabilidad</w:t>
            </w:r>
          </w:p>
        </w:tc>
      </w:tr>
      <w:tr w14:paraId="7D3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5145094C">
            <w:r>
              <w:rPr>
                <w:b/>
                <w:bCs/>
              </w:rPr>
              <w:t>Descripción</w:t>
            </w:r>
          </w:p>
        </w:tc>
        <w:tc>
          <w:tcPr>
            <w:tcW w:w="7160" w:type="dxa"/>
            <w:shd w:val="clear" w:color="auto" w:fill="FFFFFF"/>
            <w:tcMar>
              <w:top w:w="80" w:type="dxa"/>
              <w:left w:w="120" w:type="dxa"/>
              <w:bottom w:w="80" w:type="dxa"/>
              <w:right w:w="120" w:type="dxa"/>
            </w:tcMar>
          </w:tcPr>
          <w:p w14:paraId="4FD5463A">
            <w:r>
              <w:t>El flujo del paciente (ST01) para reportar síntomas o responder a una alerta debe ser completable en un máximo de 3 pasos principales, con una tasa de error menor o igual al 10%. El 90% de los usuarios (ST01 y ST02) deben calificar la usabilidad del sistema y del bot como satisfactoria o mejor en encuestas post-implementación.</w:t>
            </w:r>
          </w:p>
        </w:tc>
      </w:tr>
      <w:tr w14:paraId="23D9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8B135F9">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6E8C595A">
            <w:pPr>
              <w:pStyle w:val="17"/>
              <w:numPr>
                <w:ilvl w:val="0"/>
                <w:numId w:val="1"/>
              </w:numPr>
            </w:pPr>
            <w:r>
              <w:t>Flujo del paciente completable en máximo 3 pasos principales sin asistencia técnica.</w:t>
            </w:r>
          </w:p>
          <w:p w14:paraId="596D89C2">
            <w:pPr>
              <w:pStyle w:val="17"/>
              <w:numPr>
                <w:ilvl w:val="0"/>
                <w:numId w:val="1"/>
              </w:numPr>
            </w:pPr>
            <w:r>
              <w:t>Tasa de error del paciente (ST01) en el flujo del bot menor o igual al 10%.</w:t>
            </w:r>
          </w:p>
          <w:p w14:paraId="1A411148">
            <w:pPr>
              <w:pStyle w:val="17"/>
              <w:numPr>
                <w:ilvl w:val="0"/>
                <w:numId w:val="1"/>
              </w:numPr>
            </w:pPr>
            <w:r>
              <w:t>El 90% de ST01 y ST02 califican la usabilidad como satisfactoria o mejor en encuestas.</w:t>
            </w:r>
          </w:p>
          <w:p w14:paraId="000D8C97">
            <w:pPr>
              <w:pStyle w:val="17"/>
              <w:numPr>
                <w:ilvl w:val="0"/>
                <w:numId w:val="1"/>
              </w:numPr>
            </w:pPr>
            <w:r>
              <w:t>El bot explica cada alerta sin términos médicos complejos en el 100% de los casos.</w:t>
            </w:r>
          </w:p>
          <w:p w14:paraId="357C2C04">
            <w:pPr>
              <w:pStyle w:val="17"/>
              <w:numPr>
                <w:ilvl w:val="0"/>
                <w:numId w:val="1"/>
              </w:numPr>
            </w:pPr>
            <w:r>
              <w:t>El panel dinámico muestra el estado de solicitudes de forma clara sin necesidad de capacitación previa.</w:t>
            </w:r>
          </w:p>
        </w:tc>
      </w:tr>
      <w:tr w14:paraId="3466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0C543A4D">
            <w:r>
              <w:rPr>
                <w:b/>
                <w:bCs/>
              </w:rPr>
              <w:t>Trazabilidad con RF</w:t>
            </w:r>
          </w:p>
        </w:tc>
        <w:tc>
          <w:tcPr>
            <w:tcW w:w="7160" w:type="dxa"/>
            <w:shd w:val="clear" w:color="auto" w:fill="FFFFFF"/>
            <w:tcMar>
              <w:top w:w="80" w:type="dxa"/>
              <w:left w:w="120" w:type="dxa"/>
              <w:bottom w:w="80" w:type="dxa"/>
              <w:right w:w="120" w:type="dxa"/>
            </w:tcMar>
          </w:tcPr>
          <w:p w14:paraId="7155A948">
            <w:r>
              <w:t>RF-M2-001, RF-M3-003, RF-M2-005</w:t>
            </w:r>
          </w:p>
        </w:tc>
      </w:tr>
    </w:tbl>
    <w:p w14:paraId="243FDE41">
      <w:pPr>
        <w:spacing w:after="100"/>
      </w:pPr>
    </w:p>
    <w:p w14:paraId="08AF127F">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2A23F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3F653EB8">
            <w:pPr>
              <w:jc w:val="center"/>
            </w:pPr>
            <w:r>
              <w:rPr>
                <w:b/>
                <w:bCs/>
              </w:rPr>
              <w:t>RNF-</w:t>
            </w:r>
            <w:r>
              <w:rPr>
                <w:rFonts w:hint="default"/>
                <w:b/>
                <w:bCs/>
                <w:lang w:val="es-ES"/>
              </w:rPr>
              <w:t>06</w:t>
            </w:r>
            <w:r>
              <w:rPr>
                <w:b/>
                <w:bCs/>
              </w:rPr>
              <w:t>: Mantenibilidad</w:t>
            </w:r>
          </w:p>
        </w:tc>
      </w:tr>
      <w:tr w14:paraId="7956E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0921034">
            <w:r>
              <w:rPr>
                <w:b/>
                <w:bCs/>
              </w:rPr>
              <w:t>ID</w:t>
            </w:r>
          </w:p>
        </w:tc>
        <w:tc>
          <w:tcPr>
            <w:tcW w:w="7160" w:type="dxa"/>
            <w:shd w:val="clear" w:color="auto" w:fill="FFFFFF"/>
            <w:tcMar>
              <w:top w:w="80" w:type="dxa"/>
              <w:left w:w="120" w:type="dxa"/>
              <w:bottom w:w="80" w:type="dxa"/>
              <w:right w:w="120" w:type="dxa"/>
            </w:tcMar>
          </w:tcPr>
          <w:p w14:paraId="3E846D03">
            <w:pPr>
              <w:rPr>
                <w:rFonts w:hint="default"/>
                <w:lang w:val="es-ES"/>
              </w:rPr>
            </w:pPr>
            <w:r>
              <w:t>RNF-</w:t>
            </w:r>
            <w:r>
              <w:rPr>
                <w:rFonts w:hint="default"/>
                <w:lang w:val="es-ES"/>
              </w:rPr>
              <w:t>06</w:t>
            </w:r>
          </w:p>
        </w:tc>
      </w:tr>
      <w:tr w14:paraId="479DF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632A7F6">
            <w:r>
              <w:rPr>
                <w:b/>
                <w:bCs/>
              </w:rPr>
              <w:t>Nombre</w:t>
            </w:r>
          </w:p>
        </w:tc>
        <w:tc>
          <w:tcPr>
            <w:tcW w:w="7160" w:type="dxa"/>
            <w:shd w:val="clear" w:color="auto" w:fill="FFFFFF"/>
            <w:tcMar>
              <w:top w:w="80" w:type="dxa"/>
              <w:left w:w="120" w:type="dxa"/>
              <w:bottom w:w="80" w:type="dxa"/>
              <w:right w:w="120" w:type="dxa"/>
            </w:tcMar>
          </w:tcPr>
          <w:p w14:paraId="30625685">
            <w:r>
              <w:t>Mantenibilidad</w:t>
            </w:r>
          </w:p>
        </w:tc>
      </w:tr>
      <w:tr w14:paraId="05469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1137428C">
            <w:r>
              <w:rPr>
                <w:b/>
                <w:bCs/>
              </w:rPr>
              <w:t>Descripción</w:t>
            </w:r>
          </w:p>
        </w:tc>
        <w:tc>
          <w:tcPr>
            <w:tcW w:w="7160" w:type="dxa"/>
            <w:shd w:val="clear" w:color="auto" w:fill="FFFFFF"/>
            <w:tcMar>
              <w:top w:w="80" w:type="dxa"/>
              <w:left w:w="120" w:type="dxa"/>
              <w:bottom w:w="80" w:type="dxa"/>
              <w:right w:w="120" w:type="dxa"/>
            </w:tcMar>
          </w:tcPr>
          <w:p w14:paraId="1000AF02">
            <w:r>
              <w:t>La arquitectura del sistema debe ser extensible para permitir la integración de nuevos modelos de IA por parte del equipo MLOps (ST07) y la incorporación de nuevos dispositivos IoT sin rediseño estructural. El sistema soporta la actualización y monitoreo continuo de Med-Gemini.</w:t>
            </w:r>
          </w:p>
        </w:tc>
      </w:tr>
      <w:tr w14:paraId="7B4FE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F4506AA">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161D9754">
            <w:pPr>
              <w:pStyle w:val="17"/>
              <w:numPr>
                <w:ilvl w:val="0"/>
                <w:numId w:val="1"/>
              </w:numPr>
            </w:pPr>
            <w:r>
              <w:t>El sistema permite incorporar nuevos modelos de IA o dispositivos sin rediseñar su estructura.</w:t>
            </w:r>
          </w:p>
          <w:p w14:paraId="084336D4">
            <w:pPr>
              <w:pStyle w:val="17"/>
              <w:numPr>
                <w:ilvl w:val="0"/>
                <w:numId w:val="1"/>
              </w:numPr>
            </w:pPr>
            <w:r>
              <w:t>Actualización de versión de Med-Gemini sin interrumpir el servicio.</w:t>
            </w:r>
          </w:p>
          <w:p w14:paraId="159B172B">
            <w:pPr>
              <w:pStyle w:val="17"/>
              <w:numPr>
                <w:ilvl w:val="0"/>
                <w:numId w:val="1"/>
              </w:numPr>
            </w:pPr>
            <w:r>
              <w:t>Logs de versión del modelo registrados en el 100% de las decisiones de Med-Gemini.</w:t>
            </w:r>
          </w:p>
          <w:p w14:paraId="79D49047">
            <w:pPr>
              <w:pStyle w:val="17"/>
              <w:numPr>
                <w:ilvl w:val="0"/>
                <w:numId w:val="1"/>
              </w:numPr>
            </w:pPr>
            <w:r>
              <w:t>El equipo MLOps (ST07) puede actualizar umbrales clínicos sin intervención de desarrollo.</w:t>
            </w:r>
          </w:p>
          <w:p w14:paraId="6AAFF4D1">
            <w:pPr>
              <w:pStyle w:val="17"/>
              <w:numPr>
                <w:ilvl w:val="0"/>
                <w:numId w:val="1"/>
              </w:numPr>
            </w:pPr>
            <w:r>
              <w:t>Auditorías de equidad de Med-Gemini ejecutables de forma independiente por ST07.</w:t>
            </w:r>
          </w:p>
        </w:tc>
      </w:tr>
      <w:tr w14:paraId="3C0DB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46BAFA1">
            <w:r>
              <w:rPr>
                <w:b/>
                <w:bCs/>
              </w:rPr>
              <w:t>Trazabilidad con RF</w:t>
            </w:r>
          </w:p>
        </w:tc>
        <w:tc>
          <w:tcPr>
            <w:tcW w:w="7160" w:type="dxa"/>
            <w:shd w:val="clear" w:color="auto" w:fill="FFFFFF"/>
            <w:tcMar>
              <w:top w:w="80" w:type="dxa"/>
              <w:left w:w="120" w:type="dxa"/>
              <w:bottom w:w="80" w:type="dxa"/>
              <w:right w:w="120" w:type="dxa"/>
            </w:tcMar>
          </w:tcPr>
          <w:p w14:paraId="723D7DBD">
            <w:r>
              <w:t>RF-M3-001, RF-M5-004</w:t>
            </w:r>
          </w:p>
        </w:tc>
      </w:tr>
    </w:tbl>
    <w:p w14:paraId="75F57EB7">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6CF5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2"/>
            <w:shd w:val="clear" w:color="auto" w:fill="FFFFFF" w:themeFill="background1"/>
            <w:tcMar>
              <w:top w:w="100" w:type="dxa"/>
              <w:left w:w="120" w:type="dxa"/>
              <w:bottom w:w="100" w:type="dxa"/>
              <w:right w:w="120" w:type="dxa"/>
            </w:tcMar>
          </w:tcPr>
          <w:p w14:paraId="660B33CE">
            <w:pPr>
              <w:jc w:val="center"/>
            </w:pPr>
            <w:r>
              <w:rPr>
                <w:b/>
                <w:bCs/>
              </w:rPr>
              <w:t>RNF-</w:t>
            </w:r>
            <w:r>
              <w:rPr>
                <w:rFonts w:hint="default"/>
                <w:b/>
                <w:bCs/>
                <w:lang w:val="es-ES"/>
              </w:rPr>
              <w:t>07</w:t>
            </w:r>
            <w:r>
              <w:rPr>
                <w:b/>
                <w:bCs/>
              </w:rPr>
              <w:t>:</w:t>
            </w:r>
            <w:r>
              <w:rPr>
                <w:rFonts w:hint="default"/>
                <w:b/>
                <w:bCs/>
                <w:lang w:val="es-ES"/>
              </w:rPr>
              <w:t xml:space="preserve"> </w:t>
            </w:r>
            <w:r>
              <w:rPr>
                <w:b/>
                <w:bCs/>
              </w:rPr>
              <w:t>Cumplimiento</w:t>
            </w:r>
          </w:p>
        </w:tc>
      </w:tr>
      <w:tr w14:paraId="7042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6AC17F60">
            <w:r>
              <w:rPr>
                <w:b/>
                <w:bCs/>
              </w:rPr>
              <w:t>ID</w:t>
            </w:r>
          </w:p>
        </w:tc>
        <w:tc>
          <w:tcPr>
            <w:tcW w:w="7160" w:type="dxa"/>
            <w:shd w:val="clear" w:color="auto" w:fill="FFFFFF"/>
            <w:tcMar>
              <w:top w:w="80" w:type="dxa"/>
              <w:left w:w="120" w:type="dxa"/>
              <w:bottom w:w="80" w:type="dxa"/>
              <w:right w:w="120" w:type="dxa"/>
            </w:tcMar>
          </w:tcPr>
          <w:p w14:paraId="1C4077D8">
            <w:pPr>
              <w:rPr>
                <w:rFonts w:hint="default"/>
                <w:lang w:val="es-ES"/>
              </w:rPr>
            </w:pPr>
            <w:r>
              <w:t>RNF-</w:t>
            </w:r>
            <w:r>
              <w:rPr>
                <w:rFonts w:hint="default"/>
                <w:lang w:val="es-ES"/>
              </w:rPr>
              <w:t>07</w:t>
            </w:r>
          </w:p>
        </w:tc>
      </w:tr>
      <w:tr w14:paraId="6816D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3C23FF5A">
            <w:r>
              <w:rPr>
                <w:b/>
                <w:bCs/>
              </w:rPr>
              <w:t>Nombre</w:t>
            </w:r>
          </w:p>
        </w:tc>
        <w:tc>
          <w:tcPr>
            <w:tcW w:w="7160" w:type="dxa"/>
            <w:shd w:val="clear" w:color="auto" w:fill="FFFFFF"/>
            <w:tcMar>
              <w:top w:w="80" w:type="dxa"/>
              <w:left w:w="120" w:type="dxa"/>
              <w:bottom w:w="80" w:type="dxa"/>
              <w:right w:w="120" w:type="dxa"/>
            </w:tcMar>
          </w:tcPr>
          <w:p w14:paraId="4C07F38A">
            <w:pPr>
              <w:rPr>
                <w:rFonts w:hint="default"/>
                <w:lang w:val="es-ES"/>
              </w:rPr>
            </w:pPr>
            <w:r>
              <w:t>C</w:t>
            </w:r>
            <w:r>
              <w:rPr>
                <w:rFonts w:hint="default"/>
                <w:lang w:val="es-ES"/>
              </w:rPr>
              <w:t>umplimiento</w:t>
            </w:r>
          </w:p>
        </w:tc>
      </w:tr>
      <w:tr w14:paraId="2399D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4F878730">
            <w:r>
              <w:rPr>
                <w:b/>
                <w:bCs/>
              </w:rPr>
              <w:t>Descripción</w:t>
            </w:r>
          </w:p>
        </w:tc>
        <w:tc>
          <w:tcPr>
            <w:tcW w:w="7160" w:type="dxa"/>
            <w:shd w:val="clear" w:color="auto" w:fill="FFFFFF"/>
            <w:tcMar>
              <w:top w:w="80" w:type="dxa"/>
              <w:left w:w="120" w:type="dxa"/>
              <w:bottom w:w="80" w:type="dxa"/>
              <w:right w:w="120" w:type="dxa"/>
            </w:tcMar>
          </w:tcPr>
          <w:p w14:paraId="1D5A130F">
            <w:r>
              <w:t>El sistema garantizará el cumplimiento de la LOPDP ecuatoriana, la Ley Orgánica de Salud del Ecuador, las regulaciones del MSP y los estándares HL7/FHIR en todas sus operaciones. El 100% de los registros clínicos y conversaciones con el bot serán almacenados conforme a los requisitos regulatorios. El MSP (ST05) validará los logs de auditoría como suficientes para la certificación regulatoria.</w:t>
            </w:r>
          </w:p>
        </w:tc>
      </w:tr>
      <w:tr w14:paraId="2693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6027AC52">
            <w:r>
              <w:rPr>
                <w:b/>
                <w:bCs/>
              </w:rPr>
              <w:t xml:space="preserve">Métricas de </w:t>
            </w:r>
            <w:r>
              <w:rPr>
                <w:rFonts w:hint="default"/>
                <w:b/>
                <w:bCs/>
                <w:lang w:val="es-ES"/>
              </w:rPr>
              <w:t>v</w:t>
            </w:r>
            <w:r>
              <w:rPr>
                <w:b/>
                <w:bCs/>
              </w:rPr>
              <w:t>erificación</w:t>
            </w:r>
          </w:p>
        </w:tc>
        <w:tc>
          <w:tcPr>
            <w:tcW w:w="7160" w:type="dxa"/>
            <w:shd w:val="clear" w:color="auto" w:fill="FFFFFF"/>
            <w:tcMar>
              <w:top w:w="80" w:type="dxa"/>
              <w:left w:w="120" w:type="dxa"/>
              <w:bottom w:w="80" w:type="dxa"/>
              <w:right w:w="120" w:type="dxa"/>
            </w:tcMar>
          </w:tcPr>
          <w:p w14:paraId="6D0AAA44">
            <w:pPr>
              <w:pStyle w:val="17"/>
              <w:numPr>
                <w:ilvl w:val="0"/>
                <w:numId w:val="1"/>
              </w:numPr>
            </w:pPr>
            <w:r>
              <w:t>El 100% de los consentimientos LOPDP registrados antes de acceder al historial clínico.</w:t>
            </w:r>
          </w:p>
          <w:p w14:paraId="4D32E2CC">
            <w:pPr>
              <w:pStyle w:val="17"/>
              <w:numPr>
                <w:ilvl w:val="0"/>
                <w:numId w:val="1"/>
              </w:numPr>
            </w:pPr>
            <w:r>
              <w:t>Auditoría regulatoria del MSP (ST05) sin observaciones en el primer ciclo.</w:t>
            </w:r>
          </w:p>
          <w:p w14:paraId="34337BC2">
            <w:pPr>
              <w:pStyle w:val="17"/>
              <w:numPr>
                <w:ilvl w:val="0"/>
                <w:numId w:val="1"/>
              </w:numPr>
            </w:pPr>
            <w:r>
              <w:t>El 100% de las interacciones con el bot y decisiones de IA registradas en el log de auditoría.</w:t>
            </w:r>
          </w:p>
          <w:p w14:paraId="361F9E8A">
            <w:pPr>
              <w:pStyle w:val="17"/>
              <w:numPr>
                <w:ilvl w:val="0"/>
                <w:numId w:val="1"/>
              </w:numPr>
            </w:pPr>
            <w:r>
              <w:t>Integración HL7/FHIR con IESS y Red de Salud Pública validada y operativa.</w:t>
            </w:r>
          </w:p>
          <w:p w14:paraId="7611DE89">
            <w:pPr>
              <w:pStyle w:val="17"/>
              <w:numPr>
                <w:ilvl w:val="0"/>
                <w:numId w:val="1"/>
              </w:numPr>
            </w:pPr>
            <w:r>
              <w:t>Revisión formal del ST05 de al menos un ciclo completo de auditoría del sistema.</w:t>
            </w:r>
          </w:p>
        </w:tc>
      </w:tr>
      <w:tr w14:paraId="79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hemeFill="background1"/>
            <w:tcMar>
              <w:top w:w="80" w:type="dxa"/>
              <w:left w:w="120" w:type="dxa"/>
              <w:bottom w:w="80" w:type="dxa"/>
              <w:right w:w="120" w:type="dxa"/>
            </w:tcMar>
          </w:tcPr>
          <w:p w14:paraId="73B704E6">
            <w:r>
              <w:rPr>
                <w:b/>
                <w:bCs/>
              </w:rPr>
              <w:t>Trazabilidad con RF</w:t>
            </w:r>
          </w:p>
        </w:tc>
        <w:tc>
          <w:tcPr>
            <w:tcW w:w="7160" w:type="dxa"/>
            <w:shd w:val="clear" w:color="auto" w:fill="FFFFFF"/>
            <w:tcMar>
              <w:top w:w="80" w:type="dxa"/>
              <w:left w:w="120" w:type="dxa"/>
              <w:bottom w:w="80" w:type="dxa"/>
              <w:right w:w="120" w:type="dxa"/>
            </w:tcMar>
          </w:tcPr>
          <w:p w14:paraId="4F43DFB1">
            <w:r>
              <w:t>RF-M1-002, RF-M5-002, RF-M5-004</w:t>
            </w:r>
          </w:p>
        </w:tc>
      </w:tr>
    </w:tbl>
    <w:p w14:paraId="0CB2098B">
      <w:pPr>
        <w:spacing w:after="100"/>
      </w:pPr>
    </w:p>
    <w:p w14:paraId="2524C9AD">
      <w:r>
        <w:br w:type="page"/>
      </w:r>
    </w:p>
    <w:p w14:paraId="0F59C3D3">
      <w:pPr>
        <w:pStyle w:val="2"/>
        <w:rPr>
          <w:color w:val="auto"/>
        </w:rPr>
      </w:pPr>
      <w:r>
        <w:rPr>
          <w:color w:val="auto"/>
        </w:rPr>
        <w:t>7. Matriz de Trazabilidad Completa</w:t>
      </w:r>
    </w:p>
    <w:p w14:paraId="01BA1E31">
      <w:pPr>
        <w:spacing w:after="120"/>
      </w:pPr>
      <w:r>
        <w:t>La siguiente tabla cierra la cadena de trazabilidad completa del sistema SAMR: desde el stakeholder que origina la necesidad, pasando por el módulo y característica, hasta el RF que la especifica y el RNF que la califica.</w:t>
      </w:r>
    </w:p>
    <w:p w14:paraId="5C24FB8A">
      <w:pPr>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800"/>
        <w:gridCol w:w="1900"/>
        <w:gridCol w:w="1800"/>
        <w:gridCol w:w="1760"/>
      </w:tblGrid>
      <w:tr w14:paraId="6E5B4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auto"/>
            <w:tcMar>
              <w:top w:w="80" w:type="dxa"/>
              <w:left w:w="120" w:type="dxa"/>
              <w:bottom w:w="80" w:type="dxa"/>
              <w:right w:w="120" w:type="dxa"/>
            </w:tcMar>
          </w:tcPr>
          <w:p w14:paraId="11D2D0C1">
            <w:r>
              <w:rPr>
                <w:b/>
                <w:bCs/>
              </w:rPr>
              <w:t>RF</w:t>
            </w:r>
          </w:p>
        </w:tc>
        <w:tc>
          <w:tcPr>
            <w:tcW w:w="2800" w:type="dxa"/>
            <w:shd w:val="clear" w:color="auto" w:fill="auto"/>
            <w:tcMar>
              <w:top w:w="80" w:type="dxa"/>
              <w:left w:w="120" w:type="dxa"/>
              <w:bottom w:w="80" w:type="dxa"/>
              <w:right w:w="120" w:type="dxa"/>
            </w:tcMar>
          </w:tcPr>
          <w:p w14:paraId="5F9F2AA4">
            <w:r>
              <w:rPr>
                <w:b/>
                <w:bCs/>
              </w:rPr>
              <w:t>Descripción resumida</w:t>
            </w:r>
          </w:p>
        </w:tc>
        <w:tc>
          <w:tcPr>
            <w:tcW w:w="1900" w:type="dxa"/>
            <w:shd w:val="clear" w:color="auto" w:fill="auto"/>
            <w:tcMar>
              <w:top w:w="80" w:type="dxa"/>
              <w:left w:w="120" w:type="dxa"/>
              <w:bottom w:w="80" w:type="dxa"/>
              <w:right w:w="120" w:type="dxa"/>
            </w:tcMar>
          </w:tcPr>
          <w:p w14:paraId="7833CE0F">
            <w:r>
              <w:rPr>
                <w:b/>
                <w:bCs/>
              </w:rPr>
              <w:t>Módulo — Característica</w:t>
            </w:r>
          </w:p>
        </w:tc>
        <w:tc>
          <w:tcPr>
            <w:tcW w:w="1800" w:type="dxa"/>
            <w:shd w:val="clear" w:color="auto" w:fill="auto"/>
            <w:tcMar>
              <w:top w:w="80" w:type="dxa"/>
              <w:left w:w="120" w:type="dxa"/>
              <w:bottom w:w="80" w:type="dxa"/>
              <w:right w:w="120" w:type="dxa"/>
            </w:tcMar>
          </w:tcPr>
          <w:p w14:paraId="767518A5">
            <w:r>
              <w:rPr>
                <w:b/>
                <w:bCs/>
              </w:rPr>
              <w:t>RNF Asociado</w:t>
            </w:r>
          </w:p>
        </w:tc>
        <w:tc>
          <w:tcPr>
            <w:tcW w:w="1760" w:type="dxa"/>
            <w:shd w:val="clear" w:color="auto" w:fill="auto"/>
            <w:tcMar>
              <w:top w:w="80" w:type="dxa"/>
              <w:left w:w="120" w:type="dxa"/>
              <w:bottom w:w="80" w:type="dxa"/>
              <w:right w:w="120" w:type="dxa"/>
            </w:tcMar>
          </w:tcPr>
          <w:p w14:paraId="053F743F">
            <w:r>
              <w:rPr>
                <w:b/>
                <w:bCs/>
              </w:rPr>
              <w:t>Stakeholder</w:t>
            </w:r>
          </w:p>
        </w:tc>
      </w:tr>
      <w:tr w14:paraId="19EE2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3E3BF1BC">
            <w:r>
              <w:t>RF-M1-001</w:t>
            </w:r>
          </w:p>
        </w:tc>
        <w:tc>
          <w:tcPr>
            <w:tcW w:w="2800" w:type="dxa"/>
            <w:shd w:val="clear" w:color="auto" w:fill="FFFFFF"/>
            <w:tcMar>
              <w:top w:w="80" w:type="dxa"/>
              <w:left w:w="120" w:type="dxa"/>
              <w:bottom w:w="80" w:type="dxa"/>
              <w:right w:w="120" w:type="dxa"/>
            </w:tcMar>
          </w:tcPr>
          <w:p w14:paraId="1CB58E0B">
            <w:r>
              <w:t>Registro y Gestión de Perfiles con Roles</w:t>
            </w:r>
          </w:p>
        </w:tc>
        <w:tc>
          <w:tcPr>
            <w:tcW w:w="1900" w:type="dxa"/>
            <w:shd w:val="clear" w:color="auto" w:fill="FFFFFF"/>
            <w:tcMar>
              <w:top w:w="80" w:type="dxa"/>
              <w:left w:w="120" w:type="dxa"/>
              <w:bottom w:w="80" w:type="dxa"/>
              <w:right w:w="120" w:type="dxa"/>
            </w:tcMar>
          </w:tcPr>
          <w:p w14:paraId="7C17002D">
            <w:r>
              <w:t>M1 — M01-C01</w:t>
            </w:r>
          </w:p>
        </w:tc>
        <w:tc>
          <w:tcPr>
            <w:tcW w:w="1800" w:type="dxa"/>
            <w:shd w:val="clear" w:color="auto" w:fill="FFFFFF"/>
            <w:tcMar>
              <w:top w:w="80" w:type="dxa"/>
              <w:left w:w="120" w:type="dxa"/>
              <w:bottom w:w="80" w:type="dxa"/>
              <w:right w:w="120" w:type="dxa"/>
            </w:tcMar>
          </w:tcPr>
          <w:p w14:paraId="196EC9CB">
            <w:r>
              <w:t>RNF-SEG-001</w:t>
            </w:r>
          </w:p>
        </w:tc>
        <w:tc>
          <w:tcPr>
            <w:tcW w:w="1760" w:type="dxa"/>
            <w:shd w:val="clear" w:color="auto" w:fill="FFFFFF"/>
            <w:tcMar>
              <w:top w:w="80" w:type="dxa"/>
              <w:left w:w="120" w:type="dxa"/>
              <w:bottom w:w="80" w:type="dxa"/>
              <w:right w:w="120" w:type="dxa"/>
            </w:tcMar>
          </w:tcPr>
          <w:p w14:paraId="4A402592">
            <w:r>
              <w:t>ST01, ST02, ST03</w:t>
            </w:r>
          </w:p>
        </w:tc>
      </w:tr>
      <w:tr w14:paraId="40F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616984A8">
            <w:r>
              <w:t>RF-M1-002</w:t>
            </w:r>
          </w:p>
        </w:tc>
        <w:tc>
          <w:tcPr>
            <w:tcW w:w="2800" w:type="dxa"/>
            <w:shd w:val="clear" w:color="auto" w:fill="FFFFFF"/>
            <w:tcMar>
              <w:top w:w="80" w:type="dxa"/>
              <w:left w:w="120" w:type="dxa"/>
              <w:bottom w:w="80" w:type="dxa"/>
              <w:right w:w="120" w:type="dxa"/>
            </w:tcMar>
          </w:tcPr>
          <w:p w14:paraId="28131C5D">
            <w:r>
              <w:t>Validación de Elegibilidad IESS/MSP</w:t>
            </w:r>
          </w:p>
        </w:tc>
        <w:tc>
          <w:tcPr>
            <w:tcW w:w="1900" w:type="dxa"/>
            <w:shd w:val="clear" w:color="auto" w:fill="FFFFFF"/>
            <w:tcMar>
              <w:top w:w="80" w:type="dxa"/>
              <w:left w:w="120" w:type="dxa"/>
              <w:bottom w:w="80" w:type="dxa"/>
              <w:right w:w="120" w:type="dxa"/>
            </w:tcMar>
          </w:tcPr>
          <w:p w14:paraId="0033F4E1">
            <w:r>
              <w:t>M1 — M01-C02</w:t>
            </w:r>
          </w:p>
        </w:tc>
        <w:tc>
          <w:tcPr>
            <w:tcW w:w="1800" w:type="dxa"/>
            <w:shd w:val="clear" w:color="auto" w:fill="FFFFFF"/>
            <w:tcMar>
              <w:top w:w="80" w:type="dxa"/>
              <w:left w:w="120" w:type="dxa"/>
              <w:bottom w:w="80" w:type="dxa"/>
              <w:right w:w="120" w:type="dxa"/>
            </w:tcMar>
          </w:tcPr>
          <w:p w14:paraId="64460E17">
            <w:r>
              <w:t>RNF-SEG-001, RNF-CUM-001</w:t>
            </w:r>
          </w:p>
        </w:tc>
        <w:tc>
          <w:tcPr>
            <w:tcW w:w="1760" w:type="dxa"/>
            <w:shd w:val="clear" w:color="auto" w:fill="FFFFFF"/>
            <w:tcMar>
              <w:top w:w="80" w:type="dxa"/>
              <w:left w:w="120" w:type="dxa"/>
              <w:bottom w:w="80" w:type="dxa"/>
              <w:right w:w="120" w:type="dxa"/>
            </w:tcMar>
          </w:tcPr>
          <w:p w14:paraId="6E976497">
            <w:r>
              <w:t>ST01, ST05, ST06</w:t>
            </w:r>
          </w:p>
        </w:tc>
      </w:tr>
      <w:tr w14:paraId="0793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7672B3F3">
            <w:r>
              <w:t>RF-M1-003</w:t>
            </w:r>
          </w:p>
        </w:tc>
        <w:tc>
          <w:tcPr>
            <w:tcW w:w="2800" w:type="dxa"/>
            <w:shd w:val="clear" w:color="auto" w:fill="FFFFFF"/>
            <w:tcMar>
              <w:top w:w="80" w:type="dxa"/>
              <w:left w:w="120" w:type="dxa"/>
              <w:bottom w:w="80" w:type="dxa"/>
              <w:right w:w="120" w:type="dxa"/>
            </w:tcMar>
          </w:tcPr>
          <w:p w14:paraId="296E67D1">
            <w:r>
              <w:t>Control de Acceso con MFA</w:t>
            </w:r>
          </w:p>
        </w:tc>
        <w:tc>
          <w:tcPr>
            <w:tcW w:w="1900" w:type="dxa"/>
            <w:shd w:val="clear" w:color="auto" w:fill="FFFFFF"/>
            <w:tcMar>
              <w:top w:w="80" w:type="dxa"/>
              <w:left w:w="120" w:type="dxa"/>
              <w:bottom w:w="80" w:type="dxa"/>
              <w:right w:w="120" w:type="dxa"/>
            </w:tcMar>
          </w:tcPr>
          <w:p w14:paraId="0B917E31">
            <w:r>
              <w:t>M1 — M01-C01</w:t>
            </w:r>
          </w:p>
        </w:tc>
        <w:tc>
          <w:tcPr>
            <w:tcW w:w="1800" w:type="dxa"/>
            <w:shd w:val="clear" w:color="auto" w:fill="FFFFFF"/>
            <w:tcMar>
              <w:top w:w="80" w:type="dxa"/>
              <w:left w:w="120" w:type="dxa"/>
              <w:bottom w:w="80" w:type="dxa"/>
              <w:right w:w="120" w:type="dxa"/>
            </w:tcMar>
          </w:tcPr>
          <w:p w14:paraId="67A2D94B">
            <w:r>
              <w:t>RNF-SEG-001</w:t>
            </w:r>
          </w:p>
        </w:tc>
        <w:tc>
          <w:tcPr>
            <w:tcW w:w="1760" w:type="dxa"/>
            <w:shd w:val="clear" w:color="auto" w:fill="FFFFFF"/>
            <w:tcMar>
              <w:top w:w="80" w:type="dxa"/>
              <w:left w:w="120" w:type="dxa"/>
              <w:bottom w:w="80" w:type="dxa"/>
              <w:right w:w="120" w:type="dxa"/>
            </w:tcMar>
          </w:tcPr>
          <w:p w14:paraId="6D76F4A0">
            <w:r>
              <w:t>ST01, ST02, ST03, ST06</w:t>
            </w:r>
          </w:p>
        </w:tc>
      </w:tr>
      <w:tr w14:paraId="73CDC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42454FAF">
            <w:r>
              <w:t>RF-M2-001</w:t>
            </w:r>
          </w:p>
        </w:tc>
        <w:tc>
          <w:tcPr>
            <w:tcW w:w="2800" w:type="dxa"/>
            <w:shd w:val="clear" w:color="auto" w:fill="FFFFFF"/>
            <w:tcMar>
              <w:top w:w="80" w:type="dxa"/>
              <w:left w:w="120" w:type="dxa"/>
              <w:bottom w:w="80" w:type="dxa"/>
              <w:right w:w="120" w:type="dxa"/>
            </w:tcMar>
          </w:tcPr>
          <w:p w14:paraId="780EBF24">
            <w:r>
              <w:t>Bot Conversacional de Primera Línea</w:t>
            </w:r>
          </w:p>
        </w:tc>
        <w:tc>
          <w:tcPr>
            <w:tcW w:w="1900" w:type="dxa"/>
            <w:shd w:val="clear" w:color="auto" w:fill="FFFFFF"/>
            <w:tcMar>
              <w:top w:w="80" w:type="dxa"/>
              <w:left w:w="120" w:type="dxa"/>
              <w:bottom w:w="80" w:type="dxa"/>
              <w:right w:w="120" w:type="dxa"/>
            </w:tcMar>
          </w:tcPr>
          <w:p w14:paraId="68C7CEB9">
            <w:r>
              <w:t>M2 — M02-C01</w:t>
            </w:r>
          </w:p>
        </w:tc>
        <w:tc>
          <w:tcPr>
            <w:tcW w:w="1800" w:type="dxa"/>
            <w:shd w:val="clear" w:color="auto" w:fill="FFFFFF"/>
            <w:tcMar>
              <w:top w:w="80" w:type="dxa"/>
              <w:left w:w="120" w:type="dxa"/>
              <w:bottom w:w="80" w:type="dxa"/>
              <w:right w:w="120" w:type="dxa"/>
            </w:tcMar>
          </w:tcPr>
          <w:p w14:paraId="545278C8">
            <w:r>
              <w:t>RNF-USA-001</w:t>
            </w:r>
          </w:p>
        </w:tc>
        <w:tc>
          <w:tcPr>
            <w:tcW w:w="1760" w:type="dxa"/>
            <w:shd w:val="clear" w:color="auto" w:fill="FFFFFF"/>
            <w:tcMar>
              <w:top w:w="80" w:type="dxa"/>
              <w:left w:w="120" w:type="dxa"/>
              <w:bottom w:w="80" w:type="dxa"/>
              <w:right w:w="120" w:type="dxa"/>
            </w:tcMar>
          </w:tcPr>
          <w:p w14:paraId="7AF067DF">
            <w:r>
              <w:t>ST01, ST02, ST07</w:t>
            </w:r>
          </w:p>
        </w:tc>
      </w:tr>
      <w:tr w14:paraId="42E89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3758737E">
            <w:r>
              <w:t>RF-M2-002</w:t>
            </w:r>
          </w:p>
        </w:tc>
        <w:tc>
          <w:tcPr>
            <w:tcW w:w="2800" w:type="dxa"/>
            <w:shd w:val="clear" w:color="auto" w:fill="FFFFFF"/>
            <w:tcMar>
              <w:top w:w="80" w:type="dxa"/>
              <w:left w:w="120" w:type="dxa"/>
              <w:bottom w:w="80" w:type="dxa"/>
              <w:right w:w="120" w:type="dxa"/>
            </w:tcMar>
          </w:tcPr>
          <w:p w14:paraId="575370EE">
            <w:r>
              <w:t>Med-Gemini — Triaje Clínico con XAI</w:t>
            </w:r>
          </w:p>
        </w:tc>
        <w:tc>
          <w:tcPr>
            <w:tcW w:w="1900" w:type="dxa"/>
            <w:shd w:val="clear" w:color="auto" w:fill="FFFFFF"/>
            <w:tcMar>
              <w:top w:w="80" w:type="dxa"/>
              <w:left w:w="120" w:type="dxa"/>
              <w:bottom w:w="80" w:type="dxa"/>
              <w:right w:w="120" w:type="dxa"/>
            </w:tcMar>
          </w:tcPr>
          <w:p w14:paraId="3720313B">
            <w:r>
              <w:t>M2 — M02-C02</w:t>
            </w:r>
          </w:p>
        </w:tc>
        <w:tc>
          <w:tcPr>
            <w:tcW w:w="1800" w:type="dxa"/>
            <w:shd w:val="clear" w:color="auto" w:fill="FFFFFF"/>
            <w:tcMar>
              <w:top w:w="80" w:type="dxa"/>
              <w:left w:w="120" w:type="dxa"/>
              <w:bottom w:w="80" w:type="dxa"/>
              <w:right w:w="120" w:type="dxa"/>
            </w:tcMar>
          </w:tcPr>
          <w:p w14:paraId="690D64F2">
            <w:r>
              <w:t>RNF-REN-001, RNF-EXP-001</w:t>
            </w:r>
          </w:p>
        </w:tc>
        <w:tc>
          <w:tcPr>
            <w:tcW w:w="1760" w:type="dxa"/>
            <w:shd w:val="clear" w:color="auto" w:fill="FFFFFF"/>
            <w:tcMar>
              <w:top w:w="80" w:type="dxa"/>
              <w:left w:w="120" w:type="dxa"/>
              <w:bottom w:w="80" w:type="dxa"/>
              <w:right w:w="120" w:type="dxa"/>
            </w:tcMar>
          </w:tcPr>
          <w:p w14:paraId="41E680D0">
            <w:r>
              <w:t>ST01, ST02, ST07</w:t>
            </w:r>
          </w:p>
        </w:tc>
      </w:tr>
      <w:tr w14:paraId="1B0D2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6F077E6E">
            <w:r>
              <w:t>RF-M2-003</w:t>
            </w:r>
          </w:p>
        </w:tc>
        <w:tc>
          <w:tcPr>
            <w:tcW w:w="2800" w:type="dxa"/>
            <w:shd w:val="clear" w:color="auto" w:fill="FFFFFF"/>
            <w:tcMar>
              <w:top w:w="80" w:type="dxa"/>
              <w:left w:w="120" w:type="dxa"/>
              <w:bottom w:w="80" w:type="dxa"/>
              <w:right w:w="120" w:type="dxa"/>
            </w:tcMar>
          </w:tcPr>
          <w:p w14:paraId="0D8A3521">
            <w:r>
              <w:t>Solicitud de Síntomas vía Formulario</w:t>
            </w:r>
          </w:p>
        </w:tc>
        <w:tc>
          <w:tcPr>
            <w:tcW w:w="1900" w:type="dxa"/>
            <w:shd w:val="clear" w:color="auto" w:fill="FFFFFF"/>
            <w:tcMar>
              <w:top w:w="80" w:type="dxa"/>
              <w:left w:w="120" w:type="dxa"/>
              <w:bottom w:w="80" w:type="dxa"/>
              <w:right w:w="120" w:type="dxa"/>
            </w:tcMar>
          </w:tcPr>
          <w:p w14:paraId="0A24ED83">
            <w:r>
              <w:t>M2 — M02-C03</w:t>
            </w:r>
          </w:p>
        </w:tc>
        <w:tc>
          <w:tcPr>
            <w:tcW w:w="1800" w:type="dxa"/>
            <w:shd w:val="clear" w:color="auto" w:fill="FFFFFF"/>
            <w:tcMar>
              <w:top w:w="80" w:type="dxa"/>
              <w:left w:w="120" w:type="dxa"/>
              <w:bottom w:w="80" w:type="dxa"/>
              <w:right w:w="120" w:type="dxa"/>
            </w:tcMar>
          </w:tcPr>
          <w:p w14:paraId="45B868BF">
            <w:r>
              <w:t>RNF-REN-001</w:t>
            </w:r>
          </w:p>
        </w:tc>
        <w:tc>
          <w:tcPr>
            <w:tcW w:w="1760" w:type="dxa"/>
            <w:shd w:val="clear" w:color="auto" w:fill="FFFFFF"/>
            <w:tcMar>
              <w:top w:w="80" w:type="dxa"/>
              <w:left w:w="120" w:type="dxa"/>
              <w:bottom w:w="80" w:type="dxa"/>
              <w:right w:w="120" w:type="dxa"/>
            </w:tcMar>
          </w:tcPr>
          <w:p w14:paraId="4E973D07">
            <w:r>
              <w:t>ST01, ST03, ST04</w:t>
            </w:r>
          </w:p>
        </w:tc>
      </w:tr>
      <w:tr w14:paraId="750B9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629D6B89">
            <w:r>
              <w:t>RF-M2-004</w:t>
            </w:r>
          </w:p>
        </w:tc>
        <w:tc>
          <w:tcPr>
            <w:tcW w:w="2800" w:type="dxa"/>
            <w:shd w:val="clear" w:color="auto" w:fill="FFFFFF"/>
            <w:tcMar>
              <w:top w:w="80" w:type="dxa"/>
              <w:left w:w="120" w:type="dxa"/>
              <w:bottom w:w="80" w:type="dxa"/>
              <w:right w:w="120" w:type="dxa"/>
            </w:tcMar>
          </w:tcPr>
          <w:p w14:paraId="4C334661">
            <w:r>
              <w:t>Alerta de Emergencia IoT</w:t>
            </w:r>
          </w:p>
        </w:tc>
        <w:tc>
          <w:tcPr>
            <w:tcW w:w="1900" w:type="dxa"/>
            <w:shd w:val="clear" w:color="auto" w:fill="FFFFFF"/>
            <w:tcMar>
              <w:top w:w="80" w:type="dxa"/>
              <w:left w:w="120" w:type="dxa"/>
              <w:bottom w:w="80" w:type="dxa"/>
              <w:right w:w="120" w:type="dxa"/>
            </w:tcMar>
          </w:tcPr>
          <w:p w14:paraId="661FC862">
            <w:r>
              <w:t>M2 — M02-C03</w:t>
            </w:r>
          </w:p>
        </w:tc>
        <w:tc>
          <w:tcPr>
            <w:tcW w:w="1800" w:type="dxa"/>
            <w:shd w:val="clear" w:color="auto" w:fill="FFFFFF"/>
            <w:tcMar>
              <w:top w:w="80" w:type="dxa"/>
              <w:left w:w="120" w:type="dxa"/>
              <w:bottom w:w="80" w:type="dxa"/>
              <w:right w:w="120" w:type="dxa"/>
            </w:tcMar>
          </w:tcPr>
          <w:p w14:paraId="6C574CF0">
            <w:r>
              <w:t>RNF-REN-001, RNF-DIS-001</w:t>
            </w:r>
          </w:p>
        </w:tc>
        <w:tc>
          <w:tcPr>
            <w:tcW w:w="1760" w:type="dxa"/>
            <w:shd w:val="clear" w:color="auto" w:fill="FFFFFF"/>
            <w:tcMar>
              <w:top w:w="80" w:type="dxa"/>
              <w:left w:w="120" w:type="dxa"/>
              <w:bottom w:w="80" w:type="dxa"/>
              <w:right w:w="120" w:type="dxa"/>
            </w:tcMar>
          </w:tcPr>
          <w:p w14:paraId="6C2F7E42">
            <w:r>
              <w:t>ST01, ST02, ST04</w:t>
            </w:r>
          </w:p>
        </w:tc>
      </w:tr>
      <w:tr w14:paraId="392A7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590E552B">
            <w:r>
              <w:t>RF-M2-005</w:t>
            </w:r>
          </w:p>
        </w:tc>
        <w:tc>
          <w:tcPr>
            <w:tcW w:w="2800" w:type="dxa"/>
            <w:shd w:val="clear" w:color="auto" w:fill="FFFFFF"/>
            <w:tcMar>
              <w:top w:w="80" w:type="dxa"/>
              <w:left w:w="120" w:type="dxa"/>
              <w:bottom w:w="80" w:type="dxa"/>
              <w:right w:w="120" w:type="dxa"/>
            </w:tcMar>
          </w:tcPr>
          <w:p w14:paraId="15E62D36">
            <w:r>
              <w:t>Motor de Matching y Panel Dinámico</w:t>
            </w:r>
          </w:p>
        </w:tc>
        <w:tc>
          <w:tcPr>
            <w:tcW w:w="1900" w:type="dxa"/>
            <w:shd w:val="clear" w:color="auto" w:fill="FFFFFF"/>
            <w:tcMar>
              <w:top w:w="80" w:type="dxa"/>
              <w:left w:w="120" w:type="dxa"/>
              <w:bottom w:w="80" w:type="dxa"/>
              <w:right w:w="120" w:type="dxa"/>
            </w:tcMar>
          </w:tcPr>
          <w:p w14:paraId="3A613B3F">
            <w:r>
              <w:t>M2 — M02-C04, M02-C05</w:t>
            </w:r>
          </w:p>
        </w:tc>
        <w:tc>
          <w:tcPr>
            <w:tcW w:w="1800" w:type="dxa"/>
            <w:shd w:val="clear" w:color="auto" w:fill="FFFFFF"/>
            <w:tcMar>
              <w:top w:w="80" w:type="dxa"/>
              <w:left w:w="120" w:type="dxa"/>
              <w:bottom w:w="80" w:type="dxa"/>
              <w:right w:w="120" w:type="dxa"/>
            </w:tcMar>
          </w:tcPr>
          <w:p w14:paraId="3F2AB66E">
            <w:r>
              <w:t>RNF-REN-001, RNF-USA-001</w:t>
            </w:r>
          </w:p>
        </w:tc>
        <w:tc>
          <w:tcPr>
            <w:tcW w:w="1760" w:type="dxa"/>
            <w:shd w:val="clear" w:color="auto" w:fill="FFFFFF"/>
            <w:tcMar>
              <w:top w:w="80" w:type="dxa"/>
              <w:left w:w="120" w:type="dxa"/>
              <w:bottom w:w="80" w:type="dxa"/>
              <w:right w:w="120" w:type="dxa"/>
            </w:tcMar>
          </w:tcPr>
          <w:p w14:paraId="64A56BEE">
            <w:r>
              <w:t>ST01, ST02, ST03, ST04</w:t>
            </w:r>
          </w:p>
        </w:tc>
      </w:tr>
      <w:tr w14:paraId="1C51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2E4C6350">
            <w:r>
              <w:t>RF-M3-001</w:t>
            </w:r>
          </w:p>
        </w:tc>
        <w:tc>
          <w:tcPr>
            <w:tcW w:w="2800" w:type="dxa"/>
            <w:shd w:val="clear" w:color="auto" w:fill="FFFFFF"/>
            <w:tcMar>
              <w:top w:w="80" w:type="dxa"/>
              <w:left w:w="120" w:type="dxa"/>
              <w:bottom w:w="80" w:type="dxa"/>
              <w:right w:w="120" w:type="dxa"/>
            </w:tcMar>
          </w:tcPr>
          <w:p w14:paraId="438AC150">
            <w:r>
              <w:t>Captura Continua de Flujos IoT</w:t>
            </w:r>
          </w:p>
        </w:tc>
        <w:tc>
          <w:tcPr>
            <w:tcW w:w="1900" w:type="dxa"/>
            <w:shd w:val="clear" w:color="auto" w:fill="FFFFFF"/>
            <w:tcMar>
              <w:top w:w="80" w:type="dxa"/>
              <w:left w:w="120" w:type="dxa"/>
              <w:bottom w:w="80" w:type="dxa"/>
              <w:right w:w="120" w:type="dxa"/>
            </w:tcMar>
          </w:tcPr>
          <w:p w14:paraId="3D26FE51">
            <w:r>
              <w:t>M3 — M03-C01</w:t>
            </w:r>
          </w:p>
        </w:tc>
        <w:tc>
          <w:tcPr>
            <w:tcW w:w="1800" w:type="dxa"/>
            <w:shd w:val="clear" w:color="auto" w:fill="FFFFFF"/>
            <w:tcMar>
              <w:top w:w="80" w:type="dxa"/>
              <w:left w:w="120" w:type="dxa"/>
              <w:bottom w:w="80" w:type="dxa"/>
              <w:right w:w="120" w:type="dxa"/>
            </w:tcMar>
          </w:tcPr>
          <w:p w14:paraId="1BF7449E">
            <w:r>
              <w:t>RNF-DIS-001, RNF-MAN-001</w:t>
            </w:r>
          </w:p>
        </w:tc>
        <w:tc>
          <w:tcPr>
            <w:tcW w:w="1760" w:type="dxa"/>
            <w:shd w:val="clear" w:color="auto" w:fill="FFFFFF"/>
            <w:tcMar>
              <w:top w:w="80" w:type="dxa"/>
              <w:left w:w="120" w:type="dxa"/>
              <w:bottom w:w="80" w:type="dxa"/>
              <w:right w:w="120" w:type="dxa"/>
            </w:tcMar>
          </w:tcPr>
          <w:p w14:paraId="7810170B">
            <w:r>
              <w:t>ST01, ST07</w:t>
            </w:r>
          </w:p>
        </w:tc>
      </w:tr>
      <w:tr w14:paraId="4978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6AF84FA7">
            <w:r>
              <w:t>RF-M3-002</w:t>
            </w:r>
          </w:p>
        </w:tc>
        <w:tc>
          <w:tcPr>
            <w:tcW w:w="2800" w:type="dxa"/>
            <w:shd w:val="clear" w:color="auto" w:fill="FFFFFF"/>
            <w:tcMar>
              <w:top w:w="80" w:type="dxa"/>
              <w:left w:w="120" w:type="dxa"/>
              <w:bottom w:w="80" w:type="dxa"/>
              <w:right w:w="120" w:type="dxa"/>
            </w:tcMar>
          </w:tcPr>
          <w:p w14:paraId="531499BA">
            <w:r>
              <w:t>Med-Gemini — Detección Predictiva</w:t>
            </w:r>
          </w:p>
        </w:tc>
        <w:tc>
          <w:tcPr>
            <w:tcW w:w="1900" w:type="dxa"/>
            <w:shd w:val="clear" w:color="auto" w:fill="FFFFFF"/>
            <w:tcMar>
              <w:top w:w="80" w:type="dxa"/>
              <w:left w:w="120" w:type="dxa"/>
              <w:bottom w:w="80" w:type="dxa"/>
              <w:right w:w="120" w:type="dxa"/>
            </w:tcMar>
          </w:tcPr>
          <w:p w14:paraId="585A4950">
            <w:r>
              <w:t>M3 — M03-C02</w:t>
            </w:r>
          </w:p>
        </w:tc>
        <w:tc>
          <w:tcPr>
            <w:tcW w:w="1800" w:type="dxa"/>
            <w:shd w:val="clear" w:color="auto" w:fill="FFFFFF"/>
            <w:tcMar>
              <w:top w:w="80" w:type="dxa"/>
              <w:left w:w="120" w:type="dxa"/>
              <w:bottom w:w="80" w:type="dxa"/>
              <w:right w:w="120" w:type="dxa"/>
            </w:tcMar>
          </w:tcPr>
          <w:p w14:paraId="1ABB6C9D">
            <w:r>
              <w:t>RNF-DIS-001, RNF-EXP-001</w:t>
            </w:r>
          </w:p>
        </w:tc>
        <w:tc>
          <w:tcPr>
            <w:tcW w:w="1760" w:type="dxa"/>
            <w:shd w:val="clear" w:color="auto" w:fill="FFFFFF"/>
            <w:tcMar>
              <w:top w:w="80" w:type="dxa"/>
              <w:left w:w="120" w:type="dxa"/>
              <w:bottom w:w="80" w:type="dxa"/>
              <w:right w:w="120" w:type="dxa"/>
            </w:tcMar>
          </w:tcPr>
          <w:p w14:paraId="234281C1">
            <w:r>
              <w:t>ST01, ST02, ST07</w:t>
            </w:r>
          </w:p>
        </w:tc>
      </w:tr>
      <w:tr w14:paraId="78A5A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2E815C55">
            <w:r>
              <w:t>RF-M3-003</w:t>
            </w:r>
          </w:p>
        </w:tc>
        <w:tc>
          <w:tcPr>
            <w:tcW w:w="2800" w:type="dxa"/>
            <w:shd w:val="clear" w:color="auto" w:fill="FFFFFF"/>
            <w:tcMar>
              <w:top w:w="80" w:type="dxa"/>
              <w:left w:w="120" w:type="dxa"/>
              <w:bottom w:w="80" w:type="dxa"/>
              <w:right w:w="120" w:type="dxa"/>
            </w:tcMar>
          </w:tcPr>
          <w:p w14:paraId="33BFE293">
            <w:r>
              <w:t>Comunicación de Alertas vía Bot</w:t>
            </w:r>
          </w:p>
        </w:tc>
        <w:tc>
          <w:tcPr>
            <w:tcW w:w="1900" w:type="dxa"/>
            <w:shd w:val="clear" w:color="auto" w:fill="FFFFFF"/>
            <w:tcMar>
              <w:top w:w="80" w:type="dxa"/>
              <w:left w:w="120" w:type="dxa"/>
              <w:bottom w:w="80" w:type="dxa"/>
              <w:right w:w="120" w:type="dxa"/>
            </w:tcMar>
          </w:tcPr>
          <w:p w14:paraId="6363F5FF">
            <w:r>
              <w:t>M3 — M03-C03</w:t>
            </w:r>
          </w:p>
        </w:tc>
        <w:tc>
          <w:tcPr>
            <w:tcW w:w="1800" w:type="dxa"/>
            <w:shd w:val="clear" w:color="auto" w:fill="FFFFFF"/>
            <w:tcMar>
              <w:top w:w="80" w:type="dxa"/>
              <w:left w:w="120" w:type="dxa"/>
              <w:bottom w:w="80" w:type="dxa"/>
              <w:right w:w="120" w:type="dxa"/>
            </w:tcMar>
          </w:tcPr>
          <w:p w14:paraId="0CE11440">
            <w:r>
              <w:t>RNF-USA-001</w:t>
            </w:r>
          </w:p>
        </w:tc>
        <w:tc>
          <w:tcPr>
            <w:tcW w:w="1760" w:type="dxa"/>
            <w:shd w:val="clear" w:color="auto" w:fill="FFFFFF"/>
            <w:tcMar>
              <w:top w:w="80" w:type="dxa"/>
              <w:left w:w="120" w:type="dxa"/>
              <w:bottom w:w="80" w:type="dxa"/>
              <w:right w:w="120" w:type="dxa"/>
            </w:tcMar>
          </w:tcPr>
          <w:p w14:paraId="31D2A235">
            <w:r>
              <w:t>ST01, ST07</w:t>
            </w:r>
          </w:p>
        </w:tc>
      </w:tr>
      <w:tr w14:paraId="53CDC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05CF7A7D">
            <w:r>
              <w:t>RF-M3-004</w:t>
            </w:r>
          </w:p>
        </w:tc>
        <w:tc>
          <w:tcPr>
            <w:tcW w:w="2800" w:type="dxa"/>
            <w:shd w:val="clear" w:color="auto" w:fill="FFFFFF"/>
            <w:tcMar>
              <w:top w:w="80" w:type="dxa"/>
              <w:left w:w="120" w:type="dxa"/>
              <w:bottom w:w="80" w:type="dxa"/>
              <w:right w:w="120" w:type="dxa"/>
            </w:tcMar>
          </w:tcPr>
          <w:p w14:paraId="039ACA08">
            <w:r>
              <w:t>Alertas Críticas Multicanal</w:t>
            </w:r>
          </w:p>
        </w:tc>
        <w:tc>
          <w:tcPr>
            <w:tcW w:w="1900" w:type="dxa"/>
            <w:shd w:val="clear" w:color="auto" w:fill="FFFFFF"/>
            <w:tcMar>
              <w:top w:w="80" w:type="dxa"/>
              <w:left w:w="120" w:type="dxa"/>
              <w:bottom w:w="80" w:type="dxa"/>
              <w:right w:w="120" w:type="dxa"/>
            </w:tcMar>
          </w:tcPr>
          <w:p w14:paraId="6445465B">
            <w:r>
              <w:t>M3 — M03-C03</w:t>
            </w:r>
          </w:p>
        </w:tc>
        <w:tc>
          <w:tcPr>
            <w:tcW w:w="1800" w:type="dxa"/>
            <w:shd w:val="clear" w:color="auto" w:fill="FFFFFF"/>
            <w:tcMar>
              <w:top w:w="80" w:type="dxa"/>
              <w:left w:w="120" w:type="dxa"/>
              <w:bottom w:w="80" w:type="dxa"/>
              <w:right w:w="120" w:type="dxa"/>
            </w:tcMar>
          </w:tcPr>
          <w:p w14:paraId="50A90CC4">
            <w:r>
              <w:t>RNF-DIS-001</w:t>
            </w:r>
          </w:p>
        </w:tc>
        <w:tc>
          <w:tcPr>
            <w:tcW w:w="1760" w:type="dxa"/>
            <w:shd w:val="clear" w:color="auto" w:fill="FFFFFF"/>
            <w:tcMar>
              <w:top w:w="80" w:type="dxa"/>
              <w:left w:w="120" w:type="dxa"/>
              <w:bottom w:w="80" w:type="dxa"/>
              <w:right w:w="120" w:type="dxa"/>
            </w:tcMar>
          </w:tcPr>
          <w:p w14:paraId="005B90C7">
            <w:r>
              <w:t>ST01, ST02, ST04</w:t>
            </w:r>
          </w:p>
        </w:tc>
      </w:tr>
      <w:tr w14:paraId="2F18B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174D1DBF">
            <w:r>
              <w:t>RF-M4-001</w:t>
            </w:r>
          </w:p>
        </w:tc>
        <w:tc>
          <w:tcPr>
            <w:tcW w:w="2800" w:type="dxa"/>
            <w:shd w:val="clear" w:color="auto" w:fill="FFFFFF"/>
            <w:tcMar>
              <w:top w:w="80" w:type="dxa"/>
              <w:left w:w="120" w:type="dxa"/>
              <w:bottom w:w="80" w:type="dxa"/>
              <w:right w:w="120" w:type="dxa"/>
            </w:tcMar>
          </w:tcPr>
          <w:p w14:paraId="047AEFA6">
            <w:r>
              <w:t>Teleconsulta con Med-Gemini XAI</w:t>
            </w:r>
          </w:p>
        </w:tc>
        <w:tc>
          <w:tcPr>
            <w:tcW w:w="1900" w:type="dxa"/>
            <w:shd w:val="clear" w:color="auto" w:fill="FFFFFF"/>
            <w:tcMar>
              <w:top w:w="80" w:type="dxa"/>
              <w:left w:w="120" w:type="dxa"/>
              <w:bottom w:w="80" w:type="dxa"/>
              <w:right w:w="120" w:type="dxa"/>
            </w:tcMar>
          </w:tcPr>
          <w:p w14:paraId="7B485CD0">
            <w:r>
              <w:t>M4 — M04-C01</w:t>
            </w:r>
          </w:p>
        </w:tc>
        <w:tc>
          <w:tcPr>
            <w:tcW w:w="1800" w:type="dxa"/>
            <w:shd w:val="clear" w:color="auto" w:fill="FFFFFF"/>
            <w:tcMar>
              <w:top w:w="80" w:type="dxa"/>
              <w:left w:w="120" w:type="dxa"/>
              <w:bottom w:w="80" w:type="dxa"/>
              <w:right w:w="120" w:type="dxa"/>
            </w:tcMar>
          </w:tcPr>
          <w:p w14:paraId="221D8988">
            <w:r>
              <w:t>RNF-REN-001, RNF-EXP-001</w:t>
            </w:r>
          </w:p>
        </w:tc>
        <w:tc>
          <w:tcPr>
            <w:tcW w:w="1760" w:type="dxa"/>
            <w:shd w:val="clear" w:color="auto" w:fill="FFFFFF"/>
            <w:tcMar>
              <w:top w:w="80" w:type="dxa"/>
              <w:left w:w="120" w:type="dxa"/>
              <w:bottom w:w="80" w:type="dxa"/>
              <w:right w:w="120" w:type="dxa"/>
            </w:tcMar>
          </w:tcPr>
          <w:p w14:paraId="6231E485">
            <w:r>
              <w:t>ST01, ST02, ST07</w:t>
            </w:r>
          </w:p>
        </w:tc>
      </w:tr>
      <w:tr w14:paraId="0FF5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618135CB">
            <w:r>
              <w:t>RF-M4-002</w:t>
            </w:r>
          </w:p>
        </w:tc>
        <w:tc>
          <w:tcPr>
            <w:tcW w:w="2800" w:type="dxa"/>
            <w:shd w:val="clear" w:color="auto" w:fill="FFFFFF"/>
            <w:tcMar>
              <w:top w:w="80" w:type="dxa"/>
              <w:left w:w="120" w:type="dxa"/>
              <w:bottom w:w="80" w:type="dxa"/>
              <w:right w:w="120" w:type="dxa"/>
            </w:tcMar>
          </w:tcPr>
          <w:p w14:paraId="34F989CF">
            <w:r>
              <w:t>Recetas Digitales con Firma Electrónica</w:t>
            </w:r>
          </w:p>
        </w:tc>
        <w:tc>
          <w:tcPr>
            <w:tcW w:w="1900" w:type="dxa"/>
            <w:shd w:val="clear" w:color="auto" w:fill="FFFFFF"/>
            <w:tcMar>
              <w:top w:w="80" w:type="dxa"/>
              <w:left w:w="120" w:type="dxa"/>
              <w:bottom w:w="80" w:type="dxa"/>
              <w:right w:w="120" w:type="dxa"/>
            </w:tcMar>
          </w:tcPr>
          <w:p w14:paraId="6428949A">
            <w:r>
              <w:t>M4 — M04-C02</w:t>
            </w:r>
          </w:p>
        </w:tc>
        <w:tc>
          <w:tcPr>
            <w:tcW w:w="1800" w:type="dxa"/>
            <w:shd w:val="clear" w:color="auto" w:fill="FFFFFF"/>
            <w:tcMar>
              <w:top w:w="80" w:type="dxa"/>
              <w:left w:w="120" w:type="dxa"/>
              <w:bottom w:w="80" w:type="dxa"/>
              <w:right w:w="120" w:type="dxa"/>
            </w:tcMar>
          </w:tcPr>
          <w:p w14:paraId="03D9BFF3">
            <w:r>
              <w:t>RNF-CUM-001</w:t>
            </w:r>
          </w:p>
        </w:tc>
        <w:tc>
          <w:tcPr>
            <w:tcW w:w="1760" w:type="dxa"/>
            <w:shd w:val="clear" w:color="auto" w:fill="FFFFFF"/>
            <w:tcMar>
              <w:top w:w="80" w:type="dxa"/>
              <w:left w:w="120" w:type="dxa"/>
              <w:bottom w:w="80" w:type="dxa"/>
              <w:right w:w="120" w:type="dxa"/>
            </w:tcMar>
          </w:tcPr>
          <w:p w14:paraId="53A5853F">
            <w:r>
              <w:t>ST01, ST02</w:t>
            </w:r>
          </w:p>
        </w:tc>
      </w:tr>
      <w:tr w14:paraId="2A6BD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6054F2D9">
            <w:r>
              <w:t>RF-M4-003</w:t>
            </w:r>
          </w:p>
        </w:tc>
        <w:tc>
          <w:tcPr>
            <w:tcW w:w="2800" w:type="dxa"/>
            <w:shd w:val="clear" w:color="auto" w:fill="FFFFFF"/>
            <w:tcMar>
              <w:top w:w="80" w:type="dxa"/>
              <w:left w:w="120" w:type="dxa"/>
              <w:bottom w:w="80" w:type="dxa"/>
              <w:right w:w="120" w:type="dxa"/>
            </w:tcMar>
          </w:tcPr>
          <w:p w14:paraId="35F55389">
            <w:r>
              <w:t>Derivación de Emergencia Presencial</w:t>
            </w:r>
          </w:p>
        </w:tc>
        <w:tc>
          <w:tcPr>
            <w:tcW w:w="1900" w:type="dxa"/>
            <w:shd w:val="clear" w:color="auto" w:fill="FFFFFF"/>
            <w:tcMar>
              <w:top w:w="80" w:type="dxa"/>
              <w:left w:w="120" w:type="dxa"/>
              <w:bottom w:w="80" w:type="dxa"/>
              <w:right w:w="120" w:type="dxa"/>
            </w:tcMar>
          </w:tcPr>
          <w:p w14:paraId="1F928D68">
            <w:r>
              <w:t>M4 — M04-C03</w:t>
            </w:r>
          </w:p>
        </w:tc>
        <w:tc>
          <w:tcPr>
            <w:tcW w:w="1800" w:type="dxa"/>
            <w:shd w:val="clear" w:color="auto" w:fill="FFFFFF"/>
            <w:tcMar>
              <w:top w:w="80" w:type="dxa"/>
              <w:left w:w="120" w:type="dxa"/>
              <w:bottom w:w="80" w:type="dxa"/>
              <w:right w:w="120" w:type="dxa"/>
            </w:tcMar>
          </w:tcPr>
          <w:p w14:paraId="54479211">
            <w:r>
              <w:t>RNF-DIS-001</w:t>
            </w:r>
          </w:p>
        </w:tc>
        <w:tc>
          <w:tcPr>
            <w:tcW w:w="1760" w:type="dxa"/>
            <w:shd w:val="clear" w:color="auto" w:fill="FFFFFF"/>
            <w:tcMar>
              <w:top w:w="80" w:type="dxa"/>
              <w:left w:w="120" w:type="dxa"/>
              <w:bottom w:w="80" w:type="dxa"/>
              <w:right w:w="120" w:type="dxa"/>
            </w:tcMar>
          </w:tcPr>
          <w:p w14:paraId="58BB745C">
            <w:r>
              <w:t>ST02, ST04</w:t>
            </w:r>
          </w:p>
        </w:tc>
      </w:tr>
      <w:tr w14:paraId="206EC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05A271AD">
            <w:r>
              <w:t>RF-M4-004</w:t>
            </w:r>
          </w:p>
        </w:tc>
        <w:tc>
          <w:tcPr>
            <w:tcW w:w="2800" w:type="dxa"/>
            <w:shd w:val="clear" w:color="auto" w:fill="FFFFFF"/>
            <w:tcMar>
              <w:top w:w="80" w:type="dxa"/>
              <w:left w:w="120" w:type="dxa"/>
              <w:bottom w:w="80" w:type="dxa"/>
              <w:right w:w="120" w:type="dxa"/>
            </w:tcMar>
          </w:tcPr>
          <w:p w14:paraId="43EFB770">
            <w:r>
              <w:t>Rechazo y Reasignación de Emergencia</w:t>
            </w:r>
          </w:p>
        </w:tc>
        <w:tc>
          <w:tcPr>
            <w:tcW w:w="1900" w:type="dxa"/>
            <w:shd w:val="clear" w:color="auto" w:fill="FFFFFF"/>
            <w:tcMar>
              <w:top w:w="80" w:type="dxa"/>
              <w:left w:w="120" w:type="dxa"/>
              <w:bottom w:w="80" w:type="dxa"/>
              <w:right w:w="120" w:type="dxa"/>
            </w:tcMar>
          </w:tcPr>
          <w:p w14:paraId="5E5D295D">
            <w:r>
              <w:t>M4 — M04-C04</w:t>
            </w:r>
          </w:p>
        </w:tc>
        <w:tc>
          <w:tcPr>
            <w:tcW w:w="1800" w:type="dxa"/>
            <w:shd w:val="clear" w:color="auto" w:fill="FFFFFF"/>
            <w:tcMar>
              <w:top w:w="80" w:type="dxa"/>
              <w:left w:w="120" w:type="dxa"/>
              <w:bottom w:w="80" w:type="dxa"/>
              <w:right w:w="120" w:type="dxa"/>
            </w:tcMar>
          </w:tcPr>
          <w:p w14:paraId="3708C148">
            <w:r>
              <w:t>RNF-DIS-001</w:t>
            </w:r>
          </w:p>
        </w:tc>
        <w:tc>
          <w:tcPr>
            <w:tcW w:w="1760" w:type="dxa"/>
            <w:shd w:val="clear" w:color="auto" w:fill="FFFFFF"/>
            <w:tcMar>
              <w:top w:w="80" w:type="dxa"/>
              <w:left w:w="120" w:type="dxa"/>
              <w:bottom w:w="80" w:type="dxa"/>
              <w:right w:w="120" w:type="dxa"/>
            </w:tcMar>
          </w:tcPr>
          <w:p w14:paraId="65EBC198">
            <w:r>
              <w:t>ST01, ST02, ST04</w:t>
            </w:r>
          </w:p>
        </w:tc>
      </w:tr>
      <w:tr w14:paraId="25D8D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54DFA737">
            <w:r>
              <w:t>RF-M5-001</w:t>
            </w:r>
          </w:p>
        </w:tc>
        <w:tc>
          <w:tcPr>
            <w:tcW w:w="2800" w:type="dxa"/>
            <w:shd w:val="clear" w:color="auto" w:fill="FFFFFF"/>
            <w:tcMar>
              <w:top w:w="80" w:type="dxa"/>
              <w:left w:w="120" w:type="dxa"/>
              <w:bottom w:w="80" w:type="dxa"/>
              <w:right w:w="120" w:type="dxa"/>
            </w:tcMar>
          </w:tcPr>
          <w:p w14:paraId="231EBA34">
            <w:r>
              <w:t>Cifrado AES-256 / TLS 1.3</w:t>
            </w:r>
          </w:p>
        </w:tc>
        <w:tc>
          <w:tcPr>
            <w:tcW w:w="1900" w:type="dxa"/>
            <w:shd w:val="clear" w:color="auto" w:fill="FFFFFF"/>
            <w:tcMar>
              <w:top w:w="80" w:type="dxa"/>
              <w:left w:w="120" w:type="dxa"/>
              <w:bottom w:w="80" w:type="dxa"/>
              <w:right w:w="120" w:type="dxa"/>
            </w:tcMar>
          </w:tcPr>
          <w:p w14:paraId="6CDA32D5">
            <w:r>
              <w:t>M5 — M05-C01</w:t>
            </w:r>
          </w:p>
        </w:tc>
        <w:tc>
          <w:tcPr>
            <w:tcW w:w="1800" w:type="dxa"/>
            <w:shd w:val="clear" w:color="auto" w:fill="FFFFFF"/>
            <w:tcMar>
              <w:top w:w="80" w:type="dxa"/>
              <w:left w:w="120" w:type="dxa"/>
              <w:bottom w:w="80" w:type="dxa"/>
              <w:right w:w="120" w:type="dxa"/>
            </w:tcMar>
          </w:tcPr>
          <w:p w14:paraId="09DCFC56">
            <w:r>
              <w:t>RNF-SEG-001</w:t>
            </w:r>
          </w:p>
        </w:tc>
        <w:tc>
          <w:tcPr>
            <w:tcW w:w="1760" w:type="dxa"/>
            <w:shd w:val="clear" w:color="auto" w:fill="FFFFFF"/>
            <w:tcMar>
              <w:top w:w="80" w:type="dxa"/>
              <w:left w:w="120" w:type="dxa"/>
              <w:bottom w:w="80" w:type="dxa"/>
              <w:right w:w="120" w:type="dxa"/>
            </w:tcMar>
          </w:tcPr>
          <w:p w14:paraId="7DC91288">
            <w:r>
              <w:t>ST05, ST06</w:t>
            </w:r>
          </w:p>
        </w:tc>
      </w:tr>
      <w:tr w14:paraId="4CB96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0B414F1D">
            <w:r>
              <w:t>RF-M5-002</w:t>
            </w:r>
          </w:p>
        </w:tc>
        <w:tc>
          <w:tcPr>
            <w:tcW w:w="2800" w:type="dxa"/>
            <w:shd w:val="clear" w:color="auto" w:fill="FFFFFF"/>
            <w:tcMar>
              <w:top w:w="80" w:type="dxa"/>
              <w:left w:w="120" w:type="dxa"/>
              <w:bottom w:w="80" w:type="dxa"/>
              <w:right w:w="120" w:type="dxa"/>
            </w:tcMar>
          </w:tcPr>
          <w:p w14:paraId="6384BD23">
            <w:r>
              <w:t>Consentimiento Explícito LOPDP</w:t>
            </w:r>
          </w:p>
        </w:tc>
        <w:tc>
          <w:tcPr>
            <w:tcW w:w="1900" w:type="dxa"/>
            <w:shd w:val="clear" w:color="auto" w:fill="FFFFFF"/>
            <w:tcMar>
              <w:top w:w="80" w:type="dxa"/>
              <w:left w:w="120" w:type="dxa"/>
              <w:bottom w:w="80" w:type="dxa"/>
              <w:right w:w="120" w:type="dxa"/>
            </w:tcMar>
          </w:tcPr>
          <w:p w14:paraId="7658CAFE">
            <w:r>
              <w:t>M5 — M05-C02</w:t>
            </w:r>
          </w:p>
        </w:tc>
        <w:tc>
          <w:tcPr>
            <w:tcW w:w="1800" w:type="dxa"/>
            <w:shd w:val="clear" w:color="auto" w:fill="FFFFFF"/>
            <w:tcMar>
              <w:top w:w="80" w:type="dxa"/>
              <w:left w:w="120" w:type="dxa"/>
              <w:bottom w:w="80" w:type="dxa"/>
              <w:right w:w="120" w:type="dxa"/>
            </w:tcMar>
          </w:tcPr>
          <w:p w14:paraId="477065F6">
            <w:r>
              <w:t>RNF-SEG-001, RNF-CUM-001</w:t>
            </w:r>
          </w:p>
        </w:tc>
        <w:tc>
          <w:tcPr>
            <w:tcW w:w="1760" w:type="dxa"/>
            <w:shd w:val="clear" w:color="auto" w:fill="FFFFFF"/>
            <w:tcMar>
              <w:top w:w="80" w:type="dxa"/>
              <w:left w:w="120" w:type="dxa"/>
              <w:bottom w:w="80" w:type="dxa"/>
              <w:right w:w="120" w:type="dxa"/>
            </w:tcMar>
          </w:tcPr>
          <w:p w14:paraId="3E047997">
            <w:r>
              <w:t>ST01, ST06, ST07</w:t>
            </w:r>
          </w:p>
        </w:tc>
      </w:tr>
      <w:tr w14:paraId="523F1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00947620">
            <w:r>
              <w:t>RF-M5-003</w:t>
            </w:r>
          </w:p>
        </w:tc>
        <w:tc>
          <w:tcPr>
            <w:tcW w:w="2800" w:type="dxa"/>
            <w:shd w:val="clear" w:color="auto" w:fill="FFFFFF"/>
            <w:tcMar>
              <w:top w:w="80" w:type="dxa"/>
              <w:left w:w="120" w:type="dxa"/>
              <w:bottom w:w="80" w:type="dxa"/>
              <w:right w:w="120" w:type="dxa"/>
            </w:tcMar>
          </w:tcPr>
          <w:p w14:paraId="5A845BAD">
            <w:r>
              <w:t>Repositorio Centralizado Persistente</w:t>
            </w:r>
          </w:p>
        </w:tc>
        <w:tc>
          <w:tcPr>
            <w:tcW w:w="1900" w:type="dxa"/>
            <w:shd w:val="clear" w:color="auto" w:fill="FFFFFF"/>
            <w:tcMar>
              <w:top w:w="80" w:type="dxa"/>
              <w:left w:w="120" w:type="dxa"/>
              <w:bottom w:w="80" w:type="dxa"/>
              <w:right w:w="120" w:type="dxa"/>
            </w:tcMar>
          </w:tcPr>
          <w:p w14:paraId="22BDE294">
            <w:r>
              <w:t>M5 — M05-C03</w:t>
            </w:r>
          </w:p>
        </w:tc>
        <w:tc>
          <w:tcPr>
            <w:tcW w:w="1800" w:type="dxa"/>
            <w:shd w:val="clear" w:color="auto" w:fill="FFFFFF"/>
            <w:tcMar>
              <w:top w:w="80" w:type="dxa"/>
              <w:left w:w="120" w:type="dxa"/>
              <w:bottom w:w="80" w:type="dxa"/>
              <w:right w:w="120" w:type="dxa"/>
            </w:tcMar>
          </w:tcPr>
          <w:p w14:paraId="69AA07D4">
            <w:r>
              <w:t>RNF-DIS-001</w:t>
            </w:r>
          </w:p>
        </w:tc>
        <w:tc>
          <w:tcPr>
            <w:tcW w:w="1760" w:type="dxa"/>
            <w:shd w:val="clear" w:color="auto" w:fill="FFFFFF"/>
            <w:tcMar>
              <w:top w:w="80" w:type="dxa"/>
              <w:left w:w="120" w:type="dxa"/>
              <w:bottom w:w="80" w:type="dxa"/>
              <w:right w:w="120" w:type="dxa"/>
            </w:tcMar>
          </w:tcPr>
          <w:p w14:paraId="3AFB3578">
            <w:r>
              <w:t>ST05, ST06</w:t>
            </w:r>
          </w:p>
        </w:tc>
      </w:tr>
      <w:tr w14:paraId="01FFB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FFFFF"/>
            <w:tcMar>
              <w:top w:w="80" w:type="dxa"/>
              <w:left w:w="120" w:type="dxa"/>
              <w:bottom w:w="80" w:type="dxa"/>
              <w:right w:w="120" w:type="dxa"/>
            </w:tcMar>
          </w:tcPr>
          <w:p w14:paraId="58F635E0">
            <w:r>
              <w:t>RF-M5-004</w:t>
            </w:r>
          </w:p>
        </w:tc>
        <w:tc>
          <w:tcPr>
            <w:tcW w:w="2800" w:type="dxa"/>
            <w:shd w:val="clear" w:color="auto" w:fill="FFFFFF"/>
            <w:tcMar>
              <w:top w:w="80" w:type="dxa"/>
              <w:left w:w="120" w:type="dxa"/>
              <w:bottom w:w="80" w:type="dxa"/>
              <w:right w:w="120" w:type="dxa"/>
            </w:tcMar>
          </w:tcPr>
          <w:p w14:paraId="787DB44E">
            <w:r>
              <w:t>Logs de Auditoría Inmutables SHA-256</w:t>
            </w:r>
          </w:p>
        </w:tc>
        <w:tc>
          <w:tcPr>
            <w:tcW w:w="1900" w:type="dxa"/>
            <w:shd w:val="clear" w:color="auto" w:fill="FFFFFF"/>
            <w:tcMar>
              <w:top w:w="80" w:type="dxa"/>
              <w:left w:w="120" w:type="dxa"/>
              <w:bottom w:w="80" w:type="dxa"/>
              <w:right w:w="120" w:type="dxa"/>
            </w:tcMar>
          </w:tcPr>
          <w:p w14:paraId="097AFDB0">
            <w:r>
              <w:t>M5 — M05-C04</w:t>
            </w:r>
          </w:p>
        </w:tc>
        <w:tc>
          <w:tcPr>
            <w:tcW w:w="1800" w:type="dxa"/>
            <w:shd w:val="clear" w:color="auto" w:fill="FFFFFF"/>
            <w:tcMar>
              <w:top w:w="80" w:type="dxa"/>
              <w:left w:w="120" w:type="dxa"/>
              <w:bottom w:w="80" w:type="dxa"/>
              <w:right w:w="120" w:type="dxa"/>
            </w:tcMar>
          </w:tcPr>
          <w:p w14:paraId="4E630B66">
            <w:r>
              <w:t>RNF-MAN-001, RNF-CUM-001</w:t>
            </w:r>
          </w:p>
        </w:tc>
        <w:tc>
          <w:tcPr>
            <w:tcW w:w="1760" w:type="dxa"/>
            <w:shd w:val="clear" w:color="auto" w:fill="FFFFFF"/>
            <w:tcMar>
              <w:top w:w="80" w:type="dxa"/>
              <w:left w:w="120" w:type="dxa"/>
              <w:bottom w:w="80" w:type="dxa"/>
              <w:right w:w="120" w:type="dxa"/>
            </w:tcMar>
          </w:tcPr>
          <w:p w14:paraId="48B92650">
            <w:r>
              <w:t>ST05, ST06, ST07</w:t>
            </w:r>
          </w:p>
        </w:tc>
      </w:tr>
    </w:tbl>
    <w:p w14:paraId="4A4BA239">
      <w:pPr>
        <w:spacing w:after="100"/>
      </w:pPr>
    </w:p>
    <w:sectPr>
      <w:pgSz w:w="12240" w:h="15840"/>
      <w:pgMar w:top="1440" w:right="1260" w:bottom="144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2A6E18"/>
    <w:multiLevelType w:val="multilevel"/>
    <w:tmpl w:val="1A2A6E18"/>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4F6F255C"/>
    <w:multiLevelType w:val="multilevel"/>
    <w:tmpl w:val="4F6F255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isplayBackgroundShape w:val="1"/>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7814"/>
    <w:rsid w:val="00087EE4"/>
    <w:rsid w:val="000E47A9"/>
    <w:rsid w:val="001D7982"/>
    <w:rsid w:val="002A5FDC"/>
    <w:rsid w:val="00451DD5"/>
    <w:rsid w:val="00461201"/>
    <w:rsid w:val="00AE7814"/>
    <w:rsid w:val="00B06660"/>
    <w:rsid w:val="00BC5A48"/>
    <w:rsid w:val="00D42CC4"/>
    <w:rsid w:val="00F2714C"/>
    <w:rsid w:val="00F60D37"/>
    <w:rsid w:val="00FD115E"/>
    <w:rsid w:val="0B7E4DBC"/>
    <w:rsid w:val="170621CB"/>
    <w:rsid w:val="5BC6758E"/>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List Paragraph"/>
  </w:latentStyles>
  <w:style w:type="paragraph" w:default="1" w:styleId="1">
    <w:name w:val="Normal"/>
    <w:qFormat/>
    <w:uiPriority w:val="0"/>
    <w:rPr>
      <w:rFonts w:ascii="Arial" w:hAnsi="Arial" w:eastAsia="Arial" w:cs="Arial"/>
      <w:lang w:val="es-EC" w:eastAsia="es-EC" w:bidi="ar-SA"/>
    </w:rPr>
  </w:style>
  <w:style w:type="paragraph" w:styleId="2">
    <w:name w:val="heading 1"/>
    <w:qFormat/>
    <w:uiPriority w:val="9"/>
    <w:pPr>
      <w:spacing w:before="400" w:after="200"/>
      <w:outlineLvl w:val="0"/>
    </w:pPr>
    <w:rPr>
      <w:rFonts w:ascii="Arial" w:hAnsi="Arial" w:eastAsia="Arial" w:cs="Arial"/>
      <w:b/>
      <w:bCs/>
      <w:color w:val="1F4E79"/>
      <w:sz w:val="28"/>
      <w:szCs w:val="28"/>
      <w:lang w:val="es-EC" w:eastAsia="es-EC" w:bidi="ar-SA"/>
    </w:rPr>
  </w:style>
  <w:style w:type="paragraph" w:styleId="3">
    <w:name w:val="heading 2"/>
    <w:unhideWhenUsed/>
    <w:qFormat/>
    <w:uiPriority w:val="9"/>
    <w:pPr>
      <w:spacing w:before="280" w:after="140"/>
      <w:outlineLvl w:val="1"/>
    </w:pPr>
    <w:rPr>
      <w:rFonts w:ascii="Arial" w:hAnsi="Arial" w:eastAsia="Arial" w:cs="Arial"/>
      <w:b/>
      <w:bCs/>
      <w:color w:val="2E74B5"/>
      <w:sz w:val="24"/>
      <w:szCs w:val="24"/>
      <w:lang w:val="es-EC" w:eastAsia="es-EC" w:bidi="ar-SA"/>
    </w:rPr>
  </w:style>
  <w:style w:type="paragraph" w:styleId="4">
    <w:name w:val="heading 3"/>
    <w:semiHidden/>
    <w:unhideWhenUsed/>
    <w:qFormat/>
    <w:uiPriority w:val="9"/>
    <w:pPr>
      <w:outlineLvl w:val="2"/>
    </w:pPr>
    <w:rPr>
      <w:rFonts w:ascii="Arial" w:hAnsi="Arial" w:eastAsia="Arial" w:cs="Arial"/>
      <w:color w:val="1F4D78"/>
      <w:sz w:val="24"/>
      <w:szCs w:val="24"/>
      <w:lang w:val="es-EC" w:eastAsia="es-EC" w:bidi="ar-SA"/>
    </w:rPr>
  </w:style>
  <w:style w:type="paragraph" w:styleId="5">
    <w:name w:val="heading 4"/>
    <w:semiHidden/>
    <w:unhideWhenUsed/>
    <w:qFormat/>
    <w:uiPriority w:val="9"/>
    <w:pPr>
      <w:outlineLvl w:val="3"/>
    </w:pPr>
    <w:rPr>
      <w:rFonts w:ascii="Arial" w:hAnsi="Arial" w:eastAsia="Arial" w:cs="Arial"/>
      <w:i/>
      <w:iCs/>
      <w:color w:val="2E74B5"/>
      <w:lang w:val="es-EC" w:eastAsia="es-EC" w:bidi="ar-SA"/>
    </w:rPr>
  </w:style>
  <w:style w:type="paragraph" w:styleId="6">
    <w:name w:val="heading 5"/>
    <w:semiHidden/>
    <w:unhideWhenUsed/>
    <w:qFormat/>
    <w:uiPriority w:val="9"/>
    <w:pPr>
      <w:outlineLvl w:val="4"/>
    </w:pPr>
    <w:rPr>
      <w:rFonts w:ascii="Arial" w:hAnsi="Arial" w:eastAsia="Arial" w:cs="Arial"/>
      <w:color w:val="2E74B5"/>
      <w:lang w:val="es-EC" w:eastAsia="es-EC" w:bidi="ar-SA"/>
    </w:rPr>
  </w:style>
  <w:style w:type="paragraph" w:styleId="7">
    <w:name w:val="heading 6"/>
    <w:semiHidden/>
    <w:unhideWhenUsed/>
    <w:qFormat/>
    <w:uiPriority w:val="9"/>
    <w:pPr>
      <w:outlineLvl w:val="5"/>
    </w:pPr>
    <w:rPr>
      <w:rFonts w:ascii="Arial" w:hAnsi="Arial" w:eastAsia="Arial" w:cs="Arial"/>
      <w:color w:val="1F4D78"/>
      <w:lang w:val="es-EC" w:eastAsia="es-EC"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uiPriority w:val="99"/>
    <w:rPr>
      <w:vertAlign w:val="superscript"/>
    </w:rPr>
  </w:style>
  <w:style w:type="character" w:styleId="12">
    <w:name w:val="Hyperlink"/>
    <w:unhideWhenUsed/>
    <w:uiPriority w:val="99"/>
    <w:rPr>
      <w:color w:val="0563C1"/>
      <w:u w:val="single"/>
    </w:rPr>
  </w:style>
  <w:style w:type="paragraph" w:styleId="13">
    <w:name w:val="footnote text"/>
    <w:link w:val="18"/>
    <w:semiHidden/>
    <w:unhideWhenUsed/>
    <w:uiPriority w:val="99"/>
    <w:rPr>
      <w:rFonts w:ascii="Arial" w:hAnsi="Arial" w:eastAsia="Arial" w:cs="Arial"/>
      <w:lang w:val="es-EC" w:eastAsia="es-EC" w:bidi="ar-SA"/>
    </w:rPr>
  </w:style>
  <w:style w:type="paragraph" w:styleId="14">
    <w:name w:val="endnote text"/>
    <w:link w:val="19"/>
    <w:semiHidden/>
    <w:unhideWhenUsed/>
    <w:uiPriority w:val="99"/>
    <w:rPr>
      <w:rFonts w:ascii="Arial" w:hAnsi="Arial" w:eastAsia="Arial" w:cs="Arial"/>
      <w:lang w:val="es-EC" w:eastAsia="es-EC" w:bidi="ar-SA"/>
    </w:rPr>
  </w:style>
  <w:style w:type="paragraph" w:styleId="15">
    <w:name w:val="Title"/>
    <w:qFormat/>
    <w:uiPriority w:val="10"/>
    <w:rPr>
      <w:rFonts w:ascii="Arial" w:hAnsi="Arial" w:eastAsia="Arial" w:cs="Arial"/>
      <w:sz w:val="56"/>
      <w:szCs w:val="56"/>
      <w:lang w:val="es-EC" w:eastAsia="es-EC" w:bidi="ar-SA"/>
    </w:rPr>
  </w:style>
  <w:style w:type="paragraph" w:customStyle="1" w:styleId="16">
    <w:name w:val="Fuerte1"/>
    <w:qFormat/>
    <w:uiPriority w:val="0"/>
    <w:rPr>
      <w:rFonts w:ascii="Arial" w:hAnsi="Arial" w:eastAsia="Arial" w:cs="Arial"/>
      <w:b/>
      <w:bCs/>
      <w:lang w:val="es-EC" w:eastAsia="es-EC" w:bidi="ar-SA"/>
    </w:rPr>
  </w:style>
  <w:style w:type="paragraph" w:styleId="17">
    <w:name w:val="List Paragraph"/>
    <w:qFormat/>
    <w:uiPriority w:val="0"/>
    <w:rPr>
      <w:rFonts w:ascii="Arial" w:hAnsi="Arial" w:eastAsia="Arial" w:cs="Arial"/>
      <w:lang w:val="es-EC" w:eastAsia="es-EC" w:bidi="ar-SA"/>
    </w:rPr>
  </w:style>
  <w:style w:type="character" w:customStyle="1" w:styleId="18">
    <w:name w:val="Texto nota pie Car"/>
    <w:link w:val="13"/>
    <w:semiHidden/>
    <w:unhideWhenUsed/>
    <w:uiPriority w:val="99"/>
    <w:rPr>
      <w:sz w:val="20"/>
      <w:szCs w:val="20"/>
    </w:rPr>
  </w:style>
  <w:style w:type="character" w:customStyle="1" w:styleId="19">
    <w:name w:val="Texto nota al final Car"/>
    <w:link w:val="14"/>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27</Pages>
  <Words>418</Words>
  <Characters>2638</Characters>
  <Lines>367</Lines>
  <Paragraphs>103</Paragraphs>
  <TotalTime>3</TotalTime>
  <ScaleCrop>false</ScaleCrop>
  <LinksUpToDate>false</LinksUpToDate>
  <CharactersWithSpaces>2989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2026-06-17T12:21:00Z</dcterms:created>
  <dc:creator>Un-named</dc:creator>
  <cp:lastModifiedBy>Lady Robalino</cp:lastModifiedBy>
  <dcterms:modified xsi:type="dcterms:W3CDTF">2026-06-18T02:10:49Z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eyJoZGlkIjoiOTBiYWJiNmVmZjA4NmYxOTkwNTY0NjU3YzAyNjgxZWEiLCJ1c2VySWQiOiIxODAwNDUwNDAxNzc5OCJ9</vt:lpwstr>
  </property>
  <property fmtid="{D5CDD505-2E9C-101B-9397-08002B2CF9AE}" pid="3" name="KSOProductBuildVer">
    <vt:lpwstr>3082-12.1.0.26880</vt:lpwstr>
  </property>
  <property fmtid="{D5CDD505-2E9C-101B-9397-08002B2CF9AE}" pid="4" name="ICV">
    <vt:lpwstr>4CF0EA8D6A0B432FB8EB5308123BC3DF_13</vt:lpwstr>
  </property>
</Properties>
</file>