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r>
        <w:t xml:space="preserve"/>
      </w:r>
    </w:p>
    <w:p>
      <w:pPr>
        <w:spacing w:after="60"/>
        <w:jc w:val="center"/>
      </w:pPr>
      <w:r>
        <w:rPr>
          <w:rFonts w:ascii="Arial" w:cs="Arial" w:eastAsia="Arial" w:hAnsi="Arial"/>
          <w:b/>
          <w:bCs/>
          <w:color w:val="1F4E79"/>
          <w:sz w:val="22"/>
          <w:szCs w:val="22"/>
        </w:rPr>
        <w:t xml:space="preserve">UNIVERSIDAD TÉCNICA PARTICULAR DE LOJA</w:t>
      </w:r>
    </w:p>
    <w:p>
      <w:pPr>
        <w:spacing w:after="320"/>
        <w:jc w:val="center"/>
      </w:pPr>
      <w:r>
        <w:rPr>
          <w:rFonts w:ascii="Arial" w:cs="Arial" w:eastAsia="Arial" w:hAnsi="Arial"/>
          <w:color w:val="595959"/>
          <w:sz w:val="20"/>
          <w:szCs w:val="20"/>
        </w:rPr>
        <w:t xml:space="preserve">Vicerrectorado Académico</w:t>
      </w:r>
    </w:p>
    <w:p>
      <w:pPr>
        <w:spacing w:after="120"/>
        <w:jc w:val="center"/>
      </w:pPr>
      <w:r>
        <w:rPr>
          <w:rFonts w:ascii="Arial" w:cs="Arial" w:eastAsia="Arial" w:hAnsi="Arial"/>
          <w:b/>
          <w:bCs/>
          <w:color w:val="1F4E79"/>
          <w:sz w:val="30"/>
          <w:szCs w:val="30"/>
        </w:rPr>
        <w:t xml:space="preserve">DOCUMENTO DE VISIÓN DEL PRODUCTO</w:t>
      </w:r>
    </w:p>
    <w:p>
      <w:pPr>
        <w:spacing w:after="80"/>
        <w:jc w:val="center"/>
      </w:pPr>
      <w:r>
        <w:rPr>
          <w:rFonts w:ascii="Arial" w:cs="Arial" w:eastAsia="Arial" w:hAnsi="Arial"/>
          <w:b/>
          <w:bCs/>
          <w:color w:val="2E75B6"/>
          <w:sz w:val="52"/>
          <w:szCs w:val="52"/>
        </w:rPr>
        <w:t xml:space="preserve">SAMR</w:t>
      </w:r>
    </w:p>
    <w:p>
      <w:pPr>
        <w:spacing w:after="60"/>
        <w:jc w:val="center"/>
      </w:pPr>
      <w:r>
        <w:rPr>
          <w:rFonts w:ascii="Arial" w:cs="Arial" w:eastAsia="Arial" w:hAnsi="Arial"/>
          <w:b/>
          <w:bCs/>
          <w:color w:val="1F4E79"/>
          <w:sz w:val="28"/>
          <w:szCs w:val="28"/>
        </w:rPr>
        <w:t xml:space="preserve">Sistema de Atención Médica Remota</w:t>
      </w:r>
    </w:p>
    <w:p>
      <w:pPr>
        <w:spacing w:after="60"/>
        <w:jc w:val="center"/>
      </w:pPr>
      <w:r>
        <w:rPr>
          <w:rFonts w:ascii="Arial" w:cs="Arial" w:eastAsia="Arial" w:hAnsi="Arial"/>
          <w:i/>
          <w:iCs/>
          <w:color w:val="595959"/>
          <w:sz w:val="22"/>
          <w:szCs w:val="22"/>
        </w:rPr>
        <w:t xml:space="preserve">Transformado mediante IA e Interfaces Conversacionales</w:t>
      </w:r>
    </w:p>
    <w:p>
      <w:pPr>
        <w:spacing w:after="180"/>
      </w:pPr>
      <w:r>
        <w:t xml:space="preserve"/>
      </w:r>
    </w:p>
    <w:p>
      <w:pPr>
        <w:spacing w:after="60"/>
        <w:jc w:val="center"/>
      </w:pPr>
      <w:r>
        <w:rPr>
          <w:rFonts w:ascii="Arial" w:cs="Arial" w:eastAsia="Arial" w:hAnsi="Arial"/>
          <w:b/>
          <w:bCs/>
          <w:color w:val="2E75B6"/>
          <w:sz w:val="22"/>
          <w:szCs w:val="22"/>
        </w:rPr>
        <w:t xml:space="preserve">Versión 3.3  |  Junio 2026</w:t>
      </w:r>
    </w:p>
    <w:p>
      <w:pPr>
        <w:spacing w:after="180"/>
      </w:pPr>
      <w:r>
        <w:t xml:space="preserve"/>
      </w:r>
    </w:p>
    <w:p>
      <w:pPr>
        <w:spacing w:after="60"/>
        <w:jc w:val="center"/>
      </w:pPr>
      <w:r>
        <w:rPr>
          <w:rFonts w:ascii="Arial" w:cs="Arial" w:eastAsia="Arial" w:hAnsi="Arial"/>
          <w:b/>
          <w:bCs/>
          <w:color w:val="1F4E79"/>
          <w:sz w:val="20"/>
          <w:szCs w:val="20"/>
        </w:rPr>
        <w:t xml:space="preserve">Integrantes del equipo:</w:t>
      </w:r>
    </w:p>
    <w:p>
      <w:pPr>
        <w:spacing w:after="36"/>
        <w:jc w:val="center"/>
      </w:pPr>
      <w:r>
        <w:rPr>
          <w:rFonts w:ascii="Arial" w:cs="Arial" w:eastAsia="Arial" w:hAnsi="Arial"/>
          <w:b/>
          <w:bCs/>
          <w:color w:val="1F4E79"/>
          <w:sz w:val="20"/>
          <w:szCs w:val="20"/>
        </w:rPr>
        <w:t xml:space="preserve">Julio Maldonado</w:t>
      </w:r>
      <w:r>
        <w:rPr>
          <w:rFonts w:ascii="Arial" w:cs="Arial" w:eastAsia="Arial" w:hAnsi="Arial"/>
          <w:color w:val="595959"/>
          <w:sz w:val="20"/>
          <w:szCs w:val="20"/>
        </w:rPr>
        <w:t xml:space="preserve"> — Administrador de Base de Datos</w:t>
      </w:r>
    </w:p>
    <w:p>
      <w:pPr>
        <w:spacing w:after="36"/>
        <w:jc w:val="center"/>
      </w:pPr>
      <w:r>
        <w:rPr>
          <w:rFonts w:ascii="Arial" w:cs="Arial" w:eastAsia="Arial" w:hAnsi="Arial"/>
          <w:b/>
          <w:bCs/>
          <w:color w:val="1F4E79"/>
          <w:sz w:val="20"/>
          <w:szCs w:val="20"/>
        </w:rPr>
        <w:t xml:space="preserve">Antonela Parra</w:t>
      </w:r>
      <w:r>
        <w:rPr>
          <w:rFonts w:ascii="Arial" w:cs="Arial" w:eastAsia="Arial" w:hAnsi="Arial"/>
          <w:color w:val="595959"/>
          <w:sz w:val="20"/>
          <w:szCs w:val="20"/>
        </w:rPr>
        <w:t xml:space="preserve"> — Desarrollador Backend</w:t>
      </w:r>
    </w:p>
    <w:p>
      <w:pPr>
        <w:spacing w:after="36"/>
        <w:jc w:val="center"/>
      </w:pPr>
      <w:r>
        <w:rPr>
          <w:rFonts w:ascii="Arial" w:cs="Arial" w:eastAsia="Arial" w:hAnsi="Arial"/>
          <w:b/>
          <w:bCs/>
          <w:color w:val="1F4E79"/>
          <w:sz w:val="20"/>
          <w:szCs w:val="20"/>
        </w:rPr>
        <w:t xml:space="preserve">Paula López</w:t>
      </w:r>
      <w:r>
        <w:rPr>
          <w:rFonts w:ascii="Arial" w:cs="Arial" w:eastAsia="Arial" w:hAnsi="Arial"/>
          <w:color w:val="595959"/>
          <w:sz w:val="20"/>
          <w:szCs w:val="20"/>
        </w:rPr>
        <w:t xml:space="preserve"> — Desarrollador Frontend</w:t>
      </w:r>
    </w:p>
    <w:p>
      <w:pPr>
        <w:spacing w:after="36"/>
        <w:jc w:val="center"/>
      </w:pPr>
      <w:r>
        <w:rPr>
          <w:rFonts w:ascii="Arial" w:cs="Arial" w:eastAsia="Arial" w:hAnsi="Arial"/>
          <w:b/>
          <w:bCs/>
          <w:color w:val="1F4E79"/>
          <w:sz w:val="20"/>
          <w:szCs w:val="20"/>
        </w:rPr>
        <w:t xml:space="preserve">Leydi Robalino</w:t>
      </w:r>
      <w:r>
        <w:rPr>
          <w:rFonts w:ascii="Arial" w:cs="Arial" w:eastAsia="Arial" w:hAnsi="Arial"/>
          <w:color w:val="595959"/>
          <w:sz w:val="20"/>
          <w:szCs w:val="20"/>
        </w:rPr>
        <w:t xml:space="preserve"> — Arquitecto de Software</w:t>
      </w:r>
    </w:p>
    <w:p>
      <w:pPr>
        <w:spacing w:after="36"/>
        <w:jc w:val="center"/>
      </w:pPr>
      <w:r>
        <w:rPr>
          <w:rFonts w:ascii="Arial" w:cs="Arial" w:eastAsia="Arial" w:hAnsi="Arial"/>
          <w:b/>
          <w:bCs/>
          <w:color w:val="1F4E79"/>
          <w:sz w:val="20"/>
          <w:szCs w:val="20"/>
        </w:rPr>
        <w:t xml:space="preserve">Alisson Condoy</w:t>
      </w:r>
      <w:r>
        <w:rPr>
          <w:rFonts w:ascii="Arial" w:cs="Arial" w:eastAsia="Arial" w:hAnsi="Arial"/>
          <w:color w:val="595959"/>
          <w:sz w:val="20"/>
          <w:szCs w:val="20"/>
        </w:rPr>
        <w:t xml:space="preserve"> — Especialista en Seguridad</w:t>
      </w:r>
    </w:p>
    <w:p>
      <w:pPr>
        <w:spacing w:after="36"/>
        <w:jc w:val="center"/>
      </w:pPr>
      <w:r>
        <w:rPr>
          <w:rFonts w:ascii="Arial" w:cs="Arial" w:eastAsia="Arial" w:hAnsi="Arial"/>
          <w:b/>
          <w:bCs/>
          <w:color w:val="1F4E79"/>
          <w:sz w:val="20"/>
          <w:szCs w:val="20"/>
        </w:rPr>
        <w:t xml:space="preserve">David León</w:t>
      </w:r>
      <w:r>
        <w:rPr>
          <w:rFonts w:ascii="Arial" w:cs="Arial" w:eastAsia="Arial" w:hAnsi="Arial"/>
          <w:color w:val="595959"/>
          <w:sz w:val="20"/>
          <w:szCs w:val="20"/>
        </w:rPr>
        <w:t xml:space="preserve"> — Analista de Requisitos</w:t>
      </w:r>
    </w:p>
    <w:p>
      <w:r>
        <w:br w:type="page"/>
      </w:r>
    </w:p>
    <w:p>
      <w:pPr>
        <w:pStyle w:val="Heading1"/>
        <w:pBdr>
          <w:bottom w:val="single" w:color="2E75B6" w:sz="8" w:space="4"/>
        </w:pBdr>
        <w:spacing w:after="160" w:before="340"/>
      </w:pPr>
      <w:r>
        <w:rPr>
          <w:rFonts w:ascii="Arial" w:cs="Arial" w:eastAsia="Arial" w:hAnsi="Arial"/>
          <w:b/>
          <w:bCs/>
          <w:color w:val="1F4E79"/>
          <w:sz w:val="30"/>
          <w:szCs w:val="30"/>
        </w:rPr>
        <w:t xml:space="preserve">1. Control de Cambios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400"/>
        <w:gridCol w:w="4000"/>
        <w:gridCol w:w="1460"/>
      </w:tblGrid>
      <w:tr>
        <w:trPr>
          <w:tblHeader/>
        </w:trPr>
        <w:tc>
          <w:tcPr>
            <w:tcW w:type="dxa" w:w="9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Versión</w:t>
            </w:r>
          </w:p>
        </w:tc>
        <w:tc>
          <w:tcPr>
            <w:tcW w:type="dxa" w:w="10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Fecha</w:t>
            </w:r>
          </w:p>
        </w:tc>
        <w:tc>
          <w:tcPr>
            <w:tcW w:type="dxa" w:w="14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Autor</w:t>
            </w:r>
          </w:p>
        </w:tc>
        <w:tc>
          <w:tcPr>
            <w:tcW w:type="dxa" w:w="40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Descripción</w:t>
            </w:r>
          </w:p>
        </w:tc>
        <w:tc>
          <w:tcPr>
            <w:tcW w:type="dxa" w:w="14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Estado</w:t>
            </w:r>
          </w:p>
        </w:tc>
      </w:tr>
      <w:tr>
        <w:tc>
          <w:tcPr>
            <w:tcW w:type="dxa" w:w="9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0.1</w:t>
            </w:r>
          </w:p>
        </w:tc>
        <w:tc>
          <w:tcPr>
            <w:tcW w:type="dxa" w:w="1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15/04/2026</w:t>
            </w:r>
          </w:p>
        </w:tc>
        <w:tc>
          <w:tcPr>
            <w:tcW w:type="dxa" w:w="1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Equipo de Trabajo</w:t>
            </w:r>
          </w:p>
        </w:tc>
        <w:tc>
          <w:tcPr>
            <w:tcW w:type="dxa" w:w="4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Borrador inicial: conceptualización preliminar.</w:t>
            </w:r>
          </w:p>
        </w:tc>
        <w:tc>
          <w:tcPr>
            <w:tcW w:type="dxa" w:w="14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Descartado</w:t>
            </w:r>
          </w:p>
        </w:tc>
      </w:tr>
      <w:tr>
        <w:tc>
          <w:tcPr>
            <w:tcW w:type="dxa" w:w="9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1.0</w:t>
            </w:r>
          </w:p>
        </w:tc>
        <w:tc>
          <w:tcPr>
            <w:tcW w:type="dxa" w:w="1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11/05/2026</w:t>
            </w:r>
          </w:p>
        </w:tc>
        <w:tc>
          <w:tcPr>
            <w:tcW w:type="dxa" w:w="1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Equipo LLdE</w:t>
            </w:r>
          </w:p>
        </w:tc>
        <w:tc>
          <w:tcPr>
            <w:tcW w:type="dxa" w:w="4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Versión con 10 módulos bajo ISO/IEC 25010.</w:t>
            </w:r>
          </w:p>
        </w:tc>
        <w:tc>
          <w:tcPr>
            <w:tcW w:type="dxa" w:w="14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Superado</w:t>
            </w:r>
          </w:p>
        </w:tc>
      </w:tr>
      <w:tr>
        <w:tc>
          <w:tcPr>
            <w:tcW w:type="dxa" w:w="9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2.0</w:t>
            </w:r>
          </w:p>
        </w:tc>
        <w:tc>
          <w:tcPr>
            <w:tcW w:type="dxa" w:w="1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19/05/2026</w:t>
            </w:r>
          </w:p>
        </w:tc>
        <w:tc>
          <w:tcPr>
            <w:tcW w:type="dxa" w:w="1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Equipo LLdE</w:t>
            </w:r>
          </w:p>
        </w:tc>
        <w:tc>
          <w:tcPr>
            <w:tcW w:type="dxa" w:w="4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Transformación con IA y bots conversacionales.</w:t>
            </w:r>
          </w:p>
        </w:tc>
        <w:tc>
          <w:tcPr>
            <w:tcW w:type="dxa" w:w="14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Superado</w:t>
            </w:r>
          </w:p>
        </w:tc>
      </w:tr>
      <w:tr>
        <w:tc>
          <w:tcPr>
            <w:tcW w:type="dxa" w:w="9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3.0</w:t>
            </w:r>
          </w:p>
        </w:tc>
        <w:tc>
          <w:tcPr>
            <w:tcW w:type="dxa" w:w="1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24/05/2026</w:t>
            </w:r>
          </w:p>
        </w:tc>
        <w:tc>
          <w:tcPr>
            <w:tcW w:type="dxa" w:w="1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Equipo LLdE</w:t>
            </w:r>
          </w:p>
        </w:tc>
        <w:tc>
          <w:tcPr>
            <w:tcW w:type="dxa" w:w="4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Reestructuración a 5 módulos esenciales.</w:t>
            </w:r>
          </w:p>
        </w:tc>
        <w:tc>
          <w:tcPr>
            <w:tcW w:type="dxa" w:w="14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Superado</w:t>
            </w:r>
          </w:p>
        </w:tc>
      </w:tr>
      <w:tr>
        <w:tc>
          <w:tcPr>
            <w:tcW w:type="dxa" w:w="9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3.1</w:t>
            </w:r>
          </w:p>
        </w:tc>
        <w:tc>
          <w:tcPr>
            <w:tcW w:type="dxa" w:w="1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27/05/2026</w:t>
            </w:r>
          </w:p>
        </w:tc>
        <w:tc>
          <w:tcPr>
            <w:tcW w:type="dxa" w:w="1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Equipo LLdE</w:t>
            </w:r>
          </w:p>
        </w:tc>
        <w:tc>
          <w:tcPr>
            <w:tcW w:type="dxa" w:w="4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Reducción a 8 stakeholders esenciales. Actualización en cascada de RF, RNF, riesgos, criterios de éxito y trazabilidad.</w:t>
            </w:r>
          </w:p>
        </w:tc>
        <w:tc>
          <w:tcPr>
            <w:tcW w:type="dxa" w:w="14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Superado</w:t>
            </w:r>
          </w:p>
        </w:tc>
      </w:tr>
      <w:tr>
        <w:tc>
          <w:tcPr>
            <w:tcW w:type="dxa" w:w="9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3.2</w:t>
            </w:r>
          </w:p>
        </w:tc>
        <w:tc>
          <w:tcPr>
            <w:tcW w:type="dxa" w:w="1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29/05/2026</w:t>
            </w:r>
          </w:p>
        </w:tc>
        <w:tc>
          <w:tcPr>
            <w:tcW w:type="dxa" w:w="1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Equipo LLdE</w:t>
            </w:r>
          </w:p>
        </w:tc>
        <w:tc>
          <w:tcPr>
            <w:tcW w:type="dxa" w:w="4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Incorporación de Med-Gemini como motor clínico de IA.</w:t>
            </w:r>
          </w:p>
        </w:tc>
        <w:tc>
          <w:tcPr>
            <w:tcW w:type="dxa" w:w="14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Superado</w:t>
            </w:r>
          </w:p>
        </w:tc>
      </w:tr>
      <w:tr>
        <w:tc>
          <w:tcPr>
            <w:tcW w:type="dxa" w:w="9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3.3</w:t>
            </w:r>
          </w:p>
        </w:tc>
        <w:tc>
          <w:tcPr>
            <w:tcW w:type="dxa" w:w="1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02/06/2026</w:t>
            </w:r>
          </w:p>
        </w:tc>
        <w:tc>
          <w:tcPr>
            <w:tcW w:type="dxa" w:w="1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Equipo LLdE</w:t>
            </w:r>
          </w:p>
        </w:tc>
        <w:tc>
          <w:tcPr>
            <w:tcW w:type="dxa" w:w="4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Rediseño de M2 y M3: separación del bot, dos tipos de solicitud (síntomas y alerta IoT). RF actualizados en cascada.</w:t>
            </w:r>
          </w:p>
        </w:tc>
        <w:tc>
          <w:tcPr>
            <w:tcW w:type="dxa" w:w="14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r>
            <w:r>
              <w:rPr>
                <w:sz w:val="20"/>
              </w:rPr>
              <w:t>Superado</w:t>
            </w:r>
          </w:p>
        </w:tc>
      </w:tr>
    </w:tbl>
    <w:p>
      <w:pPr>
        <w:spacing w:after="160"/>
      </w:pPr>
      <w:r>
        <w:t xml:space="preserve"/>
      </w:r>
    </w:p>
    <w:p>
      <w:pPr>
        <w:pStyle w:val="Heading1"/>
        <w:pBdr>
          <w:bottom w:val="single" w:color="2E75B6" w:sz="8" w:space="4"/>
        </w:pBdr>
        <w:spacing w:after="160" w:before="340"/>
      </w:pPr>
      <w:r>
        <w:rPr>
          <w:rFonts w:ascii="Arial" w:cs="Arial" w:eastAsia="Arial" w:hAnsi="Arial"/>
          <w:b/>
          <w:bCs/>
          <w:color w:val="1F4E79"/>
          <w:sz w:val="30"/>
          <w:szCs w:val="30"/>
        </w:rPr>
        <w:t xml:space="preserve">2. Aprobaciones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500"/>
        <w:gridCol w:w="1400"/>
        <w:gridCol w:w="1460"/>
      </w:tblGrid>
      <w:tr>
        <w:trPr>
          <w:tblHeader/>
        </w:trPr>
        <w:tc>
          <w:tcPr>
            <w:tcW w:type="dxa" w:w="22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Nombre</w:t>
            </w:r>
          </w:p>
        </w:tc>
        <w:tc>
          <w:tcPr>
            <w:tcW w:type="dxa" w:w="22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Rol / Cargo</w:t>
            </w:r>
          </w:p>
        </w:tc>
        <w:tc>
          <w:tcPr>
            <w:tcW w:type="dxa" w:w="15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Organización</w:t>
            </w:r>
          </w:p>
        </w:tc>
        <w:tc>
          <w:tcPr>
            <w:tcW w:type="dxa" w:w="14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Fecha</w:t>
            </w:r>
          </w:p>
        </w:tc>
        <w:tc>
          <w:tcPr>
            <w:tcW w:type="dxa" w:w="14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Firma</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Equipo LLdE</w:t>
            </w:r>
          </w:p>
        </w:tc>
        <w:tc>
          <w:tcPr>
            <w:tcW w:type="dxa" w:w="22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Analistas de Requisitos</w:t>
            </w:r>
          </w:p>
        </w:tc>
        <w:tc>
          <w:tcPr>
            <w:tcW w:type="dxa" w:w="15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UTPL</w:t>
            </w:r>
          </w:p>
        </w:tc>
        <w:tc>
          <w:tcPr>
            <w:tcW w:type="dxa" w:w="1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27/05/2026</w:t>
            </w:r>
          </w:p>
        </w:tc>
        <w:tc>
          <w:tcPr>
            <w:tcW w:type="dxa" w:w="14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
            </w:r>
          </w:p>
        </w:tc>
      </w:tr>
      <w:tr>
        <w:tc>
          <w:tcPr>
            <w:tcW w:type="dxa" w:w="22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Docente de Ingeniería de Requisitos</w:t>
            </w:r>
          </w:p>
        </w:tc>
        <w:tc>
          <w:tcPr>
            <w:tcW w:type="dxa" w:w="22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Revisor y aprobador</w:t>
            </w:r>
          </w:p>
        </w:tc>
        <w:tc>
          <w:tcPr>
            <w:tcW w:type="dxa" w:w="15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UTPL</w:t>
            </w:r>
          </w:p>
        </w:tc>
        <w:tc>
          <w:tcPr>
            <w:tcW w:type="dxa" w:w="1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27/05/2026</w:t>
            </w:r>
          </w:p>
        </w:tc>
        <w:tc>
          <w:tcPr>
            <w:tcW w:type="dxa" w:w="14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
            </w:r>
          </w:p>
        </w:tc>
      </w:tr>
    </w:tbl>
    <w:p>
      <w:pPr>
        <w:spacing w:after="160"/>
      </w:pPr>
      <w:r>
        <w:t xml:space="preserve"/>
      </w:r>
    </w:p>
    <w:p>
      <w:r>
        <w:br w:type="page"/>
      </w:r>
    </w:p>
    <w:p>
      <w:pPr>
        <w:pStyle w:val="Heading1"/>
        <w:pBdr>
          <w:bottom w:val="single" w:color="2E75B6" w:sz="8" w:space="4"/>
        </w:pBdr>
        <w:spacing w:after="160" w:before="340"/>
      </w:pPr>
      <w:r>
        <w:rPr>
          <w:rFonts w:ascii="Arial" w:cs="Arial" w:eastAsia="Arial" w:hAnsi="Arial"/>
          <w:b/>
          <w:bCs/>
          <w:color w:val="1F4E79"/>
          <w:sz w:val="30"/>
          <w:szCs w:val="30"/>
        </w:rPr>
        <w:t xml:space="preserve">3. Introducción</w:t>
      </w:r>
    </w:p>
    <w:p>
      <w:pPr>
        <w:pStyle w:val="Heading2"/>
        <w:spacing w:after="100" w:before="240"/>
      </w:pPr>
      <w:r>
        <w:rPr>
          <w:rFonts w:ascii="Arial" w:cs="Arial" w:eastAsia="Arial" w:hAnsi="Arial"/>
          <w:b/>
          <w:bCs/>
          <w:color w:val="2E75B6"/>
          <w:sz w:val="24"/>
          <w:szCs w:val="24"/>
        </w:rPr>
        <w:t xml:space="preserve">3.1 Propósito del documento</w:t>
      </w:r>
    </w:p>
    <w:p>
      <w:pPr>
        <w:spacing w:after="110"/>
        <w:jc w:val="both"/>
      </w:pPr>
      <w:r>
        <w:rPr>
          <w:rFonts w:ascii="Arial" w:cs="Arial" w:eastAsia="Arial" w:hAnsi="Arial"/>
          <w:sz w:val="20"/>
          <w:szCs w:val="20"/>
        </w:rPr>
        <w:t xml:space="preserve">El presente documento define la visión de negocio, el alcance y los objetivos estratégicos del Sistema de Atención Médica Remota (SAMR), transformado mediante Inteligencia Artificial e interfaces conversacionales. Sirve como fundamento para el proceso de elicitación y análisis de requisitos, alineando a todos los interesados con la dirección del proyecto conforme a las guías del IEEE BABOK v3 y el estándar ISO/IEC 25010.</w:t>
      </w:r>
    </w:p>
    <w:p>
      <w:pPr>
        <w:spacing w:after="80"/>
      </w:pPr>
      <w:r>
        <w:t xml:space="preserve"/>
      </w:r>
    </w:p>
    <w:p>
      <w:pPr>
        <w:pStyle w:val="Heading2"/>
        <w:spacing w:after="100" w:before="240"/>
      </w:pPr>
      <w:r>
        <w:rPr>
          <w:rFonts w:ascii="Arial" w:cs="Arial" w:eastAsia="Arial" w:hAnsi="Arial"/>
          <w:b/>
          <w:bCs/>
          <w:color w:val="2E75B6"/>
          <w:sz w:val="24"/>
          <w:szCs w:val="24"/>
        </w:rPr>
        <w:t xml:space="preserve">3.2 Alcance del documento</w:t>
      </w:r>
    </w:p>
    <w:p>
      <w:pPr>
        <w:spacing w:after="110"/>
        <w:jc w:val="both"/>
      </w:pPr>
      <w:r>
        <w:rPr>
          <w:rFonts w:ascii="Arial" w:cs="Arial" w:eastAsia="Arial" w:hAnsi="Arial"/>
          <w:sz w:val="20"/>
          <w:szCs w:val="20"/>
        </w:rPr>
        <w:t xml:space="preserve">Este documento cubre la visión, objetivos, stakeholders, alcance del producto y la identificación de requerimientos funcionales y no funcionales del sistema SAMR en su versión v3.1 con arquitectura de 5 módulos esenciales y 8 stakeholders clave. No incluye especificaciones técnicas detalladas ni requisitos de bajo nivel.</w:t>
      </w:r>
    </w:p>
    <w:p>
      <w:pPr>
        <w:spacing w:after="80"/>
      </w:pPr>
      <w:r>
        <w:t xml:space="preserve"/>
      </w:r>
    </w:p>
    <w:p>
      <w:pPr>
        <w:pStyle w:val="Heading2"/>
        <w:spacing w:after="100" w:before="240"/>
      </w:pPr>
      <w:r>
        <w:rPr>
          <w:rFonts w:ascii="Arial" w:cs="Arial" w:eastAsia="Arial" w:hAnsi="Arial"/>
          <w:b/>
          <w:bCs/>
          <w:color w:val="2E75B6"/>
          <w:sz w:val="24"/>
          <w:szCs w:val="24"/>
        </w:rPr>
        <w:t xml:space="preserve">3.3 Definiciones, acrónimos y abreviaturas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6160"/>
      </w:tblGrid>
      <w:tr>
        <w:trPr>
          <w:tblHeader/>
        </w:trPr>
        <w:tc>
          <w:tcPr>
            <w:tcW w:type="dxa" w:w="28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Término</w:t>
            </w:r>
          </w:p>
        </w:tc>
        <w:tc>
          <w:tcPr>
            <w:tcW w:type="dxa" w:w="61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Definición</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SAMR</w:t>
            </w:r>
          </w:p>
        </w:tc>
        <w:tc>
          <w:tcPr>
            <w:tcW w:type="dxa" w:w="61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Sistema de Atención Médica Remota</w:t>
            </w:r>
          </w:p>
        </w:tc>
      </w:tr>
      <w:tr>
        <w:tc>
          <w:tcPr>
            <w:tcW w:type="dxa" w:w="2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w:t>
            </w:r>
          </w:p>
        </w:tc>
        <w:tc>
          <w:tcPr>
            <w:tcW w:type="dxa" w:w="61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Requisito Funcional</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w:t>
            </w:r>
          </w:p>
        </w:tc>
        <w:tc>
          <w:tcPr>
            <w:tcW w:type="dxa" w:w="61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Requisito No Funcional</w:t>
            </w:r>
          </w:p>
        </w:tc>
      </w:tr>
      <w:tr>
        <w:tc>
          <w:tcPr>
            <w:tcW w:type="dxa" w:w="2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MSP</w:t>
            </w:r>
          </w:p>
        </w:tc>
        <w:tc>
          <w:tcPr>
            <w:tcW w:type="dxa" w:w="61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Ministerio de Salud Pública del Ecuador</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IESS</w:t>
            </w:r>
          </w:p>
        </w:tc>
        <w:tc>
          <w:tcPr>
            <w:tcW w:type="dxa" w:w="61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Instituto Ecuatoriano de Seguridad Social</w:t>
            </w:r>
          </w:p>
        </w:tc>
      </w:tr>
      <w:tr>
        <w:tc>
          <w:tcPr>
            <w:tcW w:type="dxa" w:w="2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LOPDP</w:t>
            </w:r>
          </w:p>
        </w:tc>
        <w:tc>
          <w:tcPr>
            <w:tcW w:type="dxa" w:w="61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Ley Orgánica de Protección de Datos Personales del Ecuador</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EKG / ECG</w:t>
            </w:r>
          </w:p>
        </w:tc>
        <w:tc>
          <w:tcPr>
            <w:tcW w:type="dxa" w:w="61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Electrocardiograma — registra la actividad eléctrica del corazón</w:t>
            </w:r>
          </w:p>
        </w:tc>
      </w:tr>
      <w:tr>
        <w:tc>
          <w:tcPr>
            <w:tcW w:type="dxa" w:w="2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EEG</w:t>
            </w:r>
          </w:p>
        </w:tc>
        <w:tc>
          <w:tcPr>
            <w:tcW w:type="dxa" w:w="61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Electroencefalograma — registra la actividad eléctrica del cerebro</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HL7/FHIR</w:t>
            </w:r>
          </w:p>
        </w:tc>
        <w:tc>
          <w:tcPr>
            <w:tcW w:type="dxa" w:w="61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Estándares internacionales de interoperabilidad para intercambio de información clínica</w:t>
            </w:r>
          </w:p>
        </w:tc>
      </w:tr>
      <w:tr>
        <w:tc>
          <w:tcPr>
            <w:tcW w:type="dxa" w:w="2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NLP</w:t>
            </w:r>
          </w:p>
        </w:tc>
        <w:tc>
          <w:tcPr>
            <w:tcW w:type="dxa" w:w="61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Natural Language Processing — Procesamiento de Lenguaje Natural</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XAI</w:t>
            </w:r>
          </w:p>
        </w:tc>
        <w:tc>
          <w:tcPr>
            <w:tcW w:type="dxa" w:w="61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Explainable AI — capacidad del sistema de explicar sus decisiones automatizadas</w:t>
            </w:r>
          </w:p>
        </w:tc>
      </w:tr>
      <w:tr>
        <w:tc>
          <w:tcPr>
            <w:tcW w:type="dxa" w:w="2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Bot</w:t>
            </w:r>
          </w:p>
        </w:tc>
        <w:tc>
          <w:tcPr>
            <w:tcW w:type="dxa" w:w="61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Interfaz conversacional automatizada (chatbot de texto o voicebot de voz)</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MLOps</w:t>
            </w:r>
          </w:p>
        </w:tc>
        <w:tc>
          <w:tcPr>
            <w:tcW w:type="dxa" w:w="61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Prácticas de operaciones para el ciclo de vida de modelos de machine learning</w:t>
            </w:r>
          </w:p>
        </w:tc>
      </w:tr>
      <w:tr>
        <w:tc>
          <w:tcPr>
            <w:tcW w:type="dxa" w:w="2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MFA</w:t>
            </w:r>
          </w:p>
        </w:tc>
        <w:tc>
          <w:tcPr>
            <w:tcW w:type="dxa" w:w="61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Multi-Factor Authentication — Autenticación de múltiples factores</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SLA</w:t>
            </w:r>
          </w:p>
        </w:tc>
        <w:tc>
          <w:tcPr>
            <w:tcW w:type="dxa" w:w="61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Service Level Agreement — Acuerdo de Nivel de Servicio</w:t>
            </w:r>
          </w:p>
        </w:tc>
      </w:tr>
      <w:tr>
        <w:tc>
          <w:tcPr>
            <w:tcW w:type="dxa" w:w="2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RTO</w:t>
            </w:r>
          </w:p>
        </w:tc>
        <w:tc>
          <w:tcPr>
            <w:tcW w:type="dxa" w:w="61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Recovery Time Objective — tiempo máximo para restablecer el sistema tras una falla</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Med-Gemini</w:t>
            </w:r>
          </w:p>
        </w:tc>
        <w:tc>
          <w:tcPr>
            <w:tcW w:type="dxa" w:w="61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Modelo de Inteligencia Artificial multimodal de Google, específicamente entrenado en datos clínicos. Actúa como motor de razonamiento médico del sistema SAMR para triaje, detección predictiva de anomalías biométricas y soporte diagnóstico en teleconsulta con explicabilidad (XAI).</w:t>
            </w:r>
          </w:p>
        </w:tc>
      </w:tr>
      <w:tr>
        <w:tc>
          <w:tcPr>
            <w:tcW w:type="dxa" w:w="2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Log de auditoría</w:t>
            </w:r>
          </w:p>
        </w:tc>
        <w:tc>
          <w:tcPr>
            <w:tcW w:type="dxa" w:w="61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Registro inmutable de cada acción realizada en el sistema</w:t>
            </w:r>
          </w:p>
        </w:tc>
      </w:tr>
    </w:tbl>
    <w:p>
      <w:pPr>
        <w:spacing w:after="160"/>
      </w:pPr>
      <w:r>
        <w:t xml:space="preserve"/>
      </w:r>
    </w:p>
    <w:p>
      <w:r>
        <w:br w:type="page"/>
      </w:r>
    </w:p>
    <w:p>
      <w:pPr>
        <w:pStyle w:val="Heading1"/>
        <w:pBdr>
          <w:bottom w:val="single" w:color="2E75B6" w:sz="8" w:space="4"/>
        </w:pBdr>
        <w:spacing w:after="160" w:before="340"/>
      </w:pPr>
      <w:r>
        <w:rPr>
          <w:rFonts w:ascii="Arial" w:cs="Arial" w:eastAsia="Arial" w:hAnsi="Arial"/>
          <w:b/>
          <w:bCs/>
          <w:color w:val="1F4E79"/>
          <w:sz w:val="30"/>
          <w:szCs w:val="30"/>
        </w:rPr>
        <w:t xml:space="preserve">4. Declaración del Problema</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2400"/>
            <w:tcBorders>
              <w:top w:val="single" w:color="BDD7EE" w:sz="4"/>
              <w:left w:val="single" w:color="BDD7EE" w:sz="4"/>
              <w:bottom w:val="single" w:color="BDD7EE" w:sz="4"/>
              <w:right w:val="single" w:color="BDD7EE" w:sz="4"/>
            </w:tcBorders>
            <w:shd w:fill="D6E4F0" w:val="clear"/>
            <w:tcMar>
              <w:top w:type="dxa" w:w="80"/>
              <w:left w:type="dxa" w:w="130"/>
              <w:bottom w:type="dxa" w:w="80"/>
              <w:right w:type="dxa" w:w="130"/>
            </w:tcMar>
          </w:tcPr>
          <w:p>
            <w:r>
              <w:rPr>
                <w:rFonts w:ascii="Arial" w:cs="Arial" w:eastAsia="Arial" w:hAnsi="Arial"/>
                <w:b/>
                <w:bCs/>
                <w:color w:val="1F4E79"/>
                <w:sz w:val="18"/>
                <w:szCs w:val="18"/>
              </w:rPr>
              <w:t xml:space="preserve">El problema de</w:t>
            </w:r>
          </w:p>
        </w:tc>
        <w:tc>
          <w:tcPr>
            <w:tcW w:type="dxa" w:w="65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La carencia de un sistema estructurado para el monitoreo continuo y la atención remota de pacientes domiciliarios, que dificulta la detección oportuna de anomalías clínicas y la gestión eficiente de emergencias médicas a distancia.</w:t>
            </w:r>
          </w:p>
        </w:tc>
      </w:tr>
      <w:tr>
        <w:tc>
          <w:tcPr>
            <w:tcW w:type="dxa" w:w="2400"/>
            <w:tcBorders>
              <w:top w:val="single" w:color="BDD7EE" w:sz="4"/>
              <w:left w:val="single" w:color="BDD7EE" w:sz="4"/>
              <w:bottom w:val="single" w:color="BDD7EE" w:sz="4"/>
              <w:right w:val="single" w:color="BDD7EE" w:sz="4"/>
            </w:tcBorders>
            <w:shd w:fill="D6E4F0" w:val="clear"/>
            <w:tcMar>
              <w:top w:type="dxa" w:w="80"/>
              <w:left w:type="dxa" w:w="130"/>
              <w:bottom w:type="dxa" w:w="80"/>
              <w:right w:type="dxa" w:w="130"/>
            </w:tcMar>
          </w:tcPr>
          <w:p>
            <w:r>
              <w:rPr>
                <w:rFonts w:ascii="Arial" w:cs="Arial" w:eastAsia="Arial" w:hAnsi="Arial"/>
                <w:b/>
                <w:bCs/>
                <w:color w:val="1F4E79"/>
                <w:sz w:val="18"/>
                <w:szCs w:val="18"/>
              </w:rPr>
              <w:t xml:space="preserve">Afecta a</w:t>
            </w:r>
          </w:p>
        </w:tc>
        <w:tc>
          <w:tcPr>
            <w:tcW w:type="dxa" w:w="65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 Pacientes con enfermedades crónicas o en seguimiento domiciliario (ST01)
• Médicos y centros de asistencia que brindan atención remota (ST02, ST04)
• Ministerio de Salud Pública como ente regulador (ST05)
• Oficial de Protección de Datos responsable del cumplimiento legal (ST06)</w:t>
            </w:r>
          </w:p>
        </w:tc>
      </w:tr>
      <w:tr>
        <w:tc>
          <w:tcPr>
            <w:tcW w:type="dxa" w:w="2400"/>
            <w:tcBorders>
              <w:top w:val="single" w:color="BDD7EE" w:sz="4"/>
              <w:left w:val="single" w:color="BDD7EE" w:sz="4"/>
              <w:bottom w:val="single" w:color="BDD7EE" w:sz="4"/>
              <w:right w:val="single" w:color="BDD7EE" w:sz="4"/>
            </w:tcBorders>
            <w:shd w:fill="D6E4F0" w:val="clear"/>
            <w:tcMar>
              <w:top w:type="dxa" w:w="80"/>
              <w:left w:type="dxa" w:w="130"/>
              <w:bottom w:type="dxa" w:w="80"/>
              <w:right w:type="dxa" w:w="130"/>
            </w:tcMar>
          </w:tcPr>
          <w:p>
            <w:r>
              <w:rPr>
                <w:rFonts w:ascii="Arial" w:cs="Arial" w:eastAsia="Arial" w:hAnsi="Arial"/>
                <w:b/>
                <w:bCs/>
                <w:color w:val="1F4E79"/>
                <w:sz w:val="18"/>
                <w:szCs w:val="18"/>
              </w:rPr>
              <w:t xml:space="preserve">El impacto es</w:t>
            </w:r>
          </w:p>
        </w:tc>
        <w:tc>
          <w:tcPr>
            <w:tcW w:type="dxa" w:w="65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Pérdida de visibilidad clínica entre consultas · Diagnósticos remotos sin historial integrado · Riesgos de privacidad en transmisión de datos médicos · Ansiedad del paciente sin retroalimentación en tiempo real · Decisiones médicas sin soporte predictivo ni explicable</w:t>
            </w:r>
          </w:p>
        </w:tc>
      </w:tr>
      <w:tr>
        <w:tc>
          <w:tcPr>
            <w:tcW w:type="dxa" w:w="2400"/>
            <w:tcBorders>
              <w:top w:val="single" w:color="BDD7EE" w:sz="4"/>
              <w:left w:val="single" w:color="BDD7EE" w:sz="4"/>
              <w:bottom w:val="single" w:color="BDD7EE" w:sz="4"/>
              <w:right w:val="single" w:color="BDD7EE" w:sz="4"/>
            </w:tcBorders>
            <w:shd w:fill="D6E4F0" w:val="clear"/>
            <w:tcMar>
              <w:top w:type="dxa" w:w="80"/>
              <w:left w:type="dxa" w:w="130"/>
              <w:bottom w:type="dxa" w:w="80"/>
              <w:right w:type="dxa" w:w="130"/>
            </w:tcMar>
          </w:tcPr>
          <w:p>
            <w:r>
              <w:rPr>
                <w:rFonts w:ascii="Arial" w:cs="Arial" w:eastAsia="Arial" w:hAnsi="Arial"/>
                <w:b/>
                <w:bCs/>
                <w:color w:val="1F4E79"/>
                <w:sz w:val="18"/>
                <w:szCs w:val="18"/>
              </w:rPr>
              <w:t xml:space="preserve">Una solución exitosa permitiría</w:t>
            </w:r>
          </w:p>
        </w:tc>
        <w:tc>
          <w:tcPr>
            <w:tcW w:type="dxa" w:w="65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Monitoreo continuo predictivo con alertas tempranas y explicables · Bot conversacional como primera línea accesible · Teleconsulta con historial integrado y soporte de IA · Interoperabilidad con IESS/MSP bajo HL7/FHIR · Seguridad y auditoría bajo LOPDP</w:t>
            </w:r>
          </w:p>
        </w:tc>
      </w:tr>
    </w:tbl>
    <w:p>
      <w:pPr>
        <w:spacing w:after="160"/>
      </w:pPr>
      <w:r>
        <w:t xml:space="preserve"/>
      </w:r>
    </w:p>
    <w:p>
      <w:r>
        <w:br w:type="page"/>
      </w:r>
    </w:p>
    <w:p>
      <w:pPr>
        <w:pStyle w:val="Heading1"/>
        <w:pBdr>
          <w:bottom w:val="single" w:color="2E75B6" w:sz="8" w:space="4"/>
        </w:pBdr>
        <w:spacing w:after="160" w:before="340"/>
      </w:pPr>
      <w:r>
        <w:rPr>
          <w:rFonts w:ascii="Arial" w:cs="Arial" w:eastAsia="Arial" w:hAnsi="Arial"/>
          <w:b/>
          <w:bCs/>
          <w:color w:val="1F4E79"/>
          <w:sz w:val="30"/>
          <w:szCs w:val="30"/>
        </w:rPr>
        <w:t xml:space="preserve">5. Enunciado de Visión del Producto</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2400"/>
            <w:tcBorders>
              <w:top w:val="single" w:color="BDD7EE" w:sz="4"/>
              <w:left w:val="single" w:color="BDD7EE" w:sz="4"/>
              <w:bottom w:val="single" w:color="BDD7EE" w:sz="4"/>
              <w:right w:val="single" w:color="BDD7EE" w:sz="4"/>
            </w:tcBorders>
            <w:shd w:fill="D6E4F0" w:val="clear"/>
            <w:tcMar>
              <w:top w:type="dxa" w:w="80"/>
              <w:left w:type="dxa" w:w="130"/>
              <w:bottom w:type="dxa" w:w="80"/>
              <w:right w:type="dxa" w:w="130"/>
            </w:tcMar>
          </w:tcPr>
          <w:p>
            <w:r>
              <w:rPr>
                <w:rFonts w:ascii="Arial" w:cs="Arial" w:eastAsia="Arial" w:hAnsi="Arial"/>
                <w:b/>
                <w:bCs/>
                <w:color w:val="1F4E79"/>
                <w:sz w:val="18"/>
                <w:szCs w:val="18"/>
              </w:rPr>
              <w:t xml:space="preserve">Para</w:t>
            </w:r>
          </w:p>
        </w:tc>
        <w:tc>
          <w:tcPr>
            <w:tcW w:type="dxa" w:w="65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Pacientes con enfermedades crónicas o en seguimiento domiciliario · Médicos y profesionales de la salud que realizan teleconsultas · Centros de asistencia del consorcio médico</w:t>
            </w:r>
          </w:p>
        </w:tc>
      </w:tr>
      <w:tr>
        <w:tc>
          <w:tcPr>
            <w:tcW w:type="dxa" w:w="2400"/>
            <w:tcBorders>
              <w:top w:val="single" w:color="BDD7EE" w:sz="4"/>
              <w:left w:val="single" w:color="BDD7EE" w:sz="4"/>
              <w:bottom w:val="single" w:color="BDD7EE" w:sz="4"/>
              <w:right w:val="single" w:color="BDD7EE" w:sz="4"/>
            </w:tcBorders>
            <w:shd w:fill="D6E4F0" w:val="clear"/>
            <w:tcMar>
              <w:top w:type="dxa" w:w="80"/>
              <w:left w:type="dxa" w:w="130"/>
              <w:bottom w:type="dxa" w:w="80"/>
              <w:right w:type="dxa" w:w="130"/>
            </w:tcMar>
          </w:tcPr>
          <w:p>
            <w:r>
              <w:rPr>
                <w:rFonts w:ascii="Arial" w:cs="Arial" w:eastAsia="Arial" w:hAnsi="Arial"/>
                <w:b/>
                <w:bCs/>
                <w:color w:val="1F4E79"/>
                <w:sz w:val="18"/>
                <w:szCs w:val="18"/>
              </w:rPr>
              <w:t xml:space="preserve">Quién(es)</w:t>
            </w:r>
          </w:p>
        </w:tc>
        <w:tc>
          <w:tcPr>
            <w:tcW w:type="dxa" w:w="65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Requieren monitoreo continuo con alertas predictivas y explicables · Necesitan acceso al historial clínico con soporte de IA durante la teleconsulta · Deben garantizar seguridad, privacidad y trazabilidad bajo la LOPDP y el MSP</w:t>
            </w:r>
          </w:p>
        </w:tc>
      </w:tr>
      <w:tr>
        <w:tc>
          <w:tcPr>
            <w:tcW w:type="dxa" w:w="2400"/>
            <w:tcBorders>
              <w:top w:val="single" w:color="BDD7EE" w:sz="4"/>
              <w:left w:val="single" w:color="BDD7EE" w:sz="4"/>
              <w:bottom w:val="single" w:color="BDD7EE" w:sz="4"/>
              <w:right w:val="single" w:color="BDD7EE" w:sz="4"/>
            </w:tcBorders>
            <w:shd w:fill="D6E4F0" w:val="clear"/>
            <w:tcMar>
              <w:top w:type="dxa" w:w="80"/>
              <w:left w:type="dxa" w:w="130"/>
              <w:bottom w:type="dxa" w:w="80"/>
              <w:right w:type="dxa" w:w="130"/>
            </w:tcMar>
          </w:tcPr>
          <w:p>
            <w:r>
              <w:rPr>
                <w:rFonts w:ascii="Arial" w:cs="Arial" w:eastAsia="Arial" w:hAnsi="Arial"/>
                <w:b/>
                <w:bCs/>
                <w:color w:val="1F4E79"/>
                <w:sz w:val="18"/>
                <w:szCs w:val="18"/>
              </w:rPr>
              <w:t xml:space="preserve">El producto</w:t>
            </w:r>
          </w:p>
        </w:tc>
        <w:tc>
          <w:tcPr>
            <w:tcW w:type="dxa" w:w="65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SAMR — Sistema de Atención Médica Remota con IA e Interfaces Conversacionales</w:t>
            </w:r>
          </w:p>
        </w:tc>
      </w:tr>
      <w:tr>
        <w:tc>
          <w:tcPr>
            <w:tcW w:type="dxa" w:w="2400"/>
            <w:tcBorders>
              <w:top w:val="single" w:color="BDD7EE" w:sz="4"/>
              <w:left w:val="single" w:color="BDD7EE" w:sz="4"/>
              <w:bottom w:val="single" w:color="BDD7EE" w:sz="4"/>
              <w:right w:val="single" w:color="BDD7EE" w:sz="4"/>
            </w:tcBorders>
            <w:shd w:fill="D6E4F0" w:val="clear"/>
            <w:tcMar>
              <w:top w:type="dxa" w:w="80"/>
              <w:left w:type="dxa" w:w="130"/>
              <w:bottom w:type="dxa" w:w="80"/>
              <w:right w:type="dxa" w:w="130"/>
            </w:tcMar>
          </w:tcPr>
          <w:p>
            <w:r>
              <w:rPr>
                <w:rFonts w:ascii="Arial" w:cs="Arial" w:eastAsia="Arial" w:hAnsi="Arial"/>
                <w:b/>
                <w:bCs/>
                <w:color w:val="1F4E79"/>
                <w:sz w:val="18"/>
                <w:szCs w:val="18"/>
              </w:rPr>
              <w:t xml:space="preserve">Que</w:t>
            </w:r>
          </w:p>
        </w:tc>
        <w:tc>
          <w:tcPr>
            <w:tcW w:type="dxa" w:w="65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Ofrece un bot conversacional como primera línea de interacción natural para el paciente · Realiza triaje automatizado con NLP y clasificación de riesgo explicable · Monitorea signos vitales con modelos predictivos y alertas proactivas · Brinda teleconsulta con historial integrado y sugerencias de IA con XAI · Garantiza trazabilidad regulatoria completa ante el MSP</w:t>
            </w:r>
          </w:p>
        </w:tc>
      </w:tr>
      <w:tr>
        <w:tc>
          <w:tcPr>
            <w:tcW w:type="dxa" w:w="2400"/>
            <w:tcBorders>
              <w:top w:val="single" w:color="BDD7EE" w:sz="4"/>
              <w:left w:val="single" w:color="BDD7EE" w:sz="4"/>
              <w:bottom w:val="single" w:color="BDD7EE" w:sz="4"/>
              <w:right w:val="single" w:color="BDD7EE" w:sz="4"/>
            </w:tcBorders>
            <w:shd w:fill="D6E4F0" w:val="clear"/>
            <w:tcMar>
              <w:top w:type="dxa" w:w="80"/>
              <w:left w:type="dxa" w:w="130"/>
              <w:bottom w:type="dxa" w:w="80"/>
              <w:right w:type="dxa" w:w="130"/>
            </w:tcMar>
          </w:tcPr>
          <w:p>
            <w:r>
              <w:rPr>
                <w:rFonts w:ascii="Arial" w:cs="Arial" w:eastAsia="Arial" w:hAnsi="Arial"/>
                <w:b/>
                <w:bCs/>
                <w:color w:val="1F4E79"/>
                <w:sz w:val="18"/>
                <w:szCs w:val="18"/>
              </w:rPr>
              <w:t xml:space="preserve">A diferencia de</w:t>
            </w:r>
          </w:p>
        </w:tc>
        <w:tc>
          <w:tcPr>
            <w:tcW w:type="dxa" w:w="65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Los sistemas actuales que no ofrecen monitoreo predictivo, no cuentan con interfaces conversacionales accesibles, no explican sus decisiones automatizadas y no mantienen registro auditable para el MSP</w:t>
            </w:r>
          </w:p>
        </w:tc>
      </w:tr>
      <w:tr>
        <w:tc>
          <w:tcPr>
            <w:tcW w:type="dxa" w:w="2400"/>
            <w:tcBorders>
              <w:top w:val="single" w:color="BDD7EE" w:sz="4"/>
              <w:left w:val="single" w:color="BDD7EE" w:sz="4"/>
              <w:bottom w:val="single" w:color="BDD7EE" w:sz="4"/>
              <w:right w:val="single" w:color="BDD7EE" w:sz="4"/>
            </w:tcBorders>
            <w:shd w:fill="D6E4F0" w:val="clear"/>
            <w:tcMar>
              <w:top w:type="dxa" w:w="80"/>
              <w:left w:type="dxa" w:w="130"/>
              <w:bottom w:type="dxa" w:w="80"/>
              <w:right w:type="dxa" w:w="130"/>
            </w:tcMar>
          </w:tcPr>
          <w:p>
            <w:r>
              <w:rPr>
                <w:rFonts w:ascii="Arial" w:cs="Arial" w:eastAsia="Arial" w:hAnsi="Arial"/>
                <w:b/>
                <w:bCs/>
                <w:color w:val="1F4E79"/>
                <w:sz w:val="18"/>
                <w:szCs w:val="18"/>
              </w:rPr>
              <w:t xml:space="preserve">Esta aplicación garantiza</w:t>
            </w:r>
          </w:p>
        </w:tc>
        <w:tc>
          <w:tcPr>
            <w:tcW w:type="dxa" w:w="65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Servicio confiable 24/7 · Explicabilidad de todas las decisiones de IA para pacientes y reguladores · Protección de datos con cifrado y consentimiento explícito bajo la LOPDP · Repositorio persistente y logs de auditoría inmutables</w:t>
            </w:r>
          </w:p>
        </w:tc>
      </w:tr>
    </w:tbl>
    <w:p>
      <w:pPr>
        <w:spacing w:after="160"/>
      </w:pPr>
      <w:r>
        <w:t xml:space="preserve"/>
      </w:r>
    </w:p>
    <w:p>
      <w:r>
        <w:br w:type="page"/>
      </w:r>
    </w:p>
    <w:p>
      <w:pPr>
        <w:pStyle w:val="Heading1"/>
        <w:pBdr>
          <w:bottom w:val="single" w:color="2E75B6" w:sz="8" w:space="4"/>
        </w:pBdr>
        <w:spacing w:after="160" w:before="340"/>
      </w:pPr>
      <w:r>
        <w:rPr>
          <w:rFonts w:ascii="Arial" w:cs="Arial" w:eastAsia="Arial" w:hAnsi="Arial"/>
          <w:b/>
          <w:bCs/>
          <w:color w:val="1F4E79"/>
          <w:sz w:val="30"/>
          <w:szCs w:val="30"/>
        </w:rPr>
        <w:t xml:space="preserve">6. Objetivos de Negocio (SMART)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2400"/>
        <w:gridCol w:w="1360"/>
      </w:tblGrid>
      <w:tr>
        <w:trPr>
          <w:tblHeader/>
        </w:trPr>
        <w:tc>
          <w:tcPr>
            <w:tcW w:type="dxa" w:w="7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ID</w:t>
            </w:r>
          </w:p>
        </w:tc>
        <w:tc>
          <w:tcPr>
            <w:tcW w:type="dxa" w:w="43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Objetivo (SMART)</w:t>
            </w:r>
          </w:p>
        </w:tc>
        <w:tc>
          <w:tcPr>
            <w:tcW w:type="dxa" w:w="24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Métrica de éxito</w:t>
            </w:r>
          </w:p>
        </w:tc>
        <w:tc>
          <w:tcPr>
            <w:tcW w:type="dxa" w:w="13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Plazo</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OB-01</w:t>
            </w:r>
          </w:p>
        </w:tc>
        <w:tc>
          <w:tcPr>
            <w:tcW w:type="dxa" w:w="4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Atender el 95% de las solicitudes de urgencia domiciliaria dentro de 10 minutos desde la recepción, con soporte del bot conversacional para guía inicial. (M2)</w:t>
            </w:r>
          </w:p>
        </w:tc>
        <w:tc>
          <w:tcPr>
            <w:tcW w:type="dxa" w:w="2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Tiempo de respuesta ≤ 10 min en el 95% de los casos</w:t>
            </w:r>
          </w:p>
        </w:tc>
        <w:tc>
          <w:tcPr>
            <w:tcW w:type="dxa" w:w="1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3 meses</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OB-02</w:t>
            </w:r>
          </w:p>
        </w:tc>
        <w:tc>
          <w:tcPr>
            <w:tcW w:type="dxa" w:w="4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Monitorear continuamente al 99% de los pacientes domiciliarios activos y detectar anomalías biométricas con precisión ≥ 98% mediante modelos predictivos con alertas explicables. (M3)</w:t>
            </w:r>
          </w:p>
        </w:tc>
        <w:tc>
          <w:tcPr>
            <w:tcW w:type="dxa" w:w="2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Tasa de detección ≥ 98% con falsos positivos ≤ 2%</w:t>
            </w:r>
          </w:p>
        </w:tc>
        <w:tc>
          <w:tcPr>
            <w:tcW w:type="dxa" w:w="1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3 meses</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OB-03</w:t>
            </w:r>
          </w:p>
        </w:tc>
        <w:tc>
          <w:tcPr>
            <w:tcW w:type="dxa" w:w="4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Garantizar disponibilidad del servicio 24/7 durante los primeros 6 meses de operación productiva. (M1–M5)</w:t>
            </w:r>
          </w:p>
        </w:tc>
        <w:tc>
          <w:tcPr>
            <w:tcW w:type="dxa" w:w="2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Tiempo de actividad ≥ 99.5%</w:t>
            </w:r>
          </w:p>
        </w:tc>
        <w:tc>
          <w:tcPr>
            <w:tcW w:type="dxa" w:w="1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6 meses</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OB-04</w:t>
            </w:r>
          </w:p>
        </w:tc>
        <w:tc>
          <w:tcPr>
            <w:tcW w:type="dxa" w:w="4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Garantizar que el 100% de las interacciones con el bot y decisiones de IA queden registradas en el log de auditoría inmutable, cumpliendo la LOPDP y el MSP. (M5)</w:t>
            </w:r>
          </w:p>
        </w:tc>
        <w:tc>
          <w:tcPr>
            <w:tcW w:type="dxa" w:w="2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Auditoría regulatoria sin observaciones en el primer ciclo</w:t>
            </w:r>
          </w:p>
        </w:tc>
        <w:tc>
          <w:tcPr>
            <w:tcW w:type="dxa" w:w="1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3 meses</w:t>
            </w:r>
          </w:p>
        </w:tc>
      </w:tr>
    </w:tbl>
    <w:p>
      <w:pPr>
        <w:spacing w:after="160"/>
      </w:pPr>
      <w:r>
        <w:t xml:space="preserve"/>
      </w:r>
    </w:p>
    <w:p>
      <w:r>
        <w:br w:type="page"/>
      </w:r>
    </w:p>
    <w:p>
      <w:pPr>
        <w:pStyle w:val="Heading1"/>
        <w:pBdr>
          <w:bottom w:val="single" w:color="2E75B6" w:sz="8" w:space="4"/>
        </w:pBdr>
        <w:spacing w:after="160" w:before="340"/>
      </w:pPr>
      <w:r>
        <w:rPr>
          <w:rFonts w:ascii="Arial" w:cs="Arial" w:eastAsia="Arial" w:hAnsi="Arial"/>
          <w:b/>
          <w:bCs/>
          <w:color w:val="1F4E79"/>
          <w:sz w:val="30"/>
          <w:szCs w:val="30"/>
        </w:rPr>
        <w:t xml:space="preserve">7. Análisis de Interesados</w:t>
      </w:r>
    </w:p>
    <w:p>
      <w:pPr>
        <w:pStyle w:val="Heading2"/>
        <w:spacing w:after="100" w:before="240"/>
      </w:pPr>
      <w:r>
        <w:rPr>
          <w:rFonts w:ascii="Arial" w:cs="Arial" w:eastAsia="Arial" w:hAnsi="Arial"/>
          <w:b/>
          <w:bCs/>
          <w:color w:val="2E75B6"/>
          <w:sz w:val="24"/>
          <w:szCs w:val="24"/>
        </w:rPr>
        <w:t xml:space="preserve">7.1 Registro de interesados</w:t>
      </w:r>
    </w:p>
    <w:p>
      <w:pPr>
        <w:spacing w:after="110"/>
        <w:jc w:val="both"/>
      </w:pPr>
      <w:r>
        <w:rPr>
          <w:rFonts w:ascii="Arial" w:cs="Arial" w:eastAsia="Arial" w:hAnsi="Arial"/>
          <w:sz w:val="20"/>
          <w:szCs w:val="20"/>
        </w:rPr>
        <w:t xml:space="preserve">Los siguientes 8 stakeholders fueron identificados como esenciales para el funcionamiento del sistema SAMR. Cada uno tiene responsabilidad directa sobre al menos un módulo o requisito del sistema.</w:t>
      </w:r>
    </w:p>
    <w:p>
      <w:pPr>
        <w:spacing w:after="8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800"/>
        <w:gridCol w:w="800"/>
        <w:gridCol w:w="800"/>
        <w:gridCol w:w="1660"/>
      </w:tblGrid>
      <w:tr>
        <w:trPr>
          <w:tblHeader/>
        </w:trPr>
        <w:tc>
          <w:tcPr>
            <w:tcW w:type="dxa" w:w="7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ID</w:t>
            </w:r>
          </w:p>
        </w:tc>
        <w:tc>
          <w:tcPr>
            <w:tcW w:type="dxa" w:w="20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Nombre / Grupo</w:t>
            </w:r>
          </w:p>
        </w:tc>
        <w:tc>
          <w:tcPr>
            <w:tcW w:type="dxa" w:w="28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Rol en el proyecto</w:t>
            </w:r>
          </w:p>
        </w:tc>
        <w:tc>
          <w:tcPr>
            <w:tcW w:type="dxa" w:w="8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Poder</w:t>
            </w:r>
          </w:p>
        </w:tc>
        <w:tc>
          <w:tcPr>
            <w:tcW w:type="dxa" w:w="8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Interés</w:t>
            </w:r>
          </w:p>
        </w:tc>
        <w:tc>
          <w:tcPr>
            <w:tcW w:type="dxa" w:w="16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Estrategia</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ST01</w:t>
            </w:r>
          </w:p>
        </w:tc>
        <w:tc>
          <w:tcPr>
            <w:tcW w:type="dxa" w:w="2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Paciente</w:t>
            </w:r>
          </w:p>
        </w:tc>
        <w:tc>
          <w:tcPr>
            <w:tcW w:type="dxa" w:w="2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Usuario principal y beneficiario directo. Interactúa con el bot y la app para solicitar atención y recibir monitoreo.</w:t>
            </w:r>
          </w:p>
        </w:tc>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Bajo</w:t>
            </w:r>
          </w:p>
        </w:tc>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Alto</w:t>
            </w:r>
          </w:p>
        </w:tc>
        <w:tc>
          <w:tcPr>
            <w:tcW w:type="dxa" w:w="16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Mantener informado y satisfecho</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ST02</w:t>
            </w:r>
          </w:p>
        </w:tc>
        <w:tc>
          <w:tcPr>
            <w:tcW w:type="dxa" w:w="2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Personal Médico</w:t>
            </w:r>
          </w:p>
        </w:tc>
        <w:tc>
          <w:tcPr>
            <w:tcW w:type="dxa" w:w="2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Ejecuta teleconsultas (M4), diagnostica, valida sugerencias de IA y recibe alertas biométricas del monitoreo (M3).</w:t>
            </w:r>
          </w:p>
        </w:tc>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Medio</w:t>
            </w:r>
          </w:p>
        </w:tc>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Alto</w:t>
            </w:r>
          </w:p>
        </w:tc>
        <w:tc>
          <w:tcPr>
            <w:tcW w:type="dxa" w:w="16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Colaborar activamente</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ST03</w:t>
            </w:r>
          </w:p>
        </w:tc>
        <w:tc>
          <w:tcPr>
            <w:tcW w:type="dxa" w:w="2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Personal Administrativo</w:t>
            </w:r>
          </w:p>
        </w:tc>
        <w:tc>
          <w:tcPr>
            <w:tcW w:type="dxa" w:w="2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Operador diario del sistema: gestiona solicitudes, asigna recursos y supervisa el panel de estados (M2).</w:t>
            </w:r>
          </w:p>
        </w:tc>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Medio</w:t>
            </w:r>
          </w:p>
        </w:tc>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Alto</w:t>
            </w:r>
          </w:p>
        </w:tc>
        <w:tc>
          <w:tcPr>
            <w:tcW w:type="dxa" w:w="16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Colaborar activamente</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ST04</w:t>
            </w:r>
          </w:p>
        </w:tc>
        <w:tc>
          <w:tcPr>
            <w:tcW w:type="dxa" w:w="2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Centro de Asistencia / Consorcio</w:t>
            </w:r>
          </w:p>
        </w:tc>
        <w:tc>
          <w:tcPr>
            <w:tcW w:type="dxa" w:w="2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Institución que recibe y responde solicitudes de atención. Opera los módulos M2, M3 y M4.</w:t>
            </w:r>
          </w:p>
        </w:tc>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Alto</w:t>
            </w:r>
          </w:p>
        </w:tc>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Alto</w:t>
            </w:r>
          </w:p>
        </w:tc>
        <w:tc>
          <w:tcPr>
            <w:tcW w:type="dxa" w:w="16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Gestionar de cerca</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ST05</w:t>
            </w:r>
          </w:p>
        </w:tc>
        <w:tc>
          <w:tcPr>
            <w:tcW w:type="dxa" w:w="2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Ministerio de Salud Pública (MSP)</w:t>
            </w:r>
          </w:p>
        </w:tc>
        <w:tc>
          <w:tcPr>
            <w:tcW w:type="dxa" w:w="2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Ente regulador: certifica y audita el sistema completo incluyendo IA, bot y logs de auditoría (M5).</w:t>
            </w:r>
          </w:p>
        </w:tc>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Alto</w:t>
            </w:r>
          </w:p>
        </w:tc>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Alto</w:t>
            </w:r>
          </w:p>
        </w:tc>
        <w:tc>
          <w:tcPr>
            <w:tcW w:type="dxa" w:w="16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Gestionar de cerca</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ST06</w:t>
            </w:r>
          </w:p>
        </w:tc>
        <w:tc>
          <w:tcPr>
            <w:tcW w:type="dxa" w:w="2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Oficial de Protección de Datos (DPO)</w:t>
            </w:r>
          </w:p>
        </w:tc>
        <w:tc>
          <w:tcPr>
            <w:tcW w:type="dxa" w:w="2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Garantiza cumplimiento de la LOPDP en IA, bot, historial clínico y gestión del consentimiento (M5).</w:t>
            </w:r>
          </w:p>
        </w:tc>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Alto</w:t>
            </w:r>
          </w:p>
        </w:tc>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Alto</w:t>
            </w:r>
          </w:p>
        </w:tc>
        <w:tc>
          <w:tcPr>
            <w:tcW w:type="dxa" w:w="16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Gestionar de cerca</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ST07</w:t>
            </w:r>
          </w:p>
        </w:tc>
        <w:tc>
          <w:tcPr>
            <w:tcW w:type="dxa" w:w="2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Equipo MLOps / Med-Gemini</w:t>
            </w:r>
          </w:p>
        </w:tc>
        <w:tc>
          <w:tcPr>
            <w:tcW w:type="dxa" w:w="2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Gestiona el ciclo de vida de Med-Gemini en el sistema SAMR: integración, configuración clínica, monitoreo de precisión, reentrenamiento y auditoría de equidad. Responsable de M2 y M3.</w:t>
            </w:r>
          </w:p>
        </w:tc>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Medio</w:t>
            </w:r>
          </w:p>
        </w:tc>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Alto</w:t>
            </w:r>
          </w:p>
        </w:tc>
        <w:tc>
          <w:tcPr>
            <w:tcW w:type="dxa" w:w="16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Colaborar activamente</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ST08</w:t>
            </w:r>
          </w:p>
        </w:tc>
        <w:tc>
          <w:tcPr>
            <w:tcW w:type="dxa" w:w="2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Patrocinador — Ing. Armando Cabrera</w:t>
            </w:r>
          </w:p>
        </w:tc>
        <w:tc>
          <w:tcPr>
            <w:tcW w:type="dxa" w:w="2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Financia el proyecto, aprueba el presupuesto y el alcance estratégico. Responsable de la viabilidad del sistema.</w:t>
            </w:r>
          </w:p>
        </w:tc>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Alto</w:t>
            </w:r>
          </w:p>
        </w:tc>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Alto</w:t>
            </w:r>
          </w:p>
        </w:tc>
        <w:tc>
          <w:tcPr>
            <w:tcW w:type="dxa" w:w="16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Gestionar de cerca</w:t>
            </w:r>
          </w:p>
        </w:tc>
      </w:tr>
    </w:tbl>
    <w:p>
      <w:pPr>
        <w:spacing w:after="80"/>
      </w:pPr>
      <w:r>
        <w:t xml:space="preserve"/>
      </w:r>
    </w:p>
    <w:p>
      <w:pPr>
        <w:pStyle w:val="Heading2"/>
        <w:spacing w:after="100" w:before="240"/>
      </w:pPr>
      <w:r>
        <w:rPr>
          <w:rFonts w:ascii="Arial" w:cs="Arial" w:eastAsia="Arial" w:hAnsi="Arial"/>
          <w:b/>
          <w:bCs/>
          <w:color w:val="2E75B6"/>
          <w:sz w:val="24"/>
          <w:szCs w:val="24"/>
        </w:rPr>
        <w:t xml:space="preserve">7.2 Mapa de poder / interés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360"/>
      </w:tblGrid>
      <w:tr>
        <w:trPr>
          <w:tblHeader/>
        </w:trPr>
        <w:tc>
          <w:tcPr>
            <w:tcW w:type="dxa" w:w="22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Cuadrante</w:t>
            </w:r>
          </w:p>
        </w:tc>
        <w:tc>
          <w:tcPr>
            <w:tcW w:type="dxa" w:w="24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Stakeholders</w:t>
            </w:r>
          </w:p>
        </w:tc>
        <w:tc>
          <w:tcPr>
            <w:tcW w:type="dxa" w:w="43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Estrategia</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Alto Poder / Alto Interés</w:t>
            </w:r>
          </w:p>
        </w:tc>
        <w:tc>
          <w:tcPr>
            <w:tcW w:type="dxa" w:w="2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ST04, ST05, ST06, ST08</w:t>
            </w:r>
          </w:p>
        </w:tc>
        <w:tc>
          <w:tcPr>
            <w:tcW w:type="dxa" w:w="4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Gestionar de cerca. Reuniones frecuentes, validación constante de requisitos y acceso prioritario a decisiones del proyecto.</w:t>
            </w:r>
          </w:p>
        </w:tc>
      </w:tr>
      <w:tr>
        <w:tc>
          <w:tcPr>
            <w:tcW w:type="dxa" w:w="22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Medio Poder / Alto Interés</w:t>
            </w:r>
          </w:p>
        </w:tc>
        <w:tc>
          <w:tcPr>
            <w:tcW w:type="dxa" w:w="2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ST02, ST03, ST07</w:t>
            </w:r>
          </w:p>
        </w:tc>
        <w:tc>
          <w:tcPr>
            <w:tcW w:type="dxa" w:w="4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Colaborar activamente. Participación en elicitación, talleres y validación de prototipos.</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Bajo Poder / Alto Interés</w:t>
            </w:r>
          </w:p>
        </w:tc>
        <w:tc>
          <w:tcPr>
            <w:tcW w:type="dxa" w:w="2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ST01</w:t>
            </w:r>
          </w:p>
        </w:tc>
        <w:tc>
          <w:tcPr>
            <w:tcW w:type="dxa" w:w="4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Mantener informado y satisfecho. Pruebas de usuario y encuestas de satisfacción.</w:t>
            </w:r>
          </w:p>
        </w:tc>
      </w:tr>
    </w:tbl>
    <w:p>
      <w:pPr>
        <w:spacing w:after="80"/>
      </w:pPr>
      <w:r>
        <w:t xml:space="preserve"/>
      </w:r>
    </w:p>
    <w:p>
      <w:pPr>
        <w:pStyle w:val="Heading2"/>
        <w:spacing w:after="100" w:before="240"/>
      </w:pPr>
      <w:r>
        <w:rPr>
          <w:rFonts w:ascii="Arial" w:cs="Arial" w:eastAsia="Arial" w:hAnsi="Arial"/>
          <w:b/>
          <w:bCs/>
          <w:color w:val="2E75B6"/>
          <w:sz w:val="24"/>
          <w:szCs w:val="24"/>
        </w:rPr>
        <w:t xml:space="preserve">7.3 Perfil de usuarios clave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600"/>
        <w:gridCol w:w="4060"/>
      </w:tblGrid>
      <w:tr>
        <w:trPr>
          <w:tblHeader/>
        </w:trPr>
        <w:tc>
          <w:tcPr>
            <w:tcW w:type="dxa" w:w="18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Usuario</w:t>
            </w:r>
          </w:p>
        </w:tc>
        <w:tc>
          <w:tcPr>
            <w:tcW w:type="dxa" w:w="15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Nivel técnico</w:t>
            </w:r>
          </w:p>
        </w:tc>
        <w:tc>
          <w:tcPr>
            <w:tcW w:type="dxa" w:w="16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Frecuencia de uso</w:t>
            </w:r>
          </w:p>
        </w:tc>
        <w:tc>
          <w:tcPr>
            <w:tcW w:type="dxa" w:w="40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Necesidad principal</w:t>
            </w:r>
          </w:p>
        </w:tc>
      </w:tr>
      <w:tr>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Paciente (ST01)</w:t>
            </w:r>
          </w:p>
        </w:tc>
        <w:tc>
          <w:tcPr>
            <w:tcW w:type="dxa" w:w="15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Básico — medio</w:t>
            </w:r>
          </w:p>
        </w:tc>
        <w:tc>
          <w:tcPr>
            <w:tcW w:type="dxa" w:w="16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Variable según estado de salud</w:t>
            </w:r>
          </w:p>
        </w:tc>
        <w:tc>
          <w:tcPr>
            <w:tcW w:type="dxa" w:w="4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Interactuar con el bot para reportar síntomas, solicitar ayuda y recibir guía comprensible en situaciones de emergencia.</w:t>
            </w:r>
          </w:p>
        </w:tc>
      </w:tr>
      <w:tr>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Médico (ST02)</w:t>
            </w:r>
          </w:p>
        </w:tc>
        <w:tc>
          <w:tcPr>
            <w:tcW w:type="dxa" w:w="15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Medio — alto</w:t>
            </w:r>
          </w:p>
        </w:tc>
        <w:tc>
          <w:tcPr>
            <w:tcW w:type="dxa" w:w="16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Diaria</w:t>
            </w:r>
          </w:p>
        </w:tc>
        <w:tc>
          <w:tcPr>
            <w:tcW w:type="dxa" w:w="4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Acceder al historial clínico completo, recibir alertas con XAI y realizar teleconsultas con soporte diagnóstico de IA.</w:t>
            </w:r>
          </w:p>
        </w:tc>
      </w:tr>
      <w:tr>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Administrativo (ST03)</w:t>
            </w:r>
          </w:p>
        </w:tc>
        <w:tc>
          <w:tcPr>
            <w:tcW w:type="dxa" w:w="15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Medio</w:t>
            </w:r>
          </w:p>
        </w:tc>
        <w:tc>
          <w:tcPr>
            <w:tcW w:type="dxa" w:w="16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Diaria intensiva</w:t>
            </w:r>
          </w:p>
        </w:tc>
        <w:tc>
          <w:tcPr>
            <w:tcW w:type="dxa" w:w="4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Gestionar solicitudes entrantes, asignar recursos y supervisar el panel de estados del sistema.</w:t>
            </w:r>
          </w:p>
        </w:tc>
      </w:tr>
      <w:tr>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MSP / Auditor (ST05)</w:t>
            </w:r>
          </w:p>
        </w:tc>
        <w:tc>
          <w:tcPr>
            <w:tcW w:type="dxa" w:w="15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Alto</w:t>
            </w:r>
          </w:p>
        </w:tc>
        <w:tc>
          <w:tcPr>
            <w:tcW w:type="dxa" w:w="16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Periódica — auditorías</w:t>
            </w:r>
          </w:p>
        </w:tc>
        <w:tc>
          <w:tcPr>
            <w:tcW w:type="dxa" w:w="4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Acceder a logs inmutables con decisiones de IA y conversaciones con bot para certificación regulatoria.</w:t>
            </w:r>
          </w:p>
        </w:tc>
      </w:tr>
      <w:tr>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MLOps / Med-Gemini (ST07)</w:t>
            </w:r>
          </w:p>
        </w:tc>
        <w:tc>
          <w:tcPr>
            <w:tcW w:type="dxa" w:w="15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Alto</w:t>
            </w:r>
          </w:p>
        </w:tc>
        <w:tc>
          <w:tcPr>
            <w:tcW w:type="dxa" w:w="16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Continua</w:t>
            </w:r>
          </w:p>
        </w:tc>
        <w:tc>
          <w:tcPr>
            <w:tcW w:type="dxa" w:w="4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Gestionar la integración y operación de Med-Gemini en SAMR. Monitorear precisión clínica, equidad algorítmica y explicabilidad de las decisiones del modelo.</w:t>
            </w:r>
          </w:p>
        </w:tc>
      </w:tr>
    </w:tbl>
    <w:p>
      <w:pPr>
        <w:spacing w:after="160"/>
      </w:pPr>
      <w:r>
        <w:t xml:space="preserve"/>
      </w:r>
    </w:p>
    <w:p>
      <w:r>
        <w:br w:type="page"/>
      </w:r>
    </w:p>
    <w:p>
      <w:pPr>
        <w:pStyle w:val="Heading1"/>
        <w:pBdr>
          <w:bottom w:val="single" w:color="2E75B6" w:sz="8" w:space="4"/>
        </w:pBdr>
        <w:spacing w:after="160" w:before="340"/>
      </w:pPr>
      <w:r>
        <w:rPr>
          <w:rFonts w:ascii="Arial" w:cs="Arial" w:eastAsia="Arial" w:hAnsi="Arial"/>
          <w:b/>
          <w:bCs/>
          <w:color w:val="1F4E79"/>
          <w:sz w:val="30"/>
          <w:szCs w:val="30"/>
        </w:rPr>
        <w:t xml:space="preserve">8. Alcance del Producto</w:t>
      </w:r>
    </w:p>
    <w:p>
      <w:pPr>
        <w:pStyle w:val="Heading2"/>
        <w:spacing w:after="100" w:before="240"/>
      </w:pPr>
      <w:r>
        <w:rPr>
          <w:rFonts w:ascii="Arial" w:cs="Arial" w:eastAsia="Arial" w:hAnsi="Arial"/>
          <w:b/>
          <w:bCs/>
          <w:color w:val="2E75B6"/>
          <w:sz w:val="24"/>
          <w:szCs w:val="24"/>
        </w:rPr>
        <w:t xml:space="preserve">8.1 Declaración de alcance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680"/>
        <w:gridCol w:w="4280"/>
      </w:tblGrid>
      <w:tr>
        <w:trPr>
          <w:tblHeader/>
        </w:trPr>
        <w:tc>
          <w:tcPr>
            <w:tcW w:type="dxa" w:w="468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DENTRO del alcance</w:t>
            </w:r>
          </w:p>
        </w:tc>
        <w:tc>
          <w:tcPr>
            <w:tcW w:type="dxa" w:w="428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FUERA del alcance (esta versión)</w:t>
            </w:r>
          </w:p>
        </w:tc>
      </w:tr>
      <w:tr>
        <w:tc>
          <w:tcPr>
            <w:tcW w:type="dxa" w:w="468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M1 — Gestión de Usuarios y Acceso: Registro, login y perfiles con roles diferenciados (paciente, médico, administrativo). Autenticación MFA. Validación automatizada de elegibilidad en el IESS/MSP. Registro de consentimiento LOPDP.</w:t>
            </w:r>
          </w:p>
        </w:tc>
        <w:tc>
          <w:tcPr>
            <w:tcW w:type="dxa" w:w="428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Gestión de pagos, cobros y pasarelas financieras. Facturación electrónica o flujos de reembolso.</w:t>
            </w:r>
          </w:p>
        </w:tc>
      </w:tr>
      <w:tr>
        <w:tc>
          <w:tcPr>
            <w:tcW w:type="dxa" w:w="468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M2 — Triaje Inteligente y Gestión de Solicitudes: Bot que guía al paciente paso a paso para crear la solicitud (preguntas simples, sin tecnicismos). Motor NLP Med-Gemini para clasificación clínica del riesgo. Dos tipos de solicitud: (1) Solicitud de reporte de síntomas — generada tras el triaje con el bot; (2) Alerta de emergencia con datos IoT — el paciente envía alerta directa con todas las lecturas biométricas capturadas en ese momento. Procesamiento asíncrono de ambos tipos. Motor de matching inteligente. Panel dinámico de estados en tiempo real.</w:t>
            </w:r>
          </w:p>
        </w:tc>
        <w:tc>
          <w:tcPr>
            <w:tcW w:type="dxa" w:w="428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Implementación de modelos NLP avanzados en producción (Fase 1 usa reglas; modelos reales en Fase 2). Logística física de ambulancias.</w:t>
            </w:r>
          </w:p>
        </w:tc>
      </w:tr>
      <w:tr>
        <w:tc>
          <w:tcPr>
            <w:tcW w:type="dxa" w:w="468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M3 — Monitoreo Biométrico Predictivo: Captura continua de flujos IoT (EKG, EEG, oxímetro). Med-Gemini detecta patrones precursores de eventos críticos. Generación de alerta proactiva con los datos IoT capturados en el momento exacto de la detección. El bot explica la alerta al paciente en lenguaje comprensible — no la genera, solo la comunica.</w:t>
            </w:r>
          </w:p>
        </w:tc>
        <w:tc>
          <w:tcPr>
            <w:tcW w:type="dxa" w:w="428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Diagnóstico automatizado definitivo — el sistema alerta y explica, pero la decisión médica final es humana. Calibración o mantenimiento físico de dispositivos.</w:t>
            </w:r>
          </w:p>
        </w:tc>
      </w:tr>
      <w:tr>
        <w:tc>
          <w:tcPr>
            <w:tcW w:type="dxa" w:w="468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M4 — Teleconsulta y Atención Médica: Canal de video/audio de baja latencia. Historial clínico completo integrado con datos del IESS/MSP bajo HL7/FHIR. Sugerencias diagnósticas de IA con XAI. Emisión de recetas digitales con firma electrónica. Derivación de emergencia presencial.</w:t>
            </w:r>
          </w:p>
        </w:tc>
        <w:tc>
          <w:tcPr>
            <w:tcW w:type="dxa" w:w="428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Módulo de agendamiento presencial de citas en consultorios. Gestión contable interna del consorcio.</w:t>
            </w:r>
          </w:p>
        </w:tc>
      </w:tr>
      <w:tr>
        <w:tc>
          <w:tcPr>
            <w:tcW w:type="dxa" w:w="468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M5 — Seguridad, Auditoría y Cumplimiento: Cifrado AES-256 en reposo y TLS 1.3 en tránsito. Consentimiento explícito LOPDP. Repositorio centralizado con retención regulada. Logs de auditoría inmutables con hash criptográfico que incluyen decisiones de IA y conversaciones con bot, listos para inspección del MSP.</w:t>
            </w:r>
          </w:p>
        </w:tc>
        <w:tc>
          <w:tcPr>
            <w:tcW w:type="dxa" w:w="428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Seguridad física perimetral de servidores. Validación de veracidad médica de datos introducidos por error humano.</w:t>
            </w:r>
          </w:p>
        </w:tc>
      </w:tr>
    </w:tbl>
    <w:p>
      <w:pPr>
        <w:spacing w:after="160"/>
      </w:pPr>
      <w:r>
        <w:t xml:space="preserve"/>
      </w:r>
    </w:p>
    <w:p>
      <w:r>
        <w:br w:type="page"/>
      </w:r>
    </w:p>
    <w:p>
      <w:pPr>
        <w:pStyle w:val="Heading2"/>
        <w:spacing w:after="100" w:before="240"/>
      </w:pPr>
      <w:r>
        <w:rPr>
          <w:rFonts w:ascii="Arial" w:cs="Arial" w:eastAsia="Arial" w:hAnsi="Arial"/>
          <w:b/>
          <w:bCs/>
          <w:color w:val="2E75B6"/>
          <w:sz w:val="24"/>
          <w:szCs w:val="24"/>
        </w:rPr>
        <w:t xml:space="preserve">8.2 Características principales del sistema</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100"/>
        <w:gridCol w:w="3300"/>
        <w:gridCol w:w="760"/>
      </w:tblGrid>
      <w:tr>
        <w:trPr>
          <w:tblHeader/>
        </w:trPr>
        <w:tc>
          <w:tcPr>
            <w:tcW w:type="dxa" w:w="10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ID</w:t>
            </w:r>
          </w:p>
        </w:tc>
        <w:tc>
          <w:tcPr>
            <w:tcW w:type="dxa" w:w="18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Módulo</w:t>
            </w:r>
          </w:p>
        </w:tc>
        <w:tc>
          <w:tcPr>
            <w:tcW w:type="dxa" w:w="21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Característica</w:t>
            </w:r>
          </w:p>
        </w:tc>
        <w:tc>
          <w:tcPr>
            <w:tcW w:type="dxa" w:w="33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Descripción</w:t>
            </w:r>
          </w:p>
        </w:tc>
        <w:tc>
          <w:tcPr>
            <w:tcW w:type="dxa" w:w="7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Prioridad</w:t>
            </w:r>
          </w:p>
        </w:tc>
      </w:tr>
      <w:tr>
        <w:tc>
          <w:tcPr>
            <w:tcW w:type="dxa" w:w="1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M01-C01</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M1 — Gestión de Usuarios</w:t>
            </w:r>
          </w:p>
        </w:tc>
        <w:tc>
          <w:tcPr>
            <w:tcW w:type="dxa" w:w="21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Registro y gestión de perfiles con roles</w:t>
            </w:r>
          </w:p>
        </w:tc>
        <w:tc>
          <w:tcPr>
            <w:tcW w:type="dxa" w:w="3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r>
            <w:r>
              <w:rPr>
                <w:sz w:val="20"/>
              </w:rPr>
              <w:t>Registro, login y perfiles con roles: paciente, médico y administrativo, con autenticación MFA obligatoria. Incluye la gestión y registro de dispositivos IoT del paciente (EKG, EEG, oxímetro) vinculados al perfil.</w:t>
            </w:r>
          </w:p>
        </w:tc>
        <w:tc>
          <w:tcPr>
            <w:tcW w:type="dxa" w:w="7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M01-C02</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M1 — Gestión de Usuarios</w:t>
            </w:r>
          </w:p>
        </w:tc>
        <w:tc>
          <w:tcPr>
            <w:tcW w:type="dxa" w:w="21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Validación de elegibilidad en línea</w:t>
            </w:r>
          </w:p>
        </w:tc>
        <w:tc>
          <w:tcPr>
            <w:tcW w:type="dxa" w:w="3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Consulta automatizada al IESS/MSP para verificar la cobertura del paciente antes de activar servicios.</w:t>
            </w:r>
          </w:p>
        </w:tc>
        <w:tc>
          <w:tcPr>
            <w:tcW w:type="dxa" w:w="7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M02-C01</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M2 — Triaje y Solicitudes</w:t>
            </w:r>
          </w:p>
        </w:tc>
        <w:tc>
          <w:tcPr>
            <w:tcW w:type="dxa" w:w="21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Bot conversacional de primera línea</w:t>
            </w:r>
          </w:p>
        </w:tc>
        <w:tc>
          <w:tcPr>
            <w:tcW w:type="dxa" w:w="3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Chatbot de texto y voicebot que guía al paciente en el reporte natural de síntomas con fallback seguro a humano cuando el bot no puede resolver la situación.</w:t>
            </w:r>
          </w:p>
        </w:tc>
        <w:tc>
          <w:tcPr>
            <w:tcW w:type="dxa" w:w="7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M02-C02</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M2 — Triaje y Solicitudes</w:t>
            </w:r>
          </w:p>
        </w:tc>
        <w:tc>
          <w:tcPr>
            <w:tcW w:type="dxa" w:w="21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Med-Gemini — Motor de triaje clínico</w:t>
            </w:r>
          </w:p>
        </w:tc>
        <w:tc>
          <w:tcPr>
            <w:tcW w:type="dxa" w:w="3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Med-Gemini analiza la descripción de síntomas recibida por el bot, aplica razonamiento clínico especializado y clasifica la solicitud por nivel de prioridad médica con explicación XAI comprensible para el paciente y el médico.</w:t>
            </w:r>
          </w:p>
        </w:tc>
        <w:tc>
          <w:tcPr>
            <w:tcW w:type="dxa" w:w="7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M02-C03</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M2 — Triaje y Solicitudes</w:t>
            </w:r>
          </w:p>
        </w:tc>
        <w:tc>
          <w:tcPr>
            <w:tcW w:type="dxa" w:w="21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Procesamiento asíncrono de solicitudes</w:t>
            </w:r>
          </w:p>
        </w:tc>
        <w:tc>
          <w:tcPr>
            <w:tcW w:type="dxa" w:w="3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Gestión de solicitudes manuales (vía bot) y automáticas (alertas IoT) sin bloqueo del sistema.</w:t>
            </w:r>
          </w:p>
        </w:tc>
        <w:tc>
          <w:tcPr>
            <w:tcW w:type="dxa" w:w="7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M02-C04</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M2 — Triaje y Solicitudes</w:t>
            </w:r>
          </w:p>
        </w:tc>
        <w:tc>
          <w:tcPr>
            <w:tcW w:type="dxa" w:w="21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Motor de matching inteligente</w:t>
            </w:r>
          </w:p>
        </w:tc>
        <w:tc>
          <w:tcPr>
            <w:tcW w:type="dxa" w:w="3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Algoritmo que asigna cada caso al centro y médico más idóneo según especialidad, disponibilidad, ubicación y tiempo estimado de respuesta.</w:t>
            </w:r>
          </w:p>
        </w:tc>
        <w:tc>
          <w:tcPr>
            <w:tcW w:type="dxa" w:w="7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M02-C05</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M2 — Triaje y Solicitudes</w:t>
            </w:r>
          </w:p>
        </w:tc>
        <w:tc>
          <w:tcPr>
            <w:tcW w:type="dxa" w:w="21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Panel dinámico de estados</w:t>
            </w:r>
          </w:p>
        </w:tc>
        <w:tc>
          <w:tcPr>
            <w:tcW w:type="dxa" w:w="3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Tablero en tiempo real del ciclo de vida del auxilio: Recibido → Asignado → En Atención → Atendido.</w:t>
            </w:r>
          </w:p>
        </w:tc>
        <w:tc>
          <w:tcPr>
            <w:tcW w:type="dxa" w:w="7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M03-C01</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M3 — Monitoreo Biométrico</w:t>
            </w:r>
          </w:p>
        </w:tc>
        <w:tc>
          <w:tcPr>
            <w:tcW w:type="dxa" w:w="21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Captura continua de flujos IoT</w:t>
            </w:r>
          </w:p>
        </w:tc>
        <w:tc>
          <w:tcPr>
            <w:tcW w:type="dxa" w:w="3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Recepción y procesamiento de datos biométricos en tiempo real desde dispositivos del paciente (EKG, EEG, oxímetro).</w:t>
            </w:r>
          </w:p>
        </w:tc>
        <w:tc>
          <w:tcPr>
            <w:tcW w:type="dxa" w:w="7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M03-C02</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M3 — Monitoreo Biométrico</w:t>
            </w:r>
          </w:p>
        </w:tc>
        <w:tc>
          <w:tcPr>
            <w:tcW w:type="dxa" w:w="21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Med-Gemini — Detección predictiva de anomalías</w:t>
            </w:r>
          </w:p>
        </w:tc>
        <w:tc>
          <w:tcPr>
            <w:tcW w:type="dxa" w:w="3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Med-Gemini analiza los flujos biométricos continuos (EKG, EEG, oxímetro), identifica patrones precursores de eventos críticos con anticipación y genera alertas proactivas con explicación clínica del riesgo detectado.</w:t>
            </w:r>
          </w:p>
        </w:tc>
        <w:tc>
          <w:tcPr>
            <w:tcW w:type="dxa" w:w="7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M03-C03</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M3 — Monitoreo Biométrico</w:t>
            </w:r>
          </w:p>
        </w:tc>
        <w:tc>
          <w:tcPr>
            <w:tcW w:type="dxa" w:w="21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Explicación de alertas vía bot (XAI)</w:t>
            </w:r>
          </w:p>
        </w:tc>
        <w:tc>
          <w:tcPr>
            <w:tcW w:type="dxa" w:w="3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bot explica al paciente en lenguaje comprensible las razones de cada alerta generada por el modelo predictivo.</w:t>
            </w:r>
          </w:p>
        </w:tc>
        <w:tc>
          <w:tcPr>
            <w:tcW w:type="dxa" w:w="7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M04-C01</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M4 — Teleconsulta y Atención</w:t>
            </w:r>
          </w:p>
        </w:tc>
        <w:tc>
          <w:tcPr>
            <w:tcW w:type="dxa" w:w="21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Teleconsulta con Med-Gemini y XAI</w:t>
            </w:r>
          </w:p>
        </w:tc>
        <w:tc>
          <w:tcPr>
            <w:tcW w:type="dxa" w:w="3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r>
            <w:r>
              <w:rPr>
                <w:sz w:val="20"/>
              </w:rPr>
              <w:t>Canal de videollamada de baja latencia con historial clínico completo e historial biométrico del M3 integrados en la misma pantalla. Med-Gemini genera sugerencias diagnósticas basadas en el contexto clínico del paciente con explicación XAI visible para el médico en tiempo real.</w:t>
            </w:r>
          </w:p>
        </w:tc>
        <w:tc>
          <w:tcPr>
            <w:tcW w:type="dxa" w:w="7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M04-C02</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M4 — Teleconsulta y Atención</w:t>
            </w:r>
          </w:p>
        </w:tc>
        <w:tc>
          <w:tcPr>
            <w:tcW w:type="dxa" w:w="21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Emisión de recetas digitales</w:t>
            </w:r>
          </w:p>
        </w:tc>
        <w:tc>
          <w:tcPr>
            <w:tcW w:type="dxa" w:w="3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Generación y firma electrónica de recetas e instrucciones médicas durante la teleconsulta.</w:t>
            </w:r>
          </w:p>
        </w:tc>
        <w:tc>
          <w:tcPr>
            <w:tcW w:type="dxa" w:w="7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M04-C03</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M4 — Teleconsulta y Atención</w:t>
            </w:r>
          </w:p>
        </w:tc>
        <w:tc>
          <w:tcPr>
            <w:tcW w:type="dxa" w:w="21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Derivación de emergencia presencial</w:t>
            </w:r>
          </w:p>
        </w:tc>
        <w:tc>
          <w:tcPr>
            <w:tcW w:type="dxa" w:w="3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Botón de atención inmediata para solicitar despacho de emergencia cuando el médico determina un caso crítico.</w:t>
            </w:r>
          </w:p>
        </w:tc>
        <w:tc>
          <w:tcPr>
            <w:tcW w:type="dxa" w:w="7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M04-C04</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M4 — Teleconsulta y Atención</w:t>
            </w:r>
          </w:p>
        </w:tc>
        <w:tc>
          <w:tcPr>
            <w:tcW w:type="dxa" w:w="21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Rechazar y reasignar solicitud de emergencia</w:t>
            </w:r>
          </w:p>
        </w:tc>
        <w:tc>
          <w:tcPr>
            <w:tcW w:type="dxa" w:w="3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Permite al Personal Médico rechazar una solicitud de emergencia cuando no pueda atenderla (sobrecarga, falta de especialidad, indisponibilidad temporal), seleccionando un motivo obligatorio. El sistema reasigna automáticamente la solicitud al médico o Centro de Asistencia más idóneo según disponibilidad, especialidad y zona geográfica. Si no hay médico disponible en 5 minutos, escala al Centro de Asistencia o sistema de emergencias.</w:t>
            </w:r>
          </w:p>
        </w:tc>
        <w:tc>
          <w:tcPr>
            <w:tcW w:type="dxa" w:w="7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M05-C01</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M5 — Seguridad y Auditoría</w:t>
            </w:r>
          </w:p>
        </w:tc>
        <w:tc>
          <w:tcPr>
            <w:tcW w:type="dxa" w:w="21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Cifrado de datos en reposo y tránsito</w:t>
            </w:r>
          </w:p>
        </w:tc>
        <w:tc>
          <w:tcPr>
            <w:tcW w:type="dxa" w:w="3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AES-256 en reposo y TLS 1.3 en tránsito para todas las comunicaciones y datos, incluyendo conversaciones con bot.</w:t>
            </w:r>
          </w:p>
        </w:tc>
        <w:tc>
          <w:tcPr>
            <w:tcW w:type="dxa" w:w="7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M05-C02</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M5 — Seguridad y Auditoría</w:t>
            </w:r>
          </w:p>
        </w:tc>
        <w:tc>
          <w:tcPr>
            <w:tcW w:type="dxa" w:w="21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Consentimiento explícito LOPDP</w:t>
            </w:r>
          </w:p>
        </w:tc>
        <w:tc>
          <w:tcPr>
            <w:tcW w:type="dxa" w:w="3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Gestión del consentimiento del paciente para acceso al historial y uso de conversaciones con bot para reentrenamiento de modelos.</w:t>
            </w:r>
          </w:p>
        </w:tc>
        <w:tc>
          <w:tcPr>
            <w:tcW w:type="dxa" w:w="7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M05-C03</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M5 — Seguridad y Auditoría</w:t>
            </w:r>
          </w:p>
        </w:tc>
        <w:tc>
          <w:tcPr>
            <w:tcW w:type="dxa" w:w="21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Repositorio centralizado persistente</w:t>
            </w:r>
          </w:p>
        </w:tc>
        <w:tc>
          <w:tcPr>
            <w:tcW w:type="dxa" w:w="3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Almacenamiento centralizado con retención regulada del historial clínico, solicitudes y conversaciones con bot.</w:t>
            </w:r>
          </w:p>
        </w:tc>
        <w:tc>
          <w:tcPr>
            <w:tcW w:type="dxa" w:w="7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M05-C04</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M5 — Seguridad y Auditoría</w:t>
            </w:r>
          </w:p>
        </w:tc>
        <w:tc>
          <w:tcPr>
            <w:tcW w:type="dxa" w:w="21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Logs de auditoría inmutables con IA</w:t>
            </w:r>
          </w:p>
        </w:tc>
        <w:tc>
          <w:tcPr>
            <w:tcW w:type="dxa" w:w="3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r>
            <w:r>
              <w:rPr>
                <w:sz w:val="20"/>
              </w:rPr>
              <w:t>Registros con hash criptográfico SHA-256 que incluyen decisiones de Med-Gemini con versión del modelo, nivel de confianza, inputs y outputs, conversaciones con bot y acciones del personal médico, listos para el MSP. Incluye auditorías semestrales de equidad de Med-Gemini ejecutadas por el Equipo MLOps (ST07) con supervisión del DPO (ST06).</w:t>
            </w:r>
          </w:p>
        </w:tc>
        <w:tc>
          <w:tcPr>
            <w:tcW w:type="dxa" w:w="7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Alta</w:t>
            </w:r>
          </w:p>
        </w:tc>
      </w:tr>
    </w:tbl>
    <w:p>
      <w:pPr>
        <w:spacing w:after="160"/>
      </w:pPr>
      <w:r>
        <w:t xml:space="preserve"/>
      </w:r>
    </w:p>
    <w:p>
      <w:r>
        <w:br w:type="page"/>
      </w:r>
    </w:p>
    <w:p>
      <w:pPr>
        <w:pStyle w:val="Heading1"/>
        <w:pBdr>
          <w:bottom w:val="single" w:color="2E75B6" w:sz="8" w:space="4"/>
        </w:pBdr>
        <w:spacing w:after="160" w:before="340"/>
      </w:pPr>
      <w:r>
        <w:rPr>
          <w:rFonts w:ascii="Arial" w:cs="Arial" w:eastAsia="Arial" w:hAnsi="Arial"/>
          <w:b/>
          <w:bCs/>
          <w:color w:val="1F4E79"/>
          <w:sz w:val="30"/>
          <w:szCs w:val="30"/>
        </w:rPr>
        <w:t xml:space="preserve">9. Restricciones, Suposiciones y Dependencias</w:t>
      </w:r>
    </w:p>
    <w:p>
      <w:pPr>
        <w:pStyle w:val="Heading2"/>
        <w:spacing w:after="100" w:before="240"/>
      </w:pPr>
      <w:r>
        <w:rPr>
          <w:rFonts w:ascii="Arial" w:cs="Arial" w:eastAsia="Arial" w:hAnsi="Arial"/>
          <w:b/>
          <w:bCs/>
          <w:color w:val="2E75B6"/>
          <w:sz w:val="24"/>
          <w:szCs w:val="24"/>
        </w:rPr>
        <w:t xml:space="preserve">9.1 Restricciones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6760"/>
      </w:tblGrid>
      <w:tr>
        <w:trPr>
          <w:tblHeader/>
        </w:trPr>
        <w:tc>
          <w:tcPr>
            <w:tcW w:type="dxa" w:w="8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ID</w:t>
            </w:r>
          </w:p>
        </w:tc>
        <w:tc>
          <w:tcPr>
            <w:tcW w:type="dxa" w:w="14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Tipo</w:t>
            </w:r>
          </w:p>
        </w:tc>
        <w:tc>
          <w:tcPr>
            <w:tcW w:type="dxa" w:w="67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Descripción</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R-01</w:t>
            </w:r>
          </w:p>
        </w:tc>
        <w:tc>
          <w:tcPr>
            <w:tcW w:type="dxa" w:w="1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Técnica</w:t>
            </w:r>
          </w:p>
        </w:tc>
        <w:tc>
          <w:tcPr>
            <w:tcW w:type="dxa" w:w="67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sistema requiere que el paciente cuente con acceso a Internet para el monitoreo, la teleconsulta y la interacción con el bot.</w:t>
            </w:r>
          </w:p>
        </w:tc>
      </w:tr>
      <w:tr>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R-02</w:t>
            </w:r>
          </w:p>
        </w:tc>
        <w:tc>
          <w:tcPr>
            <w:tcW w:type="dxa" w:w="1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Legal / Normativa</w:t>
            </w:r>
          </w:p>
        </w:tc>
        <w:tc>
          <w:tcPr>
            <w:tcW w:type="dxa" w:w="67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sistema debe cumplir con la LOPDP, la Ley Orgánica de Salud del Ecuador, las regulaciones del MSP y los estándares HL7/FHIR.</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R-03</w:t>
            </w:r>
          </w:p>
        </w:tc>
        <w:tc>
          <w:tcPr>
            <w:tcW w:type="dxa" w:w="1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Legal / Normativa</w:t>
            </w:r>
          </w:p>
        </w:tc>
        <w:tc>
          <w:tcPr>
            <w:tcW w:type="dxa" w:w="67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La validez legal de las recetas digitales y las decisiones de IA está condicionada al marco regulatorio vigente del MSP en Ecuador.</w:t>
            </w:r>
          </w:p>
        </w:tc>
      </w:tr>
      <w:tr>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R-04</w:t>
            </w:r>
          </w:p>
        </w:tc>
        <w:tc>
          <w:tcPr>
            <w:tcW w:type="dxa" w:w="1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Técnica</w:t>
            </w:r>
          </w:p>
        </w:tc>
        <w:tc>
          <w:tcPr>
            <w:tcW w:type="dxa" w:w="67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La precisión del monitoreo biométrico depende de la calidad y calibración de los dispositivos del paciente, externos al sistema.</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R-05</w:t>
            </w:r>
          </w:p>
        </w:tc>
        <w:tc>
          <w:tcPr>
            <w:tcW w:type="dxa" w:w="1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Técnica</w:t>
            </w:r>
          </w:p>
        </w:tc>
        <w:tc>
          <w:tcPr>
            <w:tcW w:type="dxa" w:w="67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Las APIs del IESS y la Red de Salud Pública deben estar disponibles y accesibles para el sistema.</w:t>
            </w:r>
          </w:p>
        </w:tc>
      </w:tr>
      <w:tr>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R-06</w:t>
            </w:r>
          </w:p>
        </w:tc>
        <w:tc>
          <w:tcPr>
            <w:tcW w:type="dxa" w:w="1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Ética / IA</w:t>
            </w:r>
          </w:p>
        </w:tc>
        <w:tc>
          <w:tcPr>
            <w:tcW w:type="dxa" w:w="67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Los modelos de IA y el bot deben ser auditables, explicables y libres de sesgos discriminatorios verificables por el ST07 (MLOps).</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R-07</w:t>
            </w:r>
          </w:p>
        </w:tc>
        <w:tc>
          <w:tcPr>
            <w:tcW w:type="dxa" w:w="1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Legal / IA</w:t>
            </w:r>
          </w:p>
        </w:tc>
        <w:tc>
          <w:tcPr>
            <w:tcW w:type="dxa" w:w="67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consentimiento explícito del paciente (ST01) es obligatorio antes de usar sus conversaciones con el bot para reentrenamiento de modelos (ST07).</w:t>
            </w:r>
          </w:p>
        </w:tc>
      </w:tr>
    </w:tbl>
    <w:p>
      <w:pPr>
        <w:spacing w:after="80"/>
      </w:pPr>
      <w:r>
        <w:t xml:space="preserve"/>
      </w:r>
    </w:p>
    <w:p>
      <w:pPr>
        <w:pStyle w:val="Heading2"/>
        <w:spacing w:after="100" w:before="240"/>
      </w:pPr>
      <w:r>
        <w:rPr>
          <w:rFonts w:ascii="Arial" w:cs="Arial" w:eastAsia="Arial" w:hAnsi="Arial"/>
          <w:b/>
          <w:bCs/>
          <w:color w:val="2E75B6"/>
          <w:sz w:val="24"/>
          <w:szCs w:val="24"/>
        </w:rPr>
        <w:t xml:space="preserve">9.2 Suposiciones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00"/>
        <w:gridCol w:w="8160"/>
      </w:tblGrid>
      <w:tr>
        <w:trPr>
          <w:tblHeader/>
        </w:trPr>
        <w:tc>
          <w:tcPr>
            <w:tcW w:type="dxa" w:w="8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ID</w:t>
            </w:r>
          </w:p>
        </w:tc>
        <w:tc>
          <w:tcPr>
            <w:tcW w:type="dxa" w:w="81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Suposición</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SA-01</w:t>
            </w:r>
          </w:p>
        </w:tc>
        <w:tc>
          <w:tcPr>
            <w:tcW w:type="dxa" w:w="81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Los pacientes (ST01) cuentan con al menos un dispositivo con acceso a Internet para interactuar con el sistema y el bot.</w:t>
            </w:r>
          </w:p>
        </w:tc>
      </w:tr>
      <w:tr>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SA-02</w:t>
            </w:r>
          </w:p>
        </w:tc>
        <w:tc>
          <w:tcPr>
            <w:tcW w:type="dxa" w:w="81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Las APIs del IESS y la Red de Salud Pública estarán disponibles y técnicamente accesibles para integración bajo HL7/FHIR.</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SA-03</w:t>
            </w:r>
          </w:p>
        </w:tc>
        <w:tc>
          <w:tcPr>
            <w:tcW w:type="dxa" w:w="81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Los proveedores de infraestructura cloud garantizarán disponibilidad mínima del 99.5% conforme al SLA del proyecto.</w:t>
            </w:r>
          </w:p>
        </w:tc>
      </w:tr>
      <w:tr>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SA-04</w:t>
            </w:r>
          </w:p>
        </w:tc>
        <w:tc>
          <w:tcPr>
            <w:tcW w:type="dxa" w:w="81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personal médico (ST02) y administrativo (ST03) recibirán capacitación básica antes de la puesta en producción.</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SA-05</w:t>
            </w:r>
          </w:p>
        </w:tc>
        <w:tc>
          <w:tcPr>
            <w:tcW w:type="dxa" w:w="81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Los umbrales clínicos para el triaje y los modelos predictivos serán proporcionados y avalados por médicos especialistas del consorcio (ST04) antes del diseño.</w:t>
            </w:r>
          </w:p>
        </w:tc>
      </w:tr>
      <w:tr>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SA-06</w:t>
            </w:r>
          </w:p>
        </w:tc>
        <w:tc>
          <w:tcPr>
            <w:tcW w:type="dxa" w:w="81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equipo MLOps (ST07) dispondrá de datos de entrenamiento suficientes y etiquetados para construir los modelos iniciales de triaje y detección de anomalías.</w:t>
            </w:r>
          </w:p>
        </w:tc>
      </w:tr>
    </w:tbl>
    <w:p>
      <w:pPr>
        <w:spacing w:after="80"/>
      </w:pPr>
      <w:r>
        <w:t xml:space="preserve"/>
      </w:r>
    </w:p>
    <w:p>
      <w:pPr>
        <w:pStyle w:val="Heading2"/>
        <w:spacing w:after="100" w:before="240"/>
      </w:pPr>
      <w:r>
        <w:rPr>
          <w:rFonts w:ascii="Arial" w:cs="Arial" w:eastAsia="Arial" w:hAnsi="Arial"/>
          <w:b/>
          <w:bCs/>
          <w:color w:val="2E75B6"/>
          <w:sz w:val="24"/>
          <w:szCs w:val="24"/>
        </w:rPr>
        <w:t xml:space="preserve">9.3 Dependencias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100"/>
        <w:gridCol w:w="2360"/>
      </w:tblGrid>
      <w:tr>
        <w:trPr>
          <w:tblHeader/>
        </w:trPr>
        <w:tc>
          <w:tcPr>
            <w:tcW w:type="dxa" w:w="7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ID</w:t>
            </w:r>
          </w:p>
        </w:tc>
        <w:tc>
          <w:tcPr>
            <w:tcW w:type="dxa" w:w="26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Dependencia</w:t>
            </w:r>
          </w:p>
        </w:tc>
        <w:tc>
          <w:tcPr>
            <w:tcW w:type="dxa" w:w="31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Impacto si no se cumple</w:t>
            </w:r>
          </w:p>
        </w:tc>
        <w:tc>
          <w:tcPr>
            <w:tcW w:type="dxa" w:w="23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Responsable</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D-01</w:t>
            </w:r>
          </w:p>
        </w:tc>
        <w:tc>
          <w:tcPr>
            <w:tcW w:type="dxa" w:w="26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Integración con el IESS (API externa)</w:t>
            </w:r>
          </w:p>
        </w:tc>
        <w:tc>
          <w:tcPr>
            <w:tcW w:type="dxa" w:w="31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No se podrá validar la elegibilidad del paciente ni importar historial externo.</w:t>
            </w:r>
          </w:p>
        </w:tc>
        <w:tc>
          <w:tcPr>
            <w:tcW w:type="dxa" w:w="2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ST04 — Equipo TI del consorcio</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D-02</w:t>
            </w:r>
          </w:p>
        </w:tc>
        <w:tc>
          <w:tcPr>
            <w:tcW w:type="dxa" w:w="26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Integración con la Red de Salud Pública (HL7/FHIR)</w:t>
            </w:r>
          </w:p>
        </w:tc>
        <w:tc>
          <w:tcPr>
            <w:tcW w:type="dxa" w:w="31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historial médico del paciente estará incompleto durante la teleconsulta.</w:t>
            </w:r>
          </w:p>
        </w:tc>
        <w:tc>
          <w:tcPr>
            <w:tcW w:type="dxa" w:w="2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ST05 MSP / Proveedor de red</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D-03</w:t>
            </w:r>
          </w:p>
        </w:tc>
        <w:tc>
          <w:tcPr>
            <w:tcW w:type="dxa" w:w="26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Infraestructura cloud (AWS / Azure / GCP)</w:t>
            </w:r>
          </w:p>
        </w:tc>
        <w:tc>
          <w:tcPr>
            <w:tcW w:type="dxa" w:w="31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La disponibilidad 24/7 y la escalabilidad del sistema no podrán garantizarse.</w:t>
            </w:r>
          </w:p>
        </w:tc>
        <w:tc>
          <w:tcPr>
            <w:tcW w:type="dxa" w:w="2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Proveedor externo (no stakeholder)</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D-04</w:t>
            </w:r>
          </w:p>
        </w:tc>
        <w:tc>
          <w:tcPr>
            <w:tcW w:type="dxa" w:w="26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Dispositivos médicos del paciente (EKG, EEG, oxímetro)</w:t>
            </w:r>
          </w:p>
        </w:tc>
        <w:tc>
          <w:tcPr>
            <w:tcW w:type="dxa" w:w="31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módulo M3 de monitoreo biométrico y los modelos predictivos no funcionarán.</w:t>
            </w:r>
          </w:p>
        </w:tc>
        <w:tc>
          <w:tcPr>
            <w:tcW w:type="dxa" w:w="2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ST01 Paciente / ST04 Centro</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D-05</w:t>
            </w:r>
          </w:p>
        </w:tc>
        <w:tc>
          <w:tcPr>
            <w:tcW w:type="dxa" w:w="26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Med-Gemini operativo e integrado al sistema</w:t>
            </w:r>
          </w:p>
        </w:tc>
        <w:tc>
          <w:tcPr>
            <w:tcW w:type="dxa" w:w="31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triaje clínico (M2), la detección predictiva (M3) y el soporte diagnóstico (M4) no estarán disponibles. El sistema operaría en modo básico reactivo sin capacidades de IA.</w:t>
            </w:r>
          </w:p>
        </w:tc>
        <w:tc>
          <w:tcPr>
            <w:tcW w:type="dxa" w:w="2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ST07 Equipo MLOps / Med-Gemini</w:t>
            </w:r>
          </w:p>
        </w:tc>
      </w:tr>
    </w:tbl>
    <w:p>
      <w:pPr>
        <w:spacing w:after="160"/>
      </w:pPr>
      <w:r>
        <w:t xml:space="preserve"/>
      </w:r>
    </w:p>
    <w:p>
      <w:r>
        <w:br w:type="page"/>
      </w:r>
    </w:p>
    <w:p>
      <w:pPr>
        <w:pStyle w:val="Heading1"/>
        <w:pBdr>
          <w:bottom w:val="single" w:color="2E75B6" w:sz="8" w:space="4"/>
        </w:pBdr>
        <w:spacing w:after="160" w:before="340"/>
      </w:pPr>
      <w:r>
        <w:rPr>
          <w:rFonts w:ascii="Arial" w:cs="Arial" w:eastAsia="Arial" w:hAnsi="Arial"/>
          <w:b/>
          <w:bCs/>
          <w:color w:val="1F4E79"/>
          <w:sz w:val="30"/>
          <w:szCs w:val="30"/>
        </w:rPr>
        <w:t xml:space="preserve">10. Estrategia de Mitigación de Riesgos de Requisitos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700"/>
        <w:gridCol w:w="800"/>
        <w:gridCol w:w="800"/>
        <w:gridCol w:w="3360"/>
      </w:tblGrid>
      <w:tr>
        <w:trPr>
          <w:tblHeader/>
        </w:trPr>
        <w:tc>
          <w:tcPr>
            <w:tcW w:type="dxa" w:w="7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ID</w:t>
            </w:r>
          </w:p>
        </w:tc>
        <w:tc>
          <w:tcPr>
            <w:tcW w:type="dxa" w:w="29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Riesgo</w:t>
            </w:r>
          </w:p>
        </w:tc>
        <w:tc>
          <w:tcPr>
            <w:tcW w:type="dxa" w:w="7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Prob.</w:t>
            </w:r>
          </w:p>
        </w:tc>
        <w:tc>
          <w:tcPr>
            <w:tcW w:type="dxa" w:w="8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Impacto</w:t>
            </w:r>
          </w:p>
        </w:tc>
        <w:tc>
          <w:tcPr>
            <w:tcW w:type="dxa" w:w="8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Nivel</w:t>
            </w:r>
          </w:p>
        </w:tc>
        <w:tc>
          <w:tcPr>
            <w:tcW w:type="dxa" w:w="33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Estrategia de mitigación</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RR-01</w:t>
            </w:r>
          </w:p>
        </w:tc>
        <w:tc>
          <w:tcPr>
            <w:tcW w:type="dxa" w:w="29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Baja adopción por resistencia al cambio del personal médico (ST02) y administrativo (ST03).</w:t>
            </w:r>
          </w:p>
        </w:tc>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Media</w:t>
            </w:r>
          </w:p>
        </w:tc>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Alta</w:t>
            </w:r>
          </w:p>
        </w:tc>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Alto</w:t>
            </w:r>
          </w:p>
        </w:tc>
        <w:tc>
          <w:tcPr>
            <w:tcW w:type="dxa" w:w="3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Sesiones de capacitación previas al despliegue. Involucrar médicos referentes como champions del sistema junto con ST04.</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RR-02</w:t>
            </w:r>
          </w:p>
        </w:tc>
        <w:tc>
          <w:tcPr>
            <w:tcW w:type="dxa" w:w="29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Umbrales clínicos de Med-Gemini ambiguos para alertas biométricas — ¿qué patrón activa la alerta?</w:t>
            </w:r>
          </w:p>
        </w:tc>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Alta</w:t>
            </w:r>
          </w:p>
        </w:tc>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Alta</w:t>
            </w:r>
          </w:p>
        </w:tc>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Crítico</w:t>
            </w:r>
          </w:p>
        </w:tc>
        <w:tc>
          <w:tcPr>
            <w:tcW w:type="dxa" w:w="3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Definir umbrales clínicos con ST02 y ST04 antes de configurar Med-Gemini. Validar la precisión del modelo en un entorno controlado antes del despliegue productivo.</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RR-03</w:t>
            </w:r>
          </w:p>
        </w:tc>
        <w:tc>
          <w:tcPr>
            <w:tcW w:type="dxa" w:w="29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Dependencia de APIs externas no disponibles (IESS, Red de Salud Pública).</w:t>
            </w:r>
          </w:p>
        </w:tc>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Media</w:t>
            </w:r>
          </w:p>
        </w:tc>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Alta</w:t>
            </w:r>
          </w:p>
        </w:tc>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Alto</w:t>
            </w:r>
          </w:p>
        </w:tc>
        <w:tc>
          <w:tcPr>
            <w:tcW w:type="dxa" w:w="3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Acordar SLA con proveedores (D-01, D-02) antes del inicio del desarrollo. Implementar modo degradado sin validación de elegibilidad.</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RR-04</w:t>
            </w:r>
          </w:p>
        </w:tc>
        <w:tc>
          <w:tcPr>
            <w:tcW w:type="dxa" w:w="29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Problemas de conectividad en zonas rurales que afecten calidad del monitoreo y teleconsulta.</w:t>
            </w:r>
          </w:p>
        </w:tc>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Alta</w:t>
            </w:r>
          </w:p>
        </w:tc>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Media</w:t>
            </w:r>
          </w:p>
        </w:tc>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Alto</w:t>
            </w:r>
          </w:p>
        </w:tc>
        <w:tc>
          <w:tcPr>
            <w:tcW w:type="dxa" w:w="3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Implementar mecanismos de tolerancia a fallos y comunicación alternativa (SMS, almacenamiento temporal local).</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RR-05</w:t>
            </w:r>
          </w:p>
        </w:tc>
        <w:tc>
          <w:tcPr>
            <w:tcW w:type="dxa" w:w="29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Sesgo o inequidad en Med-Gemini que perjudique a grupos de pacientes (ST01) por factores demográficos.</w:t>
            </w:r>
          </w:p>
        </w:tc>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Media</w:t>
            </w:r>
          </w:p>
        </w:tc>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Alta</w:t>
            </w:r>
          </w:p>
        </w:tc>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Crítico</w:t>
            </w:r>
          </w:p>
        </w:tc>
        <w:tc>
          <w:tcPr>
            <w:tcW w:type="dxa" w:w="3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Auditorías de equidad de Med-Gemini ejecutadas por ST07 con supervisión del ST06 (DPO). Validar que los datos de configuración del modelo representen adecuadamente la población ecuatoriana.</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RR-06</w:t>
            </w:r>
          </w:p>
        </w:tc>
        <w:tc>
          <w:tcPr>
            <w:tcW w:type="dxa" w:w="29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Explicabilidad de Med-Gemini insuficiente para satisfacer los criterios de aprobación regulatoria del MSP (ST05).</w:t>
            </w:r>
          </w:p>
        </w:tc>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Alta</w:t>
            </w:r>
          </w:p>
        </w:tc>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Alta</w:t>
            </w:r>
          </w:p>
        </w:tc>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Crítico</w:t>
            </w:r>
          </w:p>
        </w:tc>
        <w:tc>
          <w:tcPr>
            <w:tcW w:type="dxa" w:w="3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Definir criterios de XAI aceptables con ST05 y ST06 desde la Fase 1. Validar que las explicaciones de Med-Gemini sean comprensibles para el personal médico (ST02) y los auditores del MSP.</w:t>
            </w:r>
          </w:p>
        </w:tc>
      </w:tr>
    </w:tbl>
    <w:p>
      <w:pPr>
        <w:spacing w:after="160"/>
      </w:pPr>
      <w:r>
        <w:t xml:space="preserve"/>
      </w:r>
    </w:p>
    <w:p>
      <w:r>
        <w:br w:type="page"/>
      </w:r>
    </w:p>
    <w:p>
      <w:pPr>
        <w:pStyle w:val="Heading1"/>
        <w:pBdr>
          <w:bottom w:val="single" w:color="2E75B6" w:sz="8" w:space="4"/>
        </w:pBdr>
        <w:spacing w:after="160" w:before="340"/>
      </w:pPr>
      <w:r>
        <w:rPr>
          <w:rFonts w:ascii="Arial" w:cs="Arial" w:eastAsia="Arial" w:hAnsi="Arial"/>
          <w:b/>
          <w:bCs/>
          <w:color w:val="1F4E79"/>
          <w:sz w:val="30"/>
          <w:szCs w:val="30"/>
        </w:rPr>
        <w:t xml:space="preserve">11. Criterios de Éxito del Proyecto</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200"/>
        <w:gridCol w:w="860"/>
      </w:tblGrid>
      <w:tr>
        <w:trPr>
          <w:tblHeader/>
        </w:trPr>
        <w:tc>
          <w:tcPr>
            <w:tcW w:type="dxa" w:w="7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ID</w:t>
            </w:r>
          </w:p>
        </w:tc>
        <w:tc>
          <w:tcPr>
            <w:tcW w:type="dxa" w:w="32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Criterio de éxito</w:t>
            </w:r>
          </w:p>
        </w:tc>
        <w:tc>
          <w:tcPr>
            <w:tcW w:type="dxa" w:w="32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Forma de medición</w:t>
            </w:r>
          </w:p>
        </w:tc>
        <w:tc>
          <w:tcPr>
            <w:tcW w:type="dxa" w:w="8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OB</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CE-01</w:t>
            </w:r>
          </w:p>
        </w:tc>
        <w:tc>
          <w:tcPr>
            <w:tcW w:type="dxa" w:w="32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95% de las solicitudes de urgencia son atendidas dentro de los 10 minutos posteriores a su recepción, incluyendo las iniciadas por el bot (M2).</w:t>
            </w:r>
          </w:p>
        </w:tc>
        <w:tc>
          <w:tcPr>
            <w:tcW w:type="dxa" w:w="32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Logs del sistema — tiempo entre creación de solicitud y confirmación de asignación de médico.</w:t>
            </w:r>
          </w:p>
        </w:tc>
        <w:tc>
          <w:tcPr>
            <w:tcW w:type="dxa" w:w="8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OB-01</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CE-02</w:t>
            </w:r>
          </w:p>
        </w:tc>
        <w:tc>
          <w:tcPr>
            <w:tcW w:type="dxa" w:w="32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La tasa de detección de anomalías biométricas del módulo M3 alcanza ≥ 98% con falsos positivos ≤ 2%.</w:t>
            </w:r>
          </w:p>
        </w:tc>
        <w:tc>
          <w:tcPr>
            <w:tcW w:type="dxa" w:w="32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Validación clínica cruzada con datos reales durante las pruebas del módulo M3, supervisada por ST02 y ST07.</w:t>
            </w:r>
          </w:p>
        </w:tc>
        <w:tc>
          <w:tcPr>
            <w:tcW w:type="dxa" w:w="8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OB-02</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CE-03</w:t>
            </w:r>
          </w:p>
        </w:tc>
        <w:tc>
          <w:tcPr>
            <w:tcW w:type="dxa" w:w="32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sistema mantiene disponibilidad ≥ 99.5% durante los primeros 6 meses de operación productiva.</w:t>
            </w:r>
          </w:p>
        </w:tc>
        <w:tc>
          <w:tcPr>
            <w:tcW w:type="dxa" w:w="32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Dashboard de infraestructura con métricas de uptime en tiempo real.</w:t>
            </w:r>
          </w:p>
        </w:tc>
        <w:tc>
          <w:tcPr>
            <w:tcW w:type="dxa" w:w="8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OB-03</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CE-04</w:t>
            </w:r>
          </w:p>
        </w:tc>
        <w:tc>
          <w:tcPr>
            <w:tcW w:type="dxa" w:w="32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MSP (ST05) valida los logs de auditoría del módulo M5 — incluyendo conversaciones con bot y decisiones de IA — como suficientes para la certificación regulatoria.</w:t>
            </w:r>
          </w:p>
        </w:tc>
        <w:tc>
          <w:tcPr>
            <w:tcW w:type="dxa" w:w="32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Revisión formal del ST05 de al menos un ciclo completo de auditoría del sistema.</w:t>
            </w:r>
          </w:p>
        </w:tc>
        <w:tc>
          <w:tcPr>
            <w:tcW w:type="dxa" w:w="8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OB-04</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CE-05</w:t>
            </w:r>
          </w:p>
        </w:tc>
        <w:tc>
          <w:tcPr>
            <w:tcW w:type="dxa" w:w="32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90% de los usuarios (ST01 y ST02) califica la usabilidad del sistema y del bot como satisfactoria o mejor.</w:t>
            </w:r>
          </w:p>
        </w:tc>
        <w:tc>
          <w:tcPr>
            <w:tcW w:type="dxa" w:w="32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Encuesta de satisfacción post-implementación aplicada a ST01 y ST02.</w:t>
            </w:r>
          </w:p>
        </w:tc>
        <w:tc>
          <w:tcPr>
            <w:tcW w:type="dxa" w:w="8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OB-01/OB-03</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CE-06</w:t>
            </w:r>
          </w:p>
        </w:tc>
        <w:tc>
          <w:tcPr>
            <w:tcW w:type="dxa" w:w="32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100% de las decisiones automatizadas de IA incluyen explicación comprensible verificada por ST06 (DPO) y ST07 (MLOps).</w:t>
            </w:r>
          </w:p>
        </w:tc>
        <w:tc>
          <w:tcPr>
            <w:tcW w:type="dxa" w:w="32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Revisión de muestra aleatoria de 100 decisiones del sistema por ST06 y ST07.</w:t>
            </w:r>
          </w:p>
        </w:tc>
        <w:tc>
          <w:tcPr>
            <w:tcW w:type="dxa" w:w="8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OB-04</w:t>
            </w:r>
          </w:p>
        </w:tc>
      </w:tr>
    </w:tbl>
    <w:p>
      <w:pPr>
        <w:spacing w:after="160"/>
      </w:pPr>
      <w:r>
        <w:t xml:space="preserve"/>
      </w:r>
    </w:p>
    <w:p>
      <w:r>
        <w:br w:type="page"/>
      </w:r>
    </w:p>
    <w:p>
      <w:pPr>
        <w:pStyle w:val="Heading1"/>
        <w:pBdr>
          <w:bottom w:val="single" w:color="2E75B6" w:sz="8" w:space="4"/>
        </w:pBdr>
        <w:spacing w:after="160" w:before="340"/>
      </w:pPr>
      <w:r>
        <w:rPr>
          <w:rFonts w:ascii="Arial" w:cs="Arial" w:eastAsia="Arial" w:hAnsi="Arial"/>
          <w:b/>
          <w:bCs/>
          <w:color w:val="1F4E79"/>
          <w:sz w:val="30"/>
          <w:szCs w:val="30"/>
        </w:rPr>
        <w:t xml:space="preserve">12. Requerimientos Funcionales y No Funcionales</w:t>
      </w:r>
    </w:p>
    <w:p>
      <w:pPr>
        <w:spacing w:after="110"/>
        <w:jc w:val="both"/>
      </w:pPr>
      <w:r>
        <w:rPr>
          <w:rFonts w:ascii="Arial" w:cs="Arial" w:eastAsia="Arial" w:hAnsi="Arial"/>
          <w:sz w:val="20"/>
          <w:szCs w:val="20"/>
        </w:rPr>
        <w:t xml:space="preserve">Los siguientes requerimientos fueron derivados directamente de las características del sistema definidas en la sección 8.2, manteniendo trazabilidad completa hacia los módulos y stakeholders que los originan.</w:t>
      </w:r>
    </w:p>
    <w:p>
      <w:pPr>
        <w:spacing w:after="80"/>
      </w:pPr>
      <w:r>
        <w:t xml:space="preserve"/>
      </w:r>
    </w:p>
    <w:p>
      <w:pPr>
        <w:pStyle w:val="Heading2"/>
        <w:spacing w:after="100" w:before="240"/>
      </w:pPr>
      <w:r>
        <w:rPr>
          <w:rFonts w:ascii="Arial" w:cs="Arial" w:eastAsia="Arial" w:hAnsi="Arial"/>
          <w:b/>
          <w:bCs/>
          <w:color w:val="2E75B6"/>
          <w:sz w:val="24"/>
          <w:szCs w:val="24"/>
        </w:rPr>
        <w:t xml:space="preserve">12.1 Requerimientos Funcionales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5300"/>
        <w:gridCol w:w="2060"/>
      </w:tblGrid>
      <w:tr>
        <w:trPr>
          <w:tblHeader/>
        </w:trPr>
        <w:tc>
          <w:tcPr>
            <w:tcW w:type="dxa" w:w="7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ID</w:t>
            </w:r>
          </w:p>
        </w:tc>
        <w:tc>
          <w:tcPr>
            <w:tcW w:type="dxa" w:w="7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Módulo</w:t>
            </w:r>
          </w:p>
        </w:tc>
        <w:tc>
          <w:tcPr>
            <w:tcW w:type="dxa" w:w="53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Descripción del Requerimiento Funcional</w:t>
            </w:r>
          </w:p>
        </w:tc>
        <w:tc>
          <w:tcPr>
            <w:tcW w:type="dxa" w:w="20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Trazabilidad</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RF-01</w:t>
            </w:r>
          </w:p>
        </w:tc>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M1</w:t>
            </w:r>
          </w:p>
        </w:tc>
        <w:tc>
          <w:tcPr>
            <w:tcW w:type="dxa" w:w="5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sistema permitirá el registro, inicio de sesión y gestión de perfiles con roles: paciente (ST01), médico (ST02) y administrativo (ST03), con autenticación MFA obligatoria.</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M01-C01</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RF-02</w:t>
            </w:r>
          </w:p>
        </w:tc>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M1</w:t>
            </w:r>
          </w:p>
        </w:tc>
        <w:tc>
          <w:tcPr>
            <w:tcW w:type="dxa" w:w="5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sistema validará automáticamente la elegibilidad del paciente en el IESS/MSP antes de activar los servicios ambulatorios.</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M01-C02</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RF-03</w:t>
            </w:r>
          </w:p>
        </w:tc>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M2</w:t>
            </w:r>
          </w:p>
        </w:tc>
        <w:tc>
          <w:tcPr>
            <w:tcW w:type="dxa" w:w="5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sistema ofrecerá un bot conversacional (chatbot de texto y voicebot) como primera línea de interacción para que el paciente (ST01) reporte síntomas de forma natural.</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M02-C01</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RF-04</w:t>
            </w:r>
          </w:p>
        </w:tc>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M2</w:t>
            </w:r>
          </w:p>
        </w:tc>
        <w:tc>
          <w:tcPr>
            <w:tcW w:type="dxa" w:w="5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sistema escalará automáticamente a un profesional humano (ST02) cuando el bot no pueda resolver la situación, manteniendo el contexto completo de la conversación.</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M02-C01</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RF-05</w:t>
            </w:r>
          </w:p>
        </w:tc>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M2</w:t>
            </w:r>
          </w:p>
        </w:tc>
        <w:tc>
          <w:tcPr>
            <w:tcW w:type="dxa" w:w="5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sistema utilizará Med-Gemini para analizar la descripción de síntomas reportada por el bot, aplicar razonamiento clínico especializado y clasificar la solicitud por nivel de prioridad médica con explicación XAI comprensible para el paciente (ST01) y el médico (ST02).</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M02-C02</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RF-06</w:t>
            </w:r>
          </w:p>
        </w:tc>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M2</w:t>
            </w:r>
          </w:p>
        </w:tc>
        <w:tc>
          <w:tcPr>
            <w:tcW w:type="dxa" w:w="5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sistema procesará de forma asíncrona las solicitudes de auxilio, tanto las manuales (vía bot) como las automáticas generadas por el monitoreo IoT.</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M02-C03</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RF-07</w:t>
            </w:r>
          </w:p>
        </w:tc>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M2</w:t>
            </w:r>
          </w:p>
        </w:tc>
        <w:tc>
          <w:tcPr>
            <w:tcW w:type="dxa" w:w="5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sistema ejecutará un motor de matching inteligente que asignará cada caso al centro (ST04) y médico (ST02) más idóneo según especialidad, disponibilidad, ubicación y tiempo de respuesta.</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M02-C04</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RF-08</w:t>
            </w:r>
          </w:p>
        </w:tc>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M2</w:t>
            </w:r>
          </w:p>
        </w:tc>
        <w:tc>
          <w:tcPr>
            <w:tcW w:type="dxa" w:w="5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sistema visualizará en un panel dinámico en tiempo real el estado de cada solicitud activa durante todo su ciclo de vida para ST01 y ST03.</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M02-C05</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RF-09</w:t>
            </w:r>
          </w:p>
        </w:tc>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M3</w:t>
            </w:r>
          </w:p>
        </w:tc>
        <w:tc>
          <w:tcPr>
            <w:tcW w:type="dxa" w:w="5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sistema capturará y procesará flujos biométricos continuos desde los dispositivos del paciente (ST01): EKG, EEG, oxímetro.</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M03-C01</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RF-10</w:t>
            </w:r>
          </w:p>
        </w:tc>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M3</w:t>
            </w:r>
          </w:p>
        </w:tc>
        <w:tc>
          <w:tcPr>
            <w:tcW w:type="dxa" w:w="5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sistema utilizará Med-Gemini para analizar los flujos biométricos continuos, detectar patrones precursores de eventos críticos con anticipación y generar alertas proactivas con explicación clínica del riesgo detectado.</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M03-C02</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RF-11</w:t>
            </w:r>
          </w:p>
        </w:tc>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M3</w:t>
            </w:r>
          </w:p>
        </w:tc>
        <w:tc>
          <w:tcPr>
            <w:tcW w:type="dxa" w:w="5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sistema explicará a través del bot, en lenguaje comprensible para el paciente (ST01), las razones de cada alerta biométrica generada por el modelo predictivo.</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M03-C03</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RF-12</w:t>
            </w:r>
          </w:p>
        </w:tc>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M3</w:t>
            </w:r>
          </w:p>
        </w:tc>
        <w:tc>
          <w:tcPr>
            <w:tcW w:type="dxa" w:w="5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sistema enviará alertas críticas de forma simultánea al paciente (ST01), al médico responsable (ST02) y al centro de asistencia asignado (ST04).</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M03-C03</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RF-13</w:t>
            </w:r>
          </w:p>
        </w:tc>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M4</w:t>
            </w:r>
          </w:p>
        </w:tc>
        <w:tc>
          <w:tcPr>
            <w:tcW w:type="dxa" w:w="5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sistema habilitará un canal de videollamada de baja latencia con historial clínico completo integrado. Med-Gemini generará sugerencias diagnósticas basadas en el contexto clínico del paciente con explicación XAI visible para el médico (ST02) en tiempo real.</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M04-C01</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RF-15</w:t>
            </w:r>
          </w:p>
        </w:tc>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M4</w:t>
            </w:r>
          </w:p>
        </w:tc>
        <w:tc>
          <w:tcPr>
            <w:tcW w:type="dxa" w:w="5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sistema permitirá al médico (ST02) emitir recetas digitales con firma electrónica durante la teleconsulta.</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M04-C02</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RF-16</w:t>
            </w:r>
          </w:p>
        </w:tc>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M4</w:t>
            </w:r>
          </w:p>
        </w:tc>
        <w:tc>
          <w:tcPr>
            <w:tcW w:type="dxa" w:w="5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sistema proveerá un mecanismo de derivación inmediata para solicitar el despacho de emergencia presencial cuando el médico (ST02) lo determine.</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M04-C03</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RF-21</w:t>
            </w:r>
          </w:p>
        </w:tc>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M4</w:t>
            </w:r>
          </w:p>
        </w:tc>
        <w:tc>
          <w:tcPr>
            <w:tcW w:type="dxa" w:w="5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sistema permitirá al Personal Médico (ST02) rechazar una solicitud de emergencia seleccionando un motivo obligatorio. El sistema reasignará automáticamente la solicitud al médico o Centro de Asistencia más idóneo (ST04) según disponibilidad, especialidad y zona geográfica. Si no hay recurso disponible en ≤ 5 minutos, escalará automáticamente al Centro de Asistencia o Sistema de Emergencias.</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M04-C04</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RF-17</w:t>
            </w:r>
          </w:p>
        </w:tc>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M5</w:t>
            </w:r>
          </w:p>
        </w:tc>
        <w:tc>
          <w:tcPr>
            <w:tcW w:type="dxa" w:w="5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sistema cifrará todos los datos almacenados y en tránsito (AES-256 en reposo, TLS 1.3 en tránsito) incluyendo conversaciones con bot, bajo supervisión del ST06 (DPO).</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M05-C01</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RF-18</w:t>
            </w:r>
          </w:p>
        </w:tc>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M5</w:t>
            </w:r>
          </w:p>
        </w:tc>
        <w:tc>
          <w:tcPr>
            <w:tcW w:type="dxa" w:w="5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sistema registrará el consentimiento explícito del paciente (ST01) bajo la LOPDP antes de acceder al historial o usar conversaciones con bot para reentrenamiento de modelos (ST07).</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M05-C02</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RF-19</w:t>
            </w:r>
          </w:p>
        </w:tc>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M5</w:t>
            </w:r>
          </w:p>
        </w:tc>
        <w:tc>
          <w:tcPr>
            <w:tcW w:type="dxa" w:w="5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sistema almacenará de forma persistente el historial clínico, solicitudes y conversaciones con bot en un repositorio centralizado con retención mínima de 5 años.</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M05-C03</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RF-19</w:t>
            </w:r>
          </w:p>
        </w:tc>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M5</w:t>
            </w:r>
          </w:p>
        </w:tc>
        <w:tc>
          <w:tcPr>
            <w:tcW w:type="dxa" w:w="5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sistema generará logs de auditoría inmutables con hash criptográfico que incluyan decisiones de IA y conversaciones con bot, listos para inspecciones del MSP (ST05).</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M05-C04</w:t>
            </w:r>
          </w:p>
        </w:tc>
      </w:tr>
    </w:tbl>
    <w:p>
      <w:pPr>
        <w:spacing w:after="160"/>
      </w:pPr>
      <w:r>
        <w:t xml:space="preserve"/>
      </w:r>
    </w:p>
    <w:p>
      <w:r>
        <w:br w:type="page"/>
      </w:r>
    </w:p>
    <w:p>
      <w:pPr>
        <w:pStyle w:val="Heading2"/>
        <w:spacing w:after="100" w:before="240"/>
      </w:pPr>
      <w:r>
        <w:rPr>
          <w:rFonts w:ascii="Arial" w:cs="Arial" w:eastAsia="Arial" w:hAnsi="Arial"/>
          <w:b/>
          <w:bCs/>
          <w:color w:val="2E75B6"/>
          <w:sz w:val="24"/>
          <w:szCs w:val="24"/>
        </w:rPr>
        <w:t xml:space="preserve">12.2 Requerimientos No Funcionales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3600"/>
        <w:gridCol w:w="1500"/>
        <w:gridCol w:w="1360"/>
      </w:tblGrid>
      <w:tr>
        <w:trPr>
          <w:tblHeader/>
        </w:trPr>
        <w:tc>
          <w:tcPr>
            <w:tcW w:type="dxa" w:w="8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ID</w:t>
            </w:r>
          </w:p>
        </w:tc>
        <w:tc>
          <w:tcPr>
            <w:tcW w:type="dxa" w:w="17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Atributo ISO/IEC 25010</w:t>
            </w:r>
          </w:p>
        </w:tc>
        <w:tc>
          <w:tcPr>
            <w:tcW w:type="dxa" w:w="36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Descripción y Métrica</w:t>
            </w:r>
          </w:p>
        </w:tc>
        <w:tc>
          <w:tcPr>
            <w:tcW w:type="dxa" w:w="15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RF Asociado</w:t>
            </w:r>
          </w:p>
        </w:tc>
        <w:tc>
          <w:tcPr>
            <w:tcW w:type="dxa" w:w="13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Trazabilidad</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RNF-01</w:t>
            </w:r>
          </w:p>
        </w:tc>
        <w:tc>
          <w:tcPr>
            <w:tcW w:type="dxa" w:w="1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Seguridad</w:t>
            </w:r>
          </w:p>
        </w:tc>
        <w:tc>
          <w:tcPr>
            <w:tcW w:type="dxa" w:w="36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Autenticación MFA y OAuth 2.0. Métrica: 0 accesos no autorizados en auditorías. Responsable: ST06.</w:t>
            </w:r>
          </w:p>
        </w:tc>
        <w:tc>
          <w:tcPr>
            <w:tcW w:type="dxa" w:w="15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RF-01, RF-02</w:t>
            </w:r>
          </w:p>
        </w:tc>
        <w:tc>
          <w:tcPr>
            <w:tcW w:type="dxa" w:w="1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R-02</w:t>
            </w:r>
          </w:p>
        </w:tc>
      </w:tr>
      <w:tr>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RNF-02</w:t>
            </w:r>
          </w:p>
        </w:tc>
        <w:tc>
          <w:tcPr>
            <w:tcW w:type="dxa" w:w="1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Escalabilidad</w:t>
            </w:r>
          </w:p>
        </w:tc>
        <w:tc>
          <w:tcPr>
            <w:tcW w:type="dxa" w:w="36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Soportar 5.000 usuarios concurrentes sin degradación. Métrica: Tiempo de respuesta ≤ 3s bajo carga máxima.</w:t>
            </w:r>
          </w:p>
        </w:tc>
        <w:tc>
          <w:tcPr>
            <w:tcW w:type="dxa" w:w="15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RF-01</w:t>
            </w:r>
          </w:p>
        </w:tc>
        <w:tc>
          <w:tcPr>
            <w:tcW w:type="dxa" w:w="1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SA-03</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RNF-03</w:t>
            </w:r>
          </w:p>
        </w:tc>
        <w:tc>
          <w:tcPr>
            <w:tcW w:type="dxa" w:w="1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Usabilidad</w:t>
            </w:r>
          </w:p>
        </w:tc>
        <w:tc>
          <w:tcPr>
            <w:tcW w:type="dxa" w:w="36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Flujo del paciente completable en máximo 3 pasos. Métrica: Tasa de error ST01 ≤ 10%.</w:t>
            </w:r>
          </w:p>
        </w:tc>
        <w:tc>
          <w:tcPr>
            <w:tcW w:type="dxa" w:w="15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RF-03, RF-08</w:t>
            </w:r>
          </w:p>
        </w:tc>
        <w:tc>
          <w:tcPr>
            <w:tcW w:type="dxa" w:w="1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CE-05</w:t>
            </w:r>
          </w:p>
        </w:tc>
      </w:tr>
      <w:tr>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RNF-04</w:t>
            </w:r>
          </w:p>
        </w:tc>
        <w:tc>
          <w:tcPr>
            <w:tcW w:type="dxa" w:w="1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Eficiencia</w:t>
            </w:r>
          </w:p>
        </w:tc>
        <w:tc>
          <w:tcPr>
            <w:tcW w:type="dxa" w:w="36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Panel dinámico se refresca en ≤ 500ms. Métrica: Latencia de actualización ≤ 500ms.</w:t>
            </w:r>
          </w:p>
        </w:tc>
        <w:tc>
          <w:tcPr>
            <w:tcW w:type="dxa" w:w="15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RF-08</w:t>
            </w:r>
          </w:p>
        </w:tc>
        <w:tc>
          <w:tcPr>
            <w:tcW w:type="dxa" w:w="1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M02-C05</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RNF-05</w:t>
            </w:r>
          </w:p>
        </w:tc>
        <w:tc>
          <w:tcPr>
            <w:tcW w:type="dxa" w:w="1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Eficiencia</w:t>
            </w:r>
          </w:p>
        </w:tc>
        <w:tc>
          <w:tcPr>
            <w:tcW w:type="dxa" w:w="36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Procesamiento y asignación asíncrona en ≤ 5 segundos en el 99% de los casos.</w:t>
            </w:r>
          </w:p>
        </w:tc>
        <w:tc>
          <w:tcPr>
            <w:tcW w:type="dxa" w:w="15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RF-06</w:t>
            </w:r>
          </w:p>
        </w:tc>
        <w:tc>
          <w:tcPr>
            <w:tcW w:type="dxa" w:w="1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OB-01</w:t>
            </w:r>
          </w:p>
        </w:tc>
      </w:tr>
      <w:tr>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RNF-06</w:t>
            </w:r>
          </w:p>
        </w:tc>
        <w:tc>
          <w:tcPr>
            <w:tcW w:type="dxa" w:w="1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Eficiencia</w:t>
            </w:r>
          </w:p>
        </w:tc>
        <w:tc>
          <w:tcPr>
            <w:tcW w:type="dxa" w:w="36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Med-Gemini clasifica síntomas y genera la clasificación de riesgo con XAI en ≤ 2 segundos. Métrica: Tiempo de respuesta ≤ 2s. Responsable: ST07.</w:t>
            </w:r>
          </w:p>
        </w:tc>
        <w:tc>
          <w:tcPr>
            <w:tcW w:type="dxa" w:w="15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RF-05</w:t>
            </w:r>
          </w:p>
        </w:tc>
        <w:tc>
          <w:tcPr>
            <w:tcW w:type="dxa" w:w="1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M02-C02</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RNF-07</w:t>
            </w:r>
          </w:p>
        </w:tc>
        <w:tc>
          <w:tcPr>
            <w:tcW w:type="dxa" w:w="1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Fiabilidad</w:t>
            </w:r>
          </w:p>
        </w:tc>
        <w:tc>
          <w:tcPr>
            <w:tcW w:type="dxa" w:w="36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Latencia máxima de 1 segundo en procesamiento de flujos IoT en el 99.9999% de las muestras.</w:t>
            </w:r>
          </w:p>
        </w:tc>
        <w:tc>
          <w:tcPr>
            <w:tcW w:type="dxa" w:w="15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RF-11, RF-12</w:t>
            </w:r>
          </w:p>
        </w:tc>
        <w:tc>
          <w:tcPr>
            <w:tcW w:type="dxa" w:w="1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OB-02</w:t>
            </w:r>
          </w:p>
        </w:tc>
      </w:tr>
      <w:tr>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RNF-08</w:t>
            </w:r>
          </w:p>
        </w:tc>
        <w:tc>
          <w:tcPr>
            <w:tcW w:type="dxa" w:w="1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Fiabilidad (Precisión)</w:t>
            </w:r>
          </w:p>
        </w:tc>
        <w:tc>
          <w:tcPr>
            <w:tcW w:type="dxa" w:w="36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Med-Gemini detecta anomalías biométricas con tasa ≥ 98% y falsos positivos ≤ 2%. Validada por ST07 con supervisión clínica de ST02.</w:t>
            </w:r>
          </w:p>
        </w:tc>
        <w:tc>
          <w:tcPr>
            <w:tcW w:type="dxa" w:w="15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RF-11, RF-12</w:t>
            </w:r>
          </w:p>
        </w:tc>
        <w:tc>
          <w:tcPr>
            <w:tcW w:type="dxa" w:w="1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OB-02</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RNF-09</w:t>
            </w:r>
          </w:p>
        </w:tc>
        <w:tc>
          <w:tcPr>
            <w:tcW w:type="dxa" w:w="1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Eficiencia</w:t>
            </w:r>
          </w:p>
        </w:tc>
        <w:tc>
          <w:tcPr>
            <w:tcW w:type="dxa" w:w="36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Latencia en transmisión de video/audio en teleconsulta ≤ 200ms en el 95% de las sesiones.</w:t>
            </w:r>
          </w:p>
        </w:tc>
        <w:tc>
          <w:tcPr>
            <w:tcW w:type="dxa" w:w="15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RF-13</w:t>
            </w:r>
          </w:p>
        </w:tc>
        <w:tc>
          <w:tcPr>
            <w:tcW w:type="dxa" w:w="1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M04-C01</w:t>
            </w:r>
          </w:p>
        </w:tc>
      </w:tr>
      <w:tr>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RNF-10</w:t>
            </w:r>
          </w:p>
        </w:tc>
        <w:tc>
          <w:tcPr>
            <w:tcW w:type="dxa" w:w="1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Cumplimiento Legal</w:t>
            </w:r>
          </w:p>
        </w:tc>
        <w:tc>
          <w:tcPr>
            <w:tcW w:type="dxa" w:w="36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Almacenamiento del 100% de registros clínicos y conversaciones con bot. Supervisado por ST06.</w:t>
            </w:r>
          </w:p>
        </w:tc>
        <w:tc>
          <w:tcPr>
            <w:tcW w:type="dxa" w:w="15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RF-14, RF-15, RF-19, RF-20</w:t>
            </w:r>
          </w:p>
        </w:tc>
        <w:tc>
          <w:tcPr>
            <w:tcW w:type="dxa" w:w="1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CE-04</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RNF-11</w:t>
            </w:r>
          </w:p>
        </w:tc>
        <w:tc>
          <w:tcPr>
            <w:tcW w:type="dxa" w:w="1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Disponibilidad</w:t>
            </w:r>
          </w:p>
        </w:tc>
        <w:tc>
          <w:tcPr>
            <w:tcW w:type="dxa" w:w="36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Disponibilidad garantizada ≥ 99.5%. Métrica: Tiempo de inactividad ≤ 4h/año.</w:t>
            </w:r>
          </w:p>
        </w:tc>
        <w:tc>
          <w:tcPr>
            <w:tcW w:type="dxa" w:w="15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RF-07, RF-08</w:t>
            </w:r>
          </w:p>
        </w:tc>
        <w:tc>
          <w:tcPr>
            <w:tcW w:type="dxa" w:w="1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OB-03</w:t>
            </w:r>
          </w:p>
        </w:tc>
      </w:tr>
      <w:tr>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RNF-12</w:t>
            </w:r>
          </w:p>
        </w:tc>
        <w:tc>
          <w:tcPr>
            <w:tcW w:type="dxa" w:w="1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Fiabilidad</w:t>
            </w:r>
          </w:p>
        </w:tc>
        <w:tc>
          <w:tcPr>
            <w:tcW w:type="dxa" w:w="36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Entrega de alertas críticas en ≤ 30 segundos en el 99.9999% de los eventos.</w:t>
            </w:r>
          </w:p>
        </w:tc>
        <w:tc>
          <w:tcPr>
            <w:tcW w:type="dxa" w:w="15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RF-12</w:t>
            </w:r>
          </w:p>
        </w:tc>
        <w:tc>
          <w:tcPr>
            <w:tcW w:type="dxa" w:w="1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OB-01</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RNF-13</w:t>
            </w:r>
          </w:p>
        </w:tc>
        <w:tc>
          <w:tcPr>
            <w:tcW w:type="dxa" w:w="1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Seguridad</w:t>
            </w:r>
          </w:p>
        </w:tc>
        <w:tc>
          <w:tcPr>
            <w:tcW w:type="dxa" w:w="36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Auditorías semestrales de seguridad ejecutadas por ST06. Métrica: 0 vulnerabilidades críticas sin mitigar.</w:t>
            </w:r>
          </w:p>
        </w:tc>
        <w:tc>
          <w:tcPr>
            <w:tcW w:type="dxa" w:w="15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RF-17, RF-18</w:t>
            </w:r>
          </w:p>
        </w:tc>
        <w:tc>
          <w:tcPr>
            <w:tcW w:type="dxa" w:w="1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R-02, R-06</w:t>
            </w:r>
          </w:p>
        </w:tc>
      </w:tr>
      <w:tr>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RNF-14</w:t>
            </w:r>
          </w:p>
        </w:tc>
        <w:tc>
          <w:tcPr>
            <w:tcW w:type="dxa" w:w="1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Resiliencia</w:t>
            </w:r>
          </w:p>
        </w:tc>
        <w:tc>
          <w:tcPr>
            <w:tcW w:type="dxa" w:w="36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Backups automáticos diarios con retención de 5 años. Métrica: RTO ≤ 4h, RPO ≤ 24h.</w:t>
            </w:r>
          </w:p>
        </w:tc>
        <w:tc>
          <w:tcPr>
            <w:tcW w:type="dxa" w:w="15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RF-19, RF-20</w:t>
            </w:r>
          </w:p>
        </w:tc>
        <w:tc>
          <w:tcPr>
            <w:tcW w:type="dxa" w:w="1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CE-04</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RNF-15</w:t>
            </w:r>
          </w:p>
        </w:tc>
        <w:tc>
          <w:tcPr>
            <w:tcW w:type="dxa" w:w="1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Explicabilidad (XAI)</w:t>
            </w:r>
          </w:p>
        </w:tc>
        <w:tc>
          <w:tcPr>
            <w:tcW w:type="dxa" w:w="36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100% de las decisiones generadas por Med-Gemini (triaje, detección de anomalías, soporte diagnóstico) incluyen explicación comprensible para el paciente, el médico y el auditor. Verificado por ST06 y ST07.</w:t>
            </w:r>
          </w:p>
        </w:tc>
        <w:tc>
          <w:tcPr>
            <w:tcW w:type="dxa" w:w="15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RF-04, RF-11, RF-08, RF-13</w:t>
            </w:r>
          </w:p>
        </w:tc>
        <w:tc>
          <w:tcPr>
            <w:tcW w:type="dxa" w:w="1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CE-06</w:t>
            </w:r>
          </w:p>
        </w:tc>
      </w:tr>
      <w:tr>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RNF-16</w:t>
            </w:r>
          </w:p>
        </w:tc>
        <w:tc>
          <w:tcPr>
            <w:tcW w:type="dxa" w:w="1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Equidad</w:t>
            </w:r>
          </w:p>
        </w:tc>
        <w:tc>
          <w:tcPr>
            <w:tcW w:type="dxa" w:w="36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Med-Gemini no presentará sesgos discriminatorios verificables en sus decisiones clínicas. Auditoría de equidad ejecutada por ST07 antes del despliegue y semestralmente. Métrica: 0 sesgos críticos.</w:t>
            </w:r>
          </w:p>
        </w:tc>
        <w:tc>
          <w:tcPr>
            <w:tcW w:type="dxa" w:w="15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RF-04, RF-11</w:t>
            </w:r>
          </w:p>
        </w:tc>
        <w:tc>
          <w:tcPr>
            <w:tcW w:type="dxa" w:w="1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R-06</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RNF-17</w:t>
            </w:r>
          </w:p>
        </w:tc>
        <w:tc>
          <w:tcPr>
            <w:tcW w:type="dxa" w:w="1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Mantenibilidad</w:t>
            </w:r>
          </w:p>
        </w:tc>
        <w:tc>
          <w:tcPr>
            <w:tcW w:type="dxa" w:w="36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Arquitectura extensible que permite integrar nuevos modelos de IA (ST07) y dispositivos sin rediseño estructural.</w:t>
            </w:r>
          </w:p>
        </w:tc>
        <w:tc>
          <w:tcPr>
            <w:tcW w:type="dxa" w:w="15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RF-09</w:t>
            </w:r>
          </w:p>
        </w:tc>
        <w:tc>
          <w:tcPr>
            <w:tcW w:type="dxa" w:w="1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D-05</w:t>
            </w:r>
          </w:p>
        </w:tc>
      </w:tr>
      <w:tr>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RNF-18</w:t>
            </w:r>
          </w:p>
        </w:tc>
        <w:tc>
          <w:tcPr>
            <w:tcW w:type="dxa" w:w="1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Disponibilidad / Tiempo de respuesta</w:t>
            </w:r>
          </w:p>
        </w:tc>
        <w:tc>
          <w:tcPr>
            <w:tcW w:type="dxa" w:w="36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sistema garantizará la reasignación de una solicitud de emergencia rechazada en ≤ 5 minutos. Si no hay médico disponible en ese tiempo, la escalación al Centro de Asistencia o Sistema de Emergencias se ejecutará automáticamente. Métrica: 100% de reasignaciones completadas en ≤ 5 min.</w:t>
            </w:r>
          </w:p>
        </w:tc>
        <w:tc>
          <w:tcPr>
            <w:tcW w:type="dxa" w:w="15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RF-21</w:t>
            </w:r>
          </w:p>
        </w:tc>
        <w:tc>
          <w:tcPr>
            <w:tcW w:type="dxa" w:w="1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M04-C04</w:t>
            </w:r>
          </w:p>
        </w:tc>
      </w:tr>
    </w:tbl>
    <w:p>
      <w:pPr>
        <w:spacing w:after="160"/>
      </w:pPr>
      <w:r>
        <w:t xml:space="preserve"/>
      </w:r>
    </w:p>
    <w:p>
      <w:r>
        <w:br w:type="page"/>
      </w:r>
    </w:p>
    <w:p>
      <w:pPr>
        <w:pStyle w:val="Heading1"/>
        <w:pBdr>
          <w:bottom w:val="single" w:color="2E75B6" w:sz="8" w:space="4"/>
        </w:pBdr>
        <w:spacing w:after="160" w:before="340"/>
      </w:pPr>
      <w:r>
        <w:rPr>
          <w:rFonts w:ascii="Arial" w:cs="Arial" w:eastAsia="Arial" w:hAnsi="Arial"/>
          <w:b/>
          <w:bCs/>
          <w:color w:val="1F4E79"/>
          <w:sz w:val="30"/>
          <w:szCs w:val="30"/>
        </w:rPr>
        <w:t xml:space="preserve">13. Matriz de Trazabilidad Completa</w:t>
      </w:r>
    </w:p>
    <w:p>
      <w:pPr>
        <w:spacing w:after="110"/>
        <w:jc w:val="both"/>
      </w:pPr>
      <w:r>
        <w:rPr>
          <w:rFonts w:ascii="Arial" w:cs="Arial" w:eastAsia="Arial" w:hAnsi="Arial"/>
          <w:sz w:val="20"/>
          <w:szCs w:val="20"/>
        </w:rPr>
        <w:t xml:space="preserve">La siguiente tabla cierra la cadena de trazabilidad completa del sistema SAMR: desde el stakeholder que origina la necesidad, pasando por el módulo que la agrupa y la característica que la describe, hasta el RF que la especifica y el RNF que la califica. Ningún requisito existe sin un stakeholder que lo respalde.</w:t>
      </w:r>
    </w:p>
    <w:p>
      <w:pPr>
        <w:spacing w:after="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000"/>
        <w:gridCol w:w="1800"/>
        <w:gridCol w:w="2060"/>
      </w:tblGrid>
      <w:tr>
        <w:trPr>
          <w:tblHeader/>
        </w:trPr>
        <w:tc>
          <w:tcPr>
            <w:tcW w:type="dxa" w:w="7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RF</w:t>
            </w:r>
          </w:p>
        </w:tc>
        <w:tc>
          <w:tcPr>
            <w:tcW w:type="dxa" w:w="24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Descripción resumida</w:t>
            </w:r>
          </w:p>
        </w:tc>
        <w:tc>
          <w:tcPr>
            <w:tcW w:type="dxa" w:w="20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Módulo — Característica</w:t>
            </w:r>
          </w:p>
        </w:tc>
        <w:tc>
          <w:tcPr>
            <w:tcW w:type="dxa" w:w="18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RNF Asociado</w:t>
            </w:r>
          </w:p>
        </w:tc>
        <w:tc>
          <w:tcPr>
            <w:tcW w:type="dxa" w:w="20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Stakeholder que origina</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RF-01</w:t>
            </w:r>
          </w:p>
        </w:tc>
        <w:tc>
          <w:tcPr>
            <w:tcW w:type="dxa" w:w="2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Registro, login, roles y MFA</w:t>
            </w:r>
          </w:p>
        </w:tc>
        <w:tc>
          <w:tcPr>
            <w:tcW w:type="dxa" w:w="2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M1 — M01-C01</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RNF-01, RNF-02</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ST01, ST02, ST03</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RF-02</w:t>
            </w:r>
          </w:p>
        </w:tc>
        <w:tc>
          <w:tcPr>
            <w:tcW w:type="dxa" w:w="2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Validación elegibilidad IESS/MSP</w:t>
            </w:r>
          </w:p>
        </w:tc>
        <w:tc>
          <w:tcPr>
            <w:tcW w:type="dxa" w:w="2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M1 — M01-C02</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RNF-01</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ST01, ST05</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RF-03</w:t>
            </w:r>
          </w:p>
        </w:tc>
        <w:tc>
          <w:tcPr>
            <w:tcW w:type="dxa" w:w="2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Bot conversacional primera línea</w:t>
            </w:r>
          </w:p>
        </w:tc>
        <w:tc>
          <w:tcPr>
            <w:tcW w:type="dxa" w:w="2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M2 — M02-C01</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RNF-03, RNF-06</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ST01, ST07</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RF-04</w:t>
            </w:r>
          </w:p>
        </w:tc>
        <w:tc>
          <w:tcPr>
            <w:tcW w:type="dxa" w:w="2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Fallback bot → humano</w:t>
            </w:r>
          </w:p>
        </w:tc>
        <w:tc>
          <w:tcPr>
            <w:tcW w:type="dxa" w:w="2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M2 — M02-C01</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RNF-03</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ST01, ST02, ST07</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RF-05</w:t>
            </w:r>
          </w:p>
        </w:tc>
        <w:tc>
          <w:tcPr>
            <w:tcW w:type="dxa" w:w="2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Med-Gemini — triaje clínico con XAI</w:t>
            </w:r>
          </w:p>
        </w:tc>
        <w:tc>
          <w:tcPr>
            <w:tcW w:type="dxa" w:w="2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M2 — M02-C02</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RNF-06, RNF-15, RNF-16</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ST01, ST02, ST07</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RF-06</w:t>
            </w:r>
          </w:p>
        </w:tc>
        <w:tc>
          <w:tcPr>
            <w:tcW w:type="dxa" w:w="2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Procesamiento asíncrono de solicitudes</w:t>
            </w:r>
          </w:p>
        </w:tc>
        <w:tc>
          <w:tcPr>
            <w:tcW w:type="dxa" w:w="2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M2 — M02-C03</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RNF-05, RNF-11</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ST01, ST03</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RF-07</w:t>
            </w:r>
          </w:p>
        </w:tc>
        <w:tc>
          <w:tcPr>
            <w:tcW w:type="dxa" w:w="2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Motor de matching inteligente</w:t>
            </w:r>
          </w:p>
        </w:tc>
        <w:tc>
          <w:tcPr>
            <w:tcW w:type="dxa" w:w="2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M2 — M02-C04</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RNF-05, RNF-15</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ST02, ST03, ST04</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RF-08</w:t>
            </w:r>
          </w:p>
        </w:tc>
        <w:tc>
          <w:tcPr>
            <w:tcW w:type="dxa" w:w="2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Panel dinámico de estados</w:t>
            </w:r>
          </w:p>
        </w:tc>
        <w:tc>
          <w:tcPr>
            <w:tcW w:type="dxa" w:w="2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M2 — M02-C05</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RNF-03, RNF-04</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ST01, ST03</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RF-09</w:t>
            </w:r>
          </w:p>
        </w:tc>
        <w:tc>
          <w:tcPr>
            <w:tcW w:type="dxa" w:w="2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Captura continua de flujos IoT</w:t>
            </w:r>
          </w:p>
        </w:tc>
        <w:tc>
          <w:tcPr>
            <w:tcW w:type="dxa" w:w="2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M3 — M03-C01</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RNF-07, RNF-17</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ST01, ST07</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RF-10</w:t>
            </w:r>
          </w:p>
        </w:tc>
        <w:tc>
          <w:tcPr>
            <w:tcW w:type="dxa" w:w="2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Med-Gemini — detección predictiva de anomalías</w:t>
            </w:r>
          </w:p>
        </w:tc>
        <w:tc>
          <w:tcPr>
            <w:tcW w:type="dxa" w:w="2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M3 — M03-C02</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RNF-07, RNF-08, RNF-15, RNF-16</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ST01, ST02, ST07</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RF-11</w:t>
            </w:r>
          </w:p>
        </w:tc>
        <w:tc>
          <w:tcPr>
            <w:tcW w:type="dxa" w:w="2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Explicación de alertas vía bot (XAI)</w:t>
            </w:r>
          </w:p>
        </w:tc>
        <w:tc>
          <w:tcPr>
            <w:tcW w:type="dxa" w:w="2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M3 — M03-C03</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RNF-08, RNF-12, RNF-15</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ST01, ST07</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RF-12</w:t>
            </w:r>
          </w:p>
        </w:tc>
        <w:tc>
          <w:tcPr>
            <w:tcW w:type="dxa" w:w="2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Alertas multicanal simultáneas</w:t>
            </w:r>
          </w:p>
        </w:tc>
        <w:tc>
          <w:tcPr>
            <w:tcW w:type="dxa" w:w="2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M3 — M03-C03</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RNF-12</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ST01, ST02, ST04</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RF-13</w:t>
            </w:r>
          </w:p>
        </w:tc>
        <w:tc>
          <w:tcPr>
            <w:tcW w:type="dxa" w:w="2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Teleconsulta con Med-Gemini y XAI</w:t>
            </w:r>
          </w:p>
        </w:tc>
        <w:tc>
          <w:tcPr>
            <w:tcW w:type="dxa" w:w="2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M4 — M04-C01</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RNF-09, RNF-10, RNF-15</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ST01, ST02, ST07</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RF-14</w:t>
            </w:r>
          </w:p>
        </w:tc>
        <w:tc>
          <w:tcPr>
            <w:tcW w:type="dxa" w:w="2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Recetas digitales con firma electrónica</w:t>
            </w:r>
          </w:p>
        </w:tc>
        <w:tc>
          <w:tcPr>
            <w:tcW w:type="dxa" w:w="2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M4 — M04-C02</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RNF-10</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ST02</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RF-15</w:t>
            </w:r>
          </w:p>
        </w:tc>
        <w:tc>
          <w:tcPr>
            <w:tcW w:type="dxa" w:w="2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Derivación de emergencia presencial</w:t>
            </w:r>
          </w:p>
        </w:tc>
        <w:tc>
          <w:tcPr>
            <w:tcW w:type="dxa" w:w="2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M4 — M04-C03</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RNF-12</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ST02, ST04</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RF-16</w:t>
            </w:r>
          </w:p>
        </w:tc>
        <w:tc>
          <w:tcPr>
            <w:tcW w:type="dxa" w:w="2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Cifrado AES-256 / TLS 1.3</w:t>
            </w:r>
          </w:p>
        </w:tc>
        <w:tc>
          <w:tcPr>
            <w:tcW w:type="dxa" w:w="2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M5 — M05-C01</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RNF-13</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ST05, ST06</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RF-17</w:t>
            </w:r>
          </w:p>
        </w:tc>
        <w:tc>
          <w:tcPr>
            <w:tcW w:type="dxa" w:w="2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Consentimiento LOPDP para historial y bot</w:t>
            </w:r>
          </w:p>
        </w:tc>
        <w:tc>
          <w:tcPr>
            <w:tcW w:type="dxa" w:w="2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M5 — M05-C02</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RNF-13</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ST01, ST06</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RF-18</w:t>
            </w:r>
          </w:p>
        </w:tc>
        <w:tc>
          <w:tcPr>
            <w:tcW w:type="dxa" w:w="2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Repositorio centralizado persistente</w:t>
            </w:r>
          </w:p>
        </w:tc>
        <w:tc>
          <w:tcPr>
            <w:tcW w:type="dxa" w:w="2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M5 — M05-C03</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RNF-14</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ST05, ST06</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RF-19</w:t>
            </w:r>
          </w:p>
        </w:tc>
        <w:tc>
          <w:tcPr>
            <w:tcW w:type="dxa" w:w="2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Logs de auditoría inmutables con IA</w:t>
            </w:r>
          </w:p>
        </w:tc>
        <w:tc>
          <w:tcPr>
            <w:tcW w:type="dxa" w:w="2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M5 — M05-C04</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RNF-14, RNF-10</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ST05, ST06, ST07</w:t>
            </w:r>
          </w:p>
        </w:tc>
      </w:tr>
    </w:tbl>
    <w:p>
      <w:pPr>
        <w:spacing w:after="160"/>
      </w:pPr>
      <w: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595959"/>
        <w:sz w:val="16"/>
        <w:szCs w:val="16"/>
      </w:rPr>
      <w:t xml:space="preserve">UTPL — Ingeniería de Requisitos  |  Mayo 2026</w:t>
    </w:r>
    <w:r>
      <w:rPr>
        <w:rFonts w:ascii="Arial" w:cs="Arial" w:eastAsia="Arial" w:hAnsi="Arial"/>
        <w:color w:val="595959"/>
        <w:sz w:val="16"/>
        <w:szCs w:val="16"/>
      </w:rPr>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F4E79"/>
        <w:sz w:val="16"/>
        <w:szCs w:val="16"/>
      </w:rPr>
      <w:t xml:space="preserve">SAMR — Documento de Visión v3.3</w:t>
    </w:r>
    <w:r>
      <w:rPr>
        <w:rFonts w:ascii="Arial" w:cs="Arial" w:eastAsia="Arial" w:hAnsi="Arial"/>
        <w:color w:val="595959"/>
        <w:sz w:val="16"/>
        <w:szCs w:val="16"/>
      </w:rPr>
      <w:t xml:space="preserve">  |  5 Módulos · 8 Stakeholders · Med-Gemini · v3.3 — Equipo LLdE — UTPL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75B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2026-06-03T10:05:59.353Z</dcterms:created>
  <dcterms:modified xsi:type="dcterms:W3CDTF">2026-06-03T10:05:59.365Z</dcterms:modified>
</cp:coreProperties>
</file>

<file path=docProps/custom.xml><?xml version="1.0" encoding="utf-8"?>
<Properties xmlns="http://schemas.openxmlformats.org/officeDocument/2006/custom-properties" xmlns:vt="http://schemas.openxmlformats.org/officeDocument/2006/docPropsVTypes"/>
</file>