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theme/theme1.xml" ContentType="application/vnd.openxmlformats-officedocument.theme+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rPr/>
      </w:pPr>
      <w:r>
        <w:rPr/>
        <w:t>Parallel Study Walkthrough: USFLI vs. Gold Standard Transient Elastography in NHANES</w:t>
      </w:r>
    </w:p>
    <w:p>
      <w:pPr>
        <w:pStyle w:val="Normal"/>
        <w:rPr/>
      </w:pPr>
      <w:r>
        <w:rPr/>
        <w:t>This document provides a comparative analysis of two parallel NHANES studies evaluating Metabolic Dysfunction-Associated Steatotic Liver Disease (MASLD), Metabolic Dysfunction-Associated Steatohepatitis (MASH), and advanced liver fibrosis/cirrhosis:</w:t>
      </w:r>
    </w:p>
    <w:p>
      <w:pPr>
        <w:pStyle w:val="Normal"/>
        <w:rPr/>
      </w:pPr>
      <w:r>
        <w:rPr/>
        <w:t>1. Primary Study (NHANES 1999–2023): Employs non-invasive blood-based indexes—the U.S. Fatty Liver Index (USFLI &gt; 30) for steatosis [1], FIB-4 &gt; 2.67 for high-risk MASH [2], and APRI thresholds for fibrosis/cirrhosis [3].</w:t>
      </w:r>
    </w:p>
    <w:p>
      <w:pPr>
        <w:pStyle w:val="Normal"/>
        <w:rPr/>
      </w:pPr>
      <w:r>
        <w:rPr/>
        <w:t>2. Gold Standard Study (NHANES 2017–2023): Employs Vibration-Controlled Transient Elastography (FibroScan) measurements—CAP) 285 dB/m for steatosis [4,5], the FibroScan-AST (FAST) score 0.35 for MASH (surrogate for histological NAS ) 4 + F2 [6], and Median Liver Stiffness Measurement (LSM &gt; 13.6 kPa) for cirrhosis [7].</w:t>
      </w:r>
    </w:p>
    <w:p>
      <w:pPr>
        <w:pStyle w:val="ListBullet"/>
        <w:numPr>
          <w:ilvl w:val="0"/>
          <w:numId w:val="1"/>
        </w:numPr>
        <w:rPr/>
      </w:pPr>
      <w:r>
        <w:rPr/>
      </w:r>
    </w:p>
    <w:p>
      <w:pPr>
        <w:pStyle w:val="Heading2"/>
        <w:spacing w:before="240" w:after="120"/>
        <w:rPr/>
      </w:pPr>
      <w:r>
        <w:rPr/>
        <w:t>Study Design Flowcharts (Carousel)</w:t>
      </w:r>
    </w:p>
    <w:p>
      <w:pPr>
        <w:pStyle w:val="Normal"/>
        <w:rPr/>
      </w:pPr>
      <w:r>
        <w:rPr/>
        <w:t>Flip through the slides below to compare the design and raw sample sizes of the two parallel studies:</w:t>
      </w:r>
    </w:p>
    <w:p>
      <w:pPr>
        <w:pStyle w:val="Normal"/>
        <w:rPr/>
      </w:pPr>
      <w:r>
        <w:rPr/>
        <w:drawing>
          <wp:inline distT="0" distB="0" distL="0" distR="0">
            <wp:extent cx="5669280" cy="32397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669280" cy="3239770"/>
                    </a:xfrm>
                    <a:prstGeom prst="rect">
                      <a:avLst/>
                    </a:prstGeom>
                  </pic:spPr>
                </pic:pic>
              </a:graphicData>
            </a:graphic>
          </wp:inline>
        </w:drawing>
      </w:r>
    </w:p>
    <w:p>
      <w:pPr>
        <w:pStyle w:val="Normal"/>
        <w:jc w:val="center"/>
        <w:rPr/>
      </w:pPr>
      <w:r>
        <w:rPr>
          <w:i/>
          <w:sz w:val="19"/>
        </w:rPr>
        <w:t>Figure: masld_study_flowchart.png</w:t>
      </w:r>
    </w:p>
    <w:p>
      <w:pPr>
        <w:pStyle w:val="Normal"/>
        <w:jc w:val="center"/>
        <w:rPr/>
      </w:pPr>
      <w:r>
        <w:rPr/>
      </w:r>
    </w:p>
    <w:p>
      <w:pPr>
        <w:pStyle w:val="Normal"/>
        <w:rPr/>
      </w:pPr>
      <w:r>
        <w:rPr/>
        <w:drawing>
          <wp:inline distT="0" distB="0" distL="0" distR="0">
            <wp:extent cx="5669280" cy="323977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669280" cy="3239770"/>
                    </a:xfrm>
                    <a:prstGeom prst="rect">
                      <a:avLst/>
                    </a:prstGeom>
                  </pic:spPr>
                </pic:pic>
              </a:graphicData>
            </a:graphic>
          </wp:inline>
        </w:drawing>
      </w:r>
    </w:p>
    <w:p>
      <w:pPr>
        <w:pStyle w:val="Normal"/>
        <w:jc w:val="center"/>
        <w:rPr/>
      </w:pPr>
      <w:r>
        <w:rPr>
          <w:i/>
          <w:sz w:val="19"/>
        </w:rPr>
        <w:t>Figure: gold_standard_flowchart.png</w:t>
      </w:r>
    </w:p>
    <w:p>
      <w:pPr>
        <w:pStyle w:val="ListBullet"/>
        <w:numPr>
          <w:ilvl w:val="0"/>
          <w:numId w:val="1"/>
        </w:numPr>
        <w:ind w:hanging="0" w:left="0"/>
        <w:rPr/>
      </w:pPr>
      <w:r>
        <w:rPr/>
      </w:r>
    </w:p>
    <w:p>
      <w:pPr>
        <w:pStyle w:val="Heading1"/>
        <w:spacing w:before="240" w:after="120"/>
        <w:rPr/>
      </w:pPr>
      <w:r>
        <w:rPr/>
        <w:t>PART A: Primary Study (NHANES 1999–2023)</w:t>
      </w:r>
    </w:p>
    <w:p>
      <w:pPr>
        <w:pStyle w:val="Heading2"/>
        <w:spacing w:before="240" w:after="120"/>
        <w:rPr/>
      </w:pPr>
      <w:r>
        <w:rPr/>
        <w:t>A.1. Longitudinal Prevalence Results (NHANES 1999–2023)</w:t>
      </w:r>
    </w:p>
    <w:p>
      <w:pPr>
        <w:pStyle w:val="Normal"/>
        <w:rPr/>
      </w:pPr>
      <w:r>
        <w:rPr/>
        <w:t>Below is the summary table of positive cases (USFLI &gt; 30) and survey-weighted estimates for adults aged &gt;20 years:</w:t>
      </w:r>
    </w:p>
    <w:tbl>
      <w:tblPr>
        <w:tblStyle w:val="TableGrid"/>
        <w:tblW w:w="8640" w:type="dxa"/>
        <w:jc w:val="left"/>
        <w:tblInd w:w="42" w:type="dxa"/>
        <w:tblLayout w:type="fixed"/>
        <w:tblCellMar>
          <w:top w:w="120" w:type="dxa"/>
          <w:left w:w="150" w:type="dxa"/>
          <w:bottom w:w="120" w:type="dxa"/>
          <w:right w:w="150" w:type="dxa"/>
        </w:tblCellMar>
        <w:tblLook w:val="04a0" w:noVBand="1" w:noHBand="0" w:lastColumn="0" w:firstColumn="1" w:lastRow="0" w:firstRow="1"/>
      </w:tblPr>
      <w:tblGrid>
        <w:gridCol w:w="1728"/>
        <w:gridCol w:w="1728"/>
        <w:gridCol w:w="1728"/>
        <w:gridCol w:w="1728"/>
        <w:gridCol w:w="1728"/>
      </w:tblGrid>
      <w:tr>
        <w:trPr/>
        <w:tc>
          <w:tcPr>
            <w:tcW w:w="1728"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NHANES Cycle</w:t>
            </w:r>
          </w:p>
        </w:tc>
        <w:tc>
          <w:tcPr>
            <w:tcW w:w="1728"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Raw USFLI &gt; 30 N</w:t>
            </w:r>
          </w:p>
        </w:tc>
        <w:tc>
          <w:tcPr>
            <w:tcW w:w="1728"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Raw Prevalence (%)</w:t>
            </w:r>
          </w:p>
        </w:tc>
        <w:tc>
          <w:tcPr>
            <w:tcW w:w="1728"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Weighted Prevalence (%)</w:t>
            </w:r>
          </w:p>
        </w:tc>
        <w:tc>
          <w:tcPr>
            <w:tcW w:w="1728"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Weighted Population Size N</w:t>
            </w:r>
          </w:p>
        </w:tc>
      </w:tr>
      <w:tr>
        <w:trPr/>
        <w:tc>
          <w:tcPr>
            <w:tcW w:w="1728"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**1999-2000**</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616</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34.39%</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27.88%</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54,046,125</w:t>
            </w:r>
          </w:p>
        </w:tc>
      </w:tr>
      <w:tr>
        <w:trPr/>
        <w:tc>
          <w:tcPr>
            <w:tcW w:w="1728"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**2001-2002**</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701</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33.65%</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30.25%</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59,380,012</w:t>
            </w:r>
          </w:p>
        </w:tc>
      </w:tr>
      <w:tr>
        <w:trPr/>
        <w:tc>
          <w:tcPr>
            <w:tcW w:w="1728"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**2003-2004**</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539</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28.73%</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26.96%</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52,620,852</w:t>
            </w:r>
          </w:p>
        </w:tc>
      </w:tr>
      <w:tr>
        <w:trPr/>
        <w:tc>
          <w:tcPr>
            <w:tcW w:w="1728"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**2005-2006**</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556</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29.56%</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28.56%</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57,287,665</w:t>
            </w:r>
          </w:p>
        </w:tc>
      </w:tr>
      <w:tr>
        <w:trPr/>
        <w:tc>
          <w:tcPr>
            <w:tcW w:w="1728"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**2007-2008**</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786</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35.07%</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30.76%</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63,044,528</w:t>
            </w:r>
          </w:p>
        </w:tc>
      </w:tr>
      <w:tr>
        <w:trPr/>
        <w:tc>
          <w:tcPr>
            <w:tcW w:w="1728"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**2009-2010**</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960</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38.43%</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34.83%</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73,016,619</w:t>
            </w:r>
          </w:p>
        </w:tc>
      </w:tr>
      <w:tr>
        <w:trPr/>
        <w:tc>
          <w:tcPr>
            <w:tcW w:w="1728"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**2011-2012**</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725</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33.89%</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33.78%</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70,991,388</w:t>
            </w:r>
          </w:p>
        </w:tc>
      </w:tr>
      <w:tr>
        <w:trPr/>
        <w:tc>
          <w:tcPr>
            <w:tcW w:w="1728"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**2013-2014**</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688</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30.67%</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30.57%</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66,190,995</w:t>
            </w:r>
          </w:p>
        </w:tc>
      </w:tr>
      <w:tr>
        <w:trPr/>
        <w:tc>
          <w:tcPr>
            <w:tcW w:w="1728"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**2015-2016**</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745</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34.91%</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33.31%</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74,182,474</w:t>
            </w:r>
          </w:p>
        </w:tc>
      </w:tr>
      <w:tr>
        <w:trPr/>
        <w:tc>
          <w:tcPr>
            <w:tcW w:w="1728"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**2017-2018**</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821</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38.22%</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35.63%</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80,795,840</w:t>
            </w:r>
          </w:p>
        </w:tc>
      </w:tr>
      <w:tr>
        <w:trPr/>
        <w:tc>
          <w:tcPr>
            <w:tcW w:w="1728"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**2017-2020 (Pre-Pandemic)\***</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1,366</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38.21%</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36.07%</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82,704,779</w:t>
            </w:r>
          </w:p>
        </w:tc>
      </w:tr>
      <w:tr>
        <w:trPr/>
        <w:tc>
          <w:tcPr>
            <w:tcW w:w="1728"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**2021-2023 (Post-Pandemic)**</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991</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36.91%</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35.16%</w:t>
            </w:r>
          </w:p>
        </w:tc>
        <w:tc>
          <w:tcPr>
            <w:tcW w:w="1728"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78,587,877</w:t>
            </w:r>
          </w:p>
        </w:tc>
      </w:tr>
    </w:tbl>
    <w:p>
      <w:pPr>
        <w:pStyle w:val="Normal"/>
        <w:rPr/>
      </w:pPr>
      <w:r>
        <w:rPr/>
      </w:r>
    </w:p>
    <w:p>
      <w:pPr>
        <w:pStyle w:val="Normal"/>
        <w:ind w:left="576"/>
        <w:rPr/>
      </w:pPr>
      <w:r>
        <w:rPr>
          <w:b/>
          <w:color w:val="3264B4"/>
        </w:rPr>
        <w:t xml:space="preserve">NOTE: </w:t>
      </w:r>
      <w:r>
        <w:rPr>
          <w:i/>
        </w:rPr>
        <w:t>- **2017-2020 Combined Cycle:** The CDC combined the partial 2019–2020 data (interrupted by COVID-19) with 2017–2018 to create a representative 4-year cycle. This is marked with an asterisk (</w:t>
      </w:r>
      <w:r>
        <w:rPr>
          <w:i/>
        </w:rPr>
        <w:t>*</w:t>
      </w:r>
      <w:r>
        <w:rPr>
          <w:i/>
        </w:rPr>
        <w:t>) above.</w:t>
      </w:r>
    </w:p>
    <w:p>
      <w:pPr>
        <w:pStyle w:val="Heading2"/>
        <w:spacing w:before="240" w:after="120"/>
        <w:rPr/>
      </w:pPr>
      <w:r>
        <w:rPr/>
        <w:t>A.2. Visualizing MASLD, MASH, &amp; Fibrosis Prevalence Trends</w:t>
      </w:r>
    </w:p>
    <w:p>
      <w:pPr>
        <w:pStyle w:val="Normal"/>
        <w:rPr/>
      </w:pPr>
      <w:r>
        <w:rPr/>
        <w:t>The chart below shows the survey-weighted prevalence trends for MASLD (USFLI &gt; 30), MASH (FIB-4 &gt; 2.67), and Significant Fibrosis (APRI &gt; 0.5) in U.S. adults over time with 95% confidence intervals:</w:t>
      </w:r>
    </w:p>
    <w:p>
      <w:pPr>
        <w:pStyle w:val="Normal"/>
        <w:jc w:val="center"/>
        <w:rPr/>
      </w:pPr>
      <w:r>
        <w:rPr/>
      </w:r>
    </w:p>
    <w:p>
      <w:pPr>
        <w:pStyle w:val="Normal"/>
        <w:rPr/>
      </w:pPr>
      <w:r>
        <w:rPr/>
        <w:drawing>
          <wp:inline distT="0" distB="0" distL="0" distR="0">
            <wp:extent cx="5669280" cy="335026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669280" cy="3350260"/>
                    </a:xfrm>
                    <a:prstGeom prst="rect">
                      <a:avLst/>
                    </a:prstGeom>
                  </pic:spPr>
                </pic:pic>
              </a:graphicData>
            </a:graphic>
          </wp:inline>
        </w:drawing>
      </w:r>
    </w:p>
    <w:p>
      <w:pPr>
        <w:pStyle w:val="Normal"/>
        <w:jc w:val="center"/>
        <w:rPr/>
      </w:pPr>
      <w:r>
        <w:rPr>
          <w:i/>
          <w:sz w:val="19"/>
        </w:rPr>
        <w:t>Figure: usfli_prevalence_trend.png</w:t>
      </w:r>
    </w:p>
    <w:p>
      <w:pPr>
        <w:pStyle w:val="ListBullet"/>
        <w:numPr>
          <w:ilvl w:val="0"/>
          <w:numId w:val="1"/>
        </w:numPr>
        <w:rPr/>
      </w:pPr>
      <w:r>
        <w:rPr/>
      </w:r>
    </w:p>
    <w:p>
      <w:pPr>
        <w:pStyle w:val="Heading2"/>
        <w:spacing w:before="240" w:after="120"/>
        <w:rPr/>
      </w:pPr>
      <w:r>
        <w:rPr/>
        <w:t>A.3. Primary Cohort Comorbidity &amp; Lifestyle Stratification</w:t>
      </w:r>
    </w:p>
    <w:p>
      <w:pPr>
        <w:pStyle w:val="Normal"/>
        <w:rPr/>
      </w:pPr>
      <w:r>
        <w:rPr/>
        <w:t>Below is the integrated comorbidity stratification table for the primary study, presenting the general MASLD cohort ((N = 8,673)), the MASH cohort (N = 378), the Significant Fibrosis cohort ((N = 760)), and the Cirrhosis cohort ((N = 48)) side-by-side:</w:t>
      </w:r>
    </w:p>
    <w:tbl>
      <w:tblPr>
        <w:tblStyle w:val="TableGrid"/>
        <w:tblW w:w="8640" w:type="dxa"/>
        <w:jc w:val="left"/>
        <w:tblInd w:w="42" w:type="dxa"/>
        <w:tblLayout w:type="fixed"/>
        <w:tblCellMar>
          <w:top w:w="120" w:type="dxa"/>
          <w:left w:w="150" w:type="dxa"/>
          <w:bottom w:w="120" w:type="dxa"/>
          <w:right w:w="150" w:type="dxa"/>
        </w:tblCellMar>
        <w:tblLook w:val="04a0" w:noVBand="1" w:noHBand="0" w:lastColumn="0" w:firstColumn="1" w:lastRow="0" w:firstRow="1"/>
      </w:tblPr>
      <w:tblGrid>
        <w:gridCol w:w="864"/>
        <w:gridCol w:w="864"/>
        <w:gridCol w:w="864"/>
        <w:gridCol w:w="864"/>
        <w:gridCol w:w="864"/>
        <w:gridCol w:w="864"/>
        <w:gridCol w:w="864"/>
        <w:gridCol w:w="864"/>
        <w:gridCol w:w="864"/>
        <w:gridCol w:w="863"/>
      </w:tblGrid>
      <w:tr>
        <w:trPr/>
        <w:tc>
          <w:tcPr>
            <w:tcW w:w="864"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Category</w:t>
            </w:r>
          </w:p>
        </w:tc>
        <w:tc>
          <w:tcPr>
            <w:tcW w:w="864"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Stratum / Subgroup</w:t>
            </w:r>
          </w:p>
        </w:tc>
        <w:tc>
          <w:tcPr>
            <w:tcW w:w="864"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MASLD Raw N</w:t>
            </w:r>
          </w:p>
        </w:tc>
        <w:tc>
          <w:tcPr>
            <w:tcW w:w="864"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MASLD Weighted %</w:t>
            </w:r>
          </w:p>
        </w:tc>
        <w:tc>
          <w:tcPr>
            <w:tcW w:w="864"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MASH Raw N</w:t>
            </w:r>
          </w:p>
        </w:tc>
        <w:tc>
          <w:tcPr>
            <w:tcW w:w="864"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MASH Weighted %</w:t>
            </w:r>
          </w:p>
        </w:tc>
        <w:tc>
          <w:tcPr>
            <w:tcW w:w="864"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Fibrosis Raw N</w:t>
            </w:r>
          </w:p>
        </w:tc>
        <w:tc>
          <w:tcPr>
            <w:tcW w:w="864"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Fibrosis Weighted %</w:t>
            </w:r>
          </w:p>
        </w:tc>
        <w:tc>
          <w:tcPr>
            <w:tcW w:w="864"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Cirrhosis Raw N</w:t>
            </w:r>
          </w:p>
        </w:tc>
        <w:tc>
          <w:tcPr>
            <w:tcW w:w="863"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Cirrhosis Weighted %</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**Obesity/BMI**</w:t>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Normal (18.5–24.9)</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409</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4.00%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15.76%</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71</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9.67%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17.96%</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Overweight (25.0–29.9)</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2350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24.66%</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131</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34.25%</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246</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30.09%</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21</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39.54%</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Obese (\(\ge 30.0\))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5862</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71.30%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194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50.00%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438</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60.16%</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21</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42.50%</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Underweight (&lt;18.5)</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0.04%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0.00%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0.08%</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0.00%</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*Missing / Unknown*</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48</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**Type 2 DM**</w:t>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Diabetes</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2817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26.97%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173</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37.98%</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296</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33.99%</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16</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27.32%</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No Diabetes</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5856</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73.03%</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205</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62.02%</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464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66.01%</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32</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72.68%</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*Missing / Unknown*</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**Hypertension**</w:t>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Hypertension</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5315</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59.31%</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286</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75.06%</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485</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62.67%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27</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58.20%</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No Hypertension</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3354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40.69%</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92</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24.94%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275</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37.33%</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21</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41.80%</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*Missing / Unknown*</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**Dyslipidemia**</w:t>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Dyslipidemia</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6832</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79.56%</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281</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75.00%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586</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78.83%</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30</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62.32%</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No Dyslipidemia</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1841</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20.44%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97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25.00%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174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21.17%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18</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37.68%</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*Missing / Unknown*</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**Diet (Calorie)**</w:t>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Low Calorie (Tertile 1)</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2744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28.02%</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147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37.55%</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226</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28.55%</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10</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23.63%</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Medium Calorie (Tertile 2)</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2743</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33.50%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108</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30.37%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214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29.37%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11</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18.22%</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High Calorie (Tertile 3)</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2744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38.47%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104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32.08%</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273</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42.08%</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25</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58.15%</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*Missing / Unknown*</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442</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19</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**Physical Activity**</w:t>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Active</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3790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51.55%</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164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46.21%</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377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52.53%</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19</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32.32%</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Inactive</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3892</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48.45%</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170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53.79%</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326</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47.47%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25</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67.68%</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*Missing / Unknown*</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991</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**Smoking Status**</w:t>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Never Smoker</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4427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54.98%</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147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38.88%</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332</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46.30%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14</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42.85%</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Former Smoker</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2263</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28.77%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147</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44.84%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216</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33.74%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13</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24.26%</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Current Smoker</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1289</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16.25%</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59</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16.28%</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151</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19.96%</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16</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32.89%</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*Missing / Unknown*</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694</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25</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61</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**Mortality (1999–2018)**</w:t>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Alive</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5040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84.38%</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129</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49.32%</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442</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78.00%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23</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50.36%</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Deceased</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1272</w:t>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**15.62%**</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146</w:t>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**50.68%**</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154</w:t>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**22.00%**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16</w:t>
            </w:r>
          </w:p>
        </w:tc>
        <w:tc>
          <w:tcPr>
            <w:tcW w:w="863"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**49.64%**</w:t>
            </w:r>
          </w:p>
        </w:tc>
      </w:tr>
      <w:tr>
        <w:trPr/>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864"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*Missing / Unknown*</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103</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864"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9</w:t>
            </w:r>
          </w:p>
        </w:tc>
        <w:tc>
          <w:tcPr>
            <w:tcW w:w="863"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r>
    </w:tbl>
    <w:p>
      <w:pPr>
        <w:pStyle w:val="Normal"/>
        <w:rPr/>
      </w:pPr>
      <w:r>
        <w:rPr/>
      </w:r>
    </w:p>
    <w:p>
      <w:pPr>
        <w:pStyle w:val="ListBullet"/>
        <w:numPr>
          <w:ilvl w:val="0"/>
          <w:numId w:val="1"/>
        </w:numPr>
        <w:rPr/>
      </w:pPr>
      <w:r>
        <w:rPr/>
      </w:r>
    </w:p>
    <w:p>
      <w:pPr>
        <w:pStyle w:val="Heading1"/>
        <w:spacing w:before="240" w:after="120"/>
        <w:rPr/>
      </w:pPr>
      <w:r>
        <w:rPr/>
        <w:t>PART B: Gold Standard Study (NHANES 2017–2023)</w:t>
      </w:r>
    </w:p>
    <w:p>
      <w:pPr>
        <w:pStyle w:val="Normal"/>
        <w:rPr/>
      </w:pPr>
      <w:r>
        <w:rPr/>
        <w:t>The gold standard study restricted the sample to the 5,699 adults aged \(\ge\) 20 years in the morning fasting subsample who had valid transient elastography (FibroScan) measurements in the 2017–2020 pre-pandemic and 2021–2023 cycles.</w:t>
      </w:r>
    </w:p>
    <w:p>
      <w:pPr>
        <w:pStyle w:val="Normal"/>
        <w:rPr/>
      </w:pPr>
      <w:r>
        <w:rPr/>
        <w:t>Survey weights were combined to represent the 6-year period:</w:t>
      </w:r>
    </w:p>
    <w:p>
      <w:pPr>
        <w:pStyle w:val="ListBullet"/>
        <w:numPr>
          <w:ilvl w:val="0"/>
          <w:numId w:val="1"/>
        </w:numPr>
        <w:rPr/>
      </w:pPr>
      <w:r>
        <w:rPr>
          <w:b/>
        </w:rPr>
        <w:t>2017–2020 Fasting weights</w:t>
      </w:r>
      <w:r>
        <w:rPr/>
        <w:t xml:space="preserve"> were scaled by \(2/3\).</w:t>
      </w:r>
    </w:p>
    <w:p>
      <w:pPr>
        <w:pStyle w:val="ListBullet"/>
        <w:numPr>
          <w:ilvl w:val="0"/>
          <w:numId w:val="1"/>
        </w:numPr>
        <w:rPr/>
      </w:pPr>
      <w:r>
        <w:rPr>
          <w:b/>
        </w:rPr>
        <w:t>2021–2023 Fasting weights</w:t>
      </w:r>
      <w:r>
        <w:rPr/>
        <w:t xml:space="preserve"> were scaled by \(1/3\).</w:t>
      </w:r>
    </w:p>
    <w:p>
      <w:pPr>
        <w:pStyle w:val="ListBullet"/>
        <w:numPr>
          <w:ilvl w:val="0"/>
          <w:numId w:val="1"/>
        </w:numPr>
        <w:rPr/>
      </w:pPr>
      <w:r>
        <w:rPr/>
      </w:r>
    </w:p>
    <w:p>
      <w:pPr>
        <w:pStyle w:val="Heading2"/>
        <w:spacing w:before="240" w:after="120"/>
        <w:rPr/>
      </w:pPr>
      <w:r>
        <w:rPr/>
        <w:t>B.1. Gold Standard Cohort Sizes</w:t>
      </w:r>
    </w:p>
    <w:p>
      <w:pPr>
        <w:pStyle w:val="ListBullet"/>
        <w:numPr>
          <w:ilvl w:val="0"/>
          <w:numId w:val="1"/>
        </w:numPr>
        <w:rPr/>
      </w:pPr>
      <w:r>
        <w:rPr>
          <w:b/>
        </w:rPr>
        <w:t>MASLD (CAP \(\ge\) 285 dB/m + CMR):</w:t>
      </w:r>
      <w:r>
        <w:rPr/>
        <w:t xml:space="preserve"> Raw \(N = 2,586\)</w:t>
      </w:r>
    </w:p>
    <w:p>
      <w:pPr>
        <w:pStyle w:val="ListBullet"/>
        <w:numPr>
          <w:ilvl w:val="0"/>
          <w:numId w:val="1"/>
        </w:numPr>
        <w:rPr/>
      </w:pPr>
      <w:r>
        <w:rPr>
          <w:b/>
        </w:rPr>
        <w:t>MASH (MASLD + FAST \(\ge\) 0.35):</w:t>
      </w:r>
      <w:r>
        <w:rPr/>
        <w:t xml:space="preserve"> Raw \(N = 417\)</w:t>
      </w:r>
    </w:p>
    <w:p>
      <w:pPr>
        <w:pStyle w:val="ListBullet"/>
        <w:numPr>
          <w:ilvl w:val="0"/>
          <w:numId w:val="1"/>
        </w:numPr>
        <w:rPr/>
      </w:pPr>
      <w:r>
        <w:rPr>
          <w:b/>
        </w:rPr>
        <w:t>Cirrhosis (MASLD + LSM &gt; 13.6 kPa):</w:t>
      </w:r>
      <w:r>
        <w:rPr/>
        <w:t xml:space="preserve"> Raw \(N = 172\)</w:t>
      </w:r>
    </w:p>
    <w:p>
      <w:pPr>
        <w:pStyle w:val="ListBullet"/>
        <w:numPr>
          <w:ilvl w:val="0"/>
          <w:numId w:val="1"/>
        </w:numPr>
        <w:rPr/>
      </w:pPr>
      <w:r>
        <w:rPr/>
      </w:r>
    </w:p>
    <w:p>
      <w:pPr>
        <w:pStyle w:val="Heading2"/>
        <w:spacing w:before="240" w:after="120"/>
        <w:rPr/>
      </w:pPr>
      <w:r>
        <w:rPr/>
        <w:t>B.2. Gold Standard Comorbidity &amp; Lifestyle Stratification</w:t>
      </w:r>
    </w:p>
    <w:p>
      <w:pPr>
        <w:pStyle w:val="Normal"/>
        <w:rPr/>
      </w:pPr>
      <w:r>
        <w:rPr/>
        <w:t>Below is the summary stratification table of the three gold-standard cohorts, styled with matching layout (Raw N followed by survey-weighted percentage side-by-side for each cohort):</w:t>
      </w:r>
    </w:p>
    <w:tbl>
      <w:tblPr>
        <w:tblStyle w:val="TableGrid"/>
        <w:tblW w:w="8640" w:type="dxa"/>
        <w:jc w:val="left"/>
        <w:tblInd w:w="42" w:type="dxa"/>
        <w:tblLayout w:type="fixed"/>
        <w:tblCellMar>
          <w:top w:w="120" w:type="dxa"/>
          <w:left w:w="150" w:type="dxa"/>
          <w:bottom w:w="120" w:type="dxa"/>
          <w:right w:w="150" w:type="dxa"/>
        </w:tblCellMar>
        <w:tblLook w:val="04a0" w:noVBand="1" w:noHBand="0" w:lastColumn="0" w:firstColumn="1" w:lastRow="0" w:firstRow="1"/>
      </w:tblPr>
      <w:tblGrid>
        <w:gridCol w:w="1080"/>
        <w:gridCol w:w="1080"/>
        <w:gridCol w:w="1080"/>
        <w:gridCol w:w="1080"/>
        <w:gridCol w:w="1080"/>
        <w:gridCol w:w="1080"/>
        <w:gridCol w:w="1080"/>
        <w:gridCol w:w="1079"/>
      </w:tblGrid>
      <w:tr>
        <w:trPr/>
        <w:tc>
          <w:tcPr>
            <w:tcW w:w="1080"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Category</w:t>
            </w:r>
          </w:p>
        </w:tc>
        <w:tc>
          <w:tcPr>
            <w:tcW w:w="1080"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Stratum / Subgroup</w:t>
            </w:r>
          </w:p>
        </w:tc>
        <w:tc>
          <w:tcPr>
            <w:tcW w:w="1080"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MASLD Raw N</w:t>
            </w:r>
          </w:p>
        </w:tc>
        <w:tc>
          <w:tcPr>
            <w:tcW w:w="1080"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MASLD Weighted %</w:t>
            </w:r>
          </w:p>
        </w:tc>
        <w:tc>
          <w:tcPr>
            <w:tcW w:w="1080"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MASH Raw N</w:t>
            </w:r>
          </w:p>
        </w:tc>
        <w:tc>
          <w:tcPr>
            <w:tcW w:w="1080"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MASH Weighted %</w:t>
            </w:r>
          </w:p>
        </w:tc>
        <w:tc>
          <w:tcPr>
            <w:tcW w:w="1080"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Cirrhosis Raw N</w:t>
            </w:r>
          </w:p>
        </w:tc>
        <w:tc>
          <w:tcPr>
            <w:tcW w:w="1079" w:type="dxa"/>
            <w:tcBorders/>
            <w:shd w:color="auto" w:fill="4F81BD"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Cirrhosis Weighted %</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**Obesity/BMI**</w:t>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Normal (18.5–24.9)</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139</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4.42%</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18</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2.69%</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1.28%</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Overweight (25.0–29.9)</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688</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26.29%</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77</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17.09%</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22</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11.50%</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Obese (\(\ge 30.0\))</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1736</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69.25%</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317</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79.97%</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145</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87.21%</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Underweight (&lt;18.5)</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0.04%</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0.25%</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0.00%</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*Missing / Unknown*</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23</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**Type 2 DM**</w:t>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Diabetes</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899</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29.41%</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198</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40.51%</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104</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62.38%</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No Diabetes</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1687</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70.59%</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219</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59.49%</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68</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37.62%</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*Missing / Unknown*</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**Hypertension**</w:t>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Hypertension</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1265</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43.07%</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229</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46.53%</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120</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65.81%</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No Hypertension</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1321</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56.93%</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188</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53.47%</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52</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34.19%</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*Missing / Unknown*</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**Dyslipidemia**</w:t>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Dyslipidemia</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2075</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81.41%</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350</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86.47%</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140</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83.50%</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No Dyslipidemia</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512</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18.59%</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67</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13.53%</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32</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16.50%</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*Missing / Unknown*</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**Diet (Calorie)**</w:t>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Low Calorie (Tertile 1)</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727</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28.06%</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96</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22.30%</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43</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33.66%</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Medium Calorie (Tertile 2)</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750</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31.76%</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113</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27.98%</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51</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24.66%</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High Calorie (Tertile 3)</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790</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40.18%</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151</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49.72%</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61</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41.68%</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*Missing / Unknown*</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321</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57</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17</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**Physical Activity**</w:t>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Active</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992</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50.30%</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149</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45.83%</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57</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44.42%</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Inactive</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1596</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49.70%</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268</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54.17%</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115</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55.58%</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*Missing / Unknown*</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**Smoking Status**</w:t>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Never Smoker</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1446</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56.70%</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226</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50.82%</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98</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55.78%</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Former Smoker</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734</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28.52%</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128</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32.39%</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54</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33.87%</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Current Smoker</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407</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14.78%</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63</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16.79%</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20</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10.35%</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*Missing / Unknown*</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1</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0</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w:t>
            </w:r>
          </w:p>
        </w:tc>
      </w:tr>
      <w:tr>
        <w:trPr/>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**Mortality**</w:t>
            </w:r>
          </w:p>
        </w:tc>
        <w:tc>
          <w:tcPr>
            <w:tcW w:w="1080" w:type="dxa"/>
            <w:tcBorders/>
            <w:tcMar>
              <w:top w:w="80" w:type="dxa"/>
              <w:left w:w="120" w:type="dxa"/>
              <w:bottom w:w="80" w:type="dxa"/>
              <w:right w:w="120" w:type="dxa"/>
            </w:tcM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Deceased / Alive</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N/A</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N/A</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N/A</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N/A</w:t>
            </w:r>
          </w:p>
        </w:tc>
        <w:tc>
          <w:tcPr>
            <w:tcW w:w="1080"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N/A</w:t>
            </w:r>
          </w:p>
        </w:tc>
        <w:tc>
          <w:tcPr>
            <w:tcW w:w="1079" w:type="dxa"/>
            <w:tcBorders/>
            <w:tcMar>
              <w:top w:w="80" w:type="dxa"/>
              <w:left w:w="120" w:type="dxa"/>
              <w:bottom w:w="80" w:type="dxa"/>
              <w:right w:w="120" w:type="dxa"/>
            </w:tcM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9"/>
                <w:szCs w:val="22"/>
                <w:lang w:val="en-US" w:eastAsia="en-US" w:bidi="ar-SA"/>
              </w:rPr>
              <w:t>N/A</w:t>
            </w:r>
          </w:p>
        </w:tc>
      </w:tr>
    </w:tbl>
    <w:p>
      <w:pPr>
        <w:pStyle w:val="Normal"/>
        <w:rPr>
          <w:i/>
          <w:i/>
        </w:rPr>
      </w:pPr>
      <w:r>
        <w:rPr/>
      </w:r>
    </w:p>
    <w:p>
      <w:pPr>
        <w:pStyle w:val="Heading2"/>
        <w:spacing w:before="240" w:after="120"/>
        <w:rPr/>
      </w:pPr>
      <w:r>
        <w:rPr/>
        <w:t>References</w:t>
      </w:r>
    </w:p>
    <w:p>
      <w:pPr>
        <w:pStyle w:val="Normal"/>
        <w:rPr/>
      </w:pPr>
      <w:r>
        <w:rPr/>
        <w:t>1. Ruhl CE, Everhart JE. Fatty liver indices in the multiethnic United States National Health and Nutrition Examination Survey. *Alimentary Pharmacology &amp; Therapeutics*. Jan 2015;41(1):65-76. doi:10.1111/apt.13012</w:t>
      </w:r>
    </w:p>
    <w:p>
      <w:pPr>
        <w:pStyle w:val="Normal"/>
        <w:rPr/>
      </w:pPr>
      <w:r>
        <w:rPr/>
        <w:t>2. Targher G, Valenti L, Byrne CD. Metabolic Dysfunction–Associated Steatotic Liver Disease. *The New England Journal of Medicine*. 2025.</w:t>
      </w:r>
    </w:p>
    <w:p>
      <w:pPr>
        <w:pStyle w:val="Normal"/>
        <w:rPr/>
      </w:pPr>
      <w:r>
        <w:rPr/>
        <w:t>3. Dreytser E, Blyuss O, Mudrova A, et al. Aspartate Aminotransferase-to-Platelet Ratio Index (APRI) for Staging of Fibrosis in Adults With Chronic Hepatitis C. *The Cochrane Database of Systematic Reviews*. 2025.</w:t>
      </w:r>
    </w:p>
    <w:p>
      <w:pPr>
        <w:pStyle w:val="Normal"/>
        <w:rPr/>
      </w:pPr>
      <w:r>
        <w:rPr/>
        <w:t>4. Lee BP, Dodge JL, Terrault NA. National prevalence estimates for steatotic liver disease and subclassifications using consensus nomenclature. *Hepatology*. Mar 1 2024;79(3):666-673. doi:10.1097/HEP.0000000000000604</w:t>
      </w:r>
    </w:p>
    <w:p>
      <w:pPr>
        <w:pStyle w:val="Normal"/>
        <w:rPr/>
      </w:pPr>
      <w:r>
        <w:rPr/>
        <w:t>5. Rinella ME, Lazarus JV, Ratziu V, et al. A multisociety Delphi consensus statement on new fatty liver disease nomenclature. *Hepatology*. Dec 1 2023;78(6):1966-1986. doi:10.1097/HEP.0000000000000520</w:t>
      </w:r>
    </w:p>
    <w:p>
      <w:pPr>
        <w:pStyle w:val="Normal"/>
        <w:rPr/>
      </w:pPr>
      <w:r>
        <w:rPr/>
        <w:t>6. Ravaioli F, Dajti E, Mantovani A, et al. Diagnostic Accuracy of FibroScan-AST (FAST) Score for the Non-Invasive Identification of Patients With Fibrotic Non-Alcoholic Steatohepatitis: A Systematic Review and Meta-Analysis. *Gut*. 2023.</w:t>
      </w:r>
    </w:p>
    <w:p>
      <w:pPr>
        <w:pStyle w:val="Normal"/>
        <w:rPr/>
      </w:pPr>
      <w:r>
        <w:rPr/>
        <w:t>7. Sterling RK, Duarte-Rojo A, Patel K, et al. AASLD Practice Guideline on Imaging-Based Noninvasive Liver Disease Assessment of Hepatic Fibrosis and Steatosis. *Hepatology*. 2025.</w:t>
      </w:r>
    </w:p>
    <w:p>
      <w:pPr>
        <w:pStyle w:val="ListBullet"/>
        <w:numPr>
          <w:ilvl w:val="0"/>
          <w:numId w:val="0"/>
        </w:numPr>
        <w:spacing w:before="0" w:after="200"/>
        <w:ind w:hanging="0" w:left="360"/>
        <w:contextualSpacing/>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LibreOffice/7.6.4.1$MacOSX_AARCH64 LibreOffice_project/e19e193f88cd6c0525a17fb7a176ed8e6a3e2aa1</Application>
  <AppVersion>15.0000</AppVersion>
  <Pages>9</Pages>
  <Words>1300</Words>
  <Characters>7036</Characters>
  <CharactersWithSpaces>7736</CharactersWithSpaces>
  <Paragraphs>579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2026-06-29T11:09:32Z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