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HN BI: методология расчетов витрин</w:t>
      </w:r>
    </w:p>
    <w:p>
      <w:r>
        <w:t>Дата формирования: 27.07.2026 11:14</w:t>
      </w:r>
    </w:p>
    <w:p>
      <w:r>
        <w:t>Контрольный QA: OK: 83, WARN: 2, ERROR: 0. Отчет QA: data/out/qa_vitrines_report.xlsx</w:t>
      </w:r>
    </w:p>
    <w:p>
      <w:pPr>
        <w:pStyle w:val="Heading1"/>
      </w:pPr>
      <w:r>
        <w:t>1. Общие правила данных</w:t>
      </w:r>
    </w:p>
    <w:p>
      <w:r>
        <w:t>• Структурные привязки сотрудников, СВ, ТМ и регионов берутся из актуального USERS-периметра; исторические KPI/OKK не переопределяют текущую оргструктуру.</w:t>
      </w:r>
    </w:p>
    <w:p>
      <w:r>
        <w:t>• В отчетные витрины по сотрудникам попадают активные сотрудники проекта H&amp;N; авторизация = Нет не исключает новичка, если сотрудник активен.</w:t>
      </w:r>
    </w:p>
    <w:p>
      <w:r>
        <w:t>• Проценты в parquet хранятся числами 0..1; в Power BI их нужно форматировать как процент.</w:t>
      </w:r>
    </w:p>
    <w:p>
      <w:r>
        <w:t>• Если метрика отсутствует, ETL не подставляет старое значение без явного правила. Для индексных витрин используется контроль доступного веса.</w:t>
      </w:r>
    </w:p>
    <w:p>
      <w:r>
        <w:t>• Если доступно меньше 60% веса ключевых метрик или отсутствует обязательная ключевая метрика, ставится статус Недостаточно данных.</w:t>
      </w:r>
    </w:p>
    <w:p>
      <w:pPr>
        <w:pStyle w:val="Heading1"/>
      </w:pPr>
      <w:r>
        <w:t>2. Страница 1: регионы</w:t>
      </w:r>
    </w:p>
    <w:p>
      <w:r>
        <w:t>Витрина: data/out/page1_region_monthly_snapshot.parquet. Строка = месяц + Регион BI.</w:t>
      </w:r>
    </w:p>
    <w:p>
      <w:r>
        <w:t>• KPI проекта %: средний KPI 1 из клиентских KPI TT-файлов, если они есть; старый KPI за прошлый месяц не подставляется.</w:t>
      </w:r>
    </w:p>
    <w:p>
      <w:r>
        <w:t>• Качество визитов %: среднее Качество визита из okk_fact.</w:t>
      </w:r>
    </w:p>
    <w:p>
      <w:r>
        <w:t>• Фрод %: доля визитов с Флаг фальсификации = True; Фрод кол-во = количество таких визитов.</w:t>
      </w:r>
    </w:p>
    <w:p>
      <w:r>
        <w:t>• Обязательное обучение %: доля пройденных обязательных назначений из learning_monthly.</w:t>
      </w:r>
    </w:p>
    <w:p>
      <w:r>
        <w:t>• Риск ухода структуры eNPS % и Оценка команды %: последний доступный квартальный показатель на дату месяца.</w:t>
      </w:r>
    </w:p>
    <w:p>
      <w:r>
        <w:t>• Кадровая устойчивость % = 1 - 50% * доля вакансий к активным МЕ - 30% * текучесть - 20% * доля кадрового оттока.</w:t>
      </w:r>
    </w:p>
    <w:p>
      <w:r>
        <w:t>• Индекс региона % = 65% операционный блок + 35% кадровая устойчивость; внутри операционного блока: KPI 30%, OKK 20%, обучение 15%, антифрод 15%, климат 10%, оценка команды 10%.</w:t>
      </w:r>
    </w:p>
    <w:p>
      <w:r>
        <w:t>• Статус: Недостаточно данных при доступности &lt;60%; Высокий риск при индексе &lt;80%, двух красных сигналах или кадровом collapse; Контроль при индексе &lt;88%, одном красном или двух мягких сигналах; иначе Стабильно.</w:t>
      </w:r>
    </w:p>
    <w:p>
      <w:r>
        <w:t>• Приоритеты справа формируются только для Контроль/Высокий риск; Стабильно и Недостаточно данных в приоритеты не выводятся.</w:t>
      </w:r>
    </w:p>
    <w:p>
      <w:pPr>
        <w:pStyle w:val="Heading1"/>
      </w:pPr>
      <w:r>
        <w:t>3. Страница 2: KPI и драйверы</w:t>
      </w:r>
    </w:p>
    <w:p>
      <w:r>
        <w:t>Витрины: page2_actions_monthly и page2_sv_monthly_snapshot.</w:t>
      </w:r>
    </w:p>
    <w:p>
      <w:r>
        <w:t>• page2_actions_monthly собирает действия только там, где есть реальный разрыв до цели.</w:t>
      </w:r>
    </w:p>
    <w:p>
      <w:r>
        <w:t>• Первое действие СВ выбирается в ETL: если KPI ниже цели — Разобрать KPI; иначе берется максимальный разрыв среди фрода, ОКК, OSA, PICOS и обучения.</w:t>
      </w:r>
    </w:p>
    <w:p>
      <w:r>
        <w:t>• Статус команды: 2+ нарушенных блока = Высокий риск; 1 нарушенный блок = Контроль; без нарушений = Стабильно.</w:t>
      </w:r>
    </w:p>
    <w:p>
      <w:r>
        <w:t>• Технический ключ Page2 по СВ очищен: одна строка = месяц + ID супервайзера.</w:t>
      </w:r>
    </w:p>
    <w:p>
      <w:pPr>
        <w:pStyle w:val="Heading1"/>
      </w:pPr>
      <w:r>
        <w:t>4. Страница 3: мерчендайзеры</w:t>
      </w:r>
    </w:p>
    <w:p>
      <w:r>
        <w:t>Витрина: page3_merch_monthly_snapshot. Строка = месяц + мерчендайзер.</w:t>
      </w:r>
    </w:p>
    <w:tbl>
      <w:tblPr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r>
        <w:tc>
          <w:tcPr>
            <w:tcW w:w="2400" w:type="dxa"/>
          </w:tcPr>
          <w:p>
            <w:r>
              <w:t>Метрика</w:t>
            </w:r>
          </w:p>
        </w:tc>
        <w:tc>
          <w:tcPr>
            <w:tcW w:w="2400" w:type="dxa"/>
          </w:tcPr>
          <w:p>
            <w:r>
              <w:t>Вес</w:t>
            </w:r>
          </w:p>
        </w:tc>
        <w:tc>
          <w:tcPr>
            <w:tcW w:w="2400" w:type="dxa"/>
          </w:tcPr>
          <w:p>
            <w:r>
              <w:t>Зеленая зона</w:t>
            </w:r>
          </w:p>
        </w:tc>
        <w:tc>
          <w:tcPr>
            <w:tcW w:w="2400" w:type="dxa"/>
          </w:tcPr>
          <w:p>
            <w:r>
              <w:t>Желтая зона</w:t>
            </w:r>
          </w:p>
        </w:tc>
        <w:tc>
          <w:tcPr>
            <w:tcW w:w="2400" w:type="dxa"/>
          </w:tcPr>
          <w:p>
            <w:r>
              <w:t>Красная зона</w:t>
            </w:r>
          </w:p>
        </w:tc>
      </w:tr>
      <w:tr>
        <w:tc>
          <w:tcPr>
            <w:tcW w:w="2400" w:type="dxa"/>
          </w:tcPr>
          <w:p>
            <w:r>
              <w:t>KPI проекта %</w:t>
            </w:r>
          </w:p>
        </w:tc>
        <w:tc>
          <w:tcPr>
            <w:tcW w:w="2400" w:type="dxa"/>
          </w:tcPr>
          <w:p>
            <w:r>
              <w:t>40%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ОКК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&gt;=60%</w:t>
            </w:r>
          </w:p>
        </w:tc>
        <w:tc>
          <w:tcPr>
            <w:tcW w:w="2400" w:type="dxa"/>
          </w:tcPr>
          <w:p>
            <w:r>
              <w:t>40–60%</w:t>
            </w:r>
          </w:p>
        </w:tc>
        <w:tc>
          <w:tcPr>
            <w:tcW w:w="2400" w:type="dxa"/>
          </w:tcPr>
          <w:p>
            <w:r>
              <w:t>&lt;40%</w:t>
            </w:r>
          </w:p>
        </w:tc>
      </w:tr>
      <w:tr>
        <w:tc>
          <w:tcPr>
            <w:tcW w:w="2400" w:type="dxa"/>
          </w:tcPr>
          <w:p>
            <w:r>
              <w:t>Обучение %</w:t>
            </w:r>
          </w:p>
        </w:tc>
        <w:tc>
          <w:tcPr>
            <w:tcW w:w="2400" w:type="dxa"/>
          </w:tcPr>
          <w:p>
            <w:r>
              <w:t>20%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Аттестация клиента %</w:t>
            </w:r>
          </w:p>
        </w:tc>
        <w:tc>
          <w:tcPr>
            <w:tcW w:w="2400" w:type="dxa"/>
          </w:tcPr>
          <w:p>
            <w:r>
              <w:t>25%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</w:tbl>
    <w:p>
      <w:r>
        <w:t>• Балл личной эффективности = сумма баллов четырех блоков. Если значение ниже красного порога, блок дает 0 баллов.</w:t>
      </w:r>
    </w:p>
    <w:p>
      <w:r>
        <w:t>• Если значение достигло желтого порога, блок дает Вес * MIN(Значение / Зеленый порог, 1).</w:t>
      </w:r>
    </w:p>
    <w:p>
      <w:r>
        <w:t>• KPI проекта % и ОКК % — критичные метрики; если их нет, статус = Недостаточно данных.</w:t>
      </w:r>
    </w:p>
    <w:p>
      <w:r>
        <w:t>• Если Аттестация клиента % отсутствует, блок не снижает балл; это нейтральный fallback для новичков/не участвовавших.</w:t>
      </w:r>
    </w:p>
    <w:p>
      <w:r>
        <w:t>• Причина личной эффективности выводит просевшие блоки; аттестация клиента указывается с кварталом, если квартал определен.</w:t>
      </w:r>
    </w:p>
    <w:p>
      <w:pPr>
        <w:pStyle w:val="Heading1"/>
      </w:pPr>
      <w:r>
        <w:t>5. Страница 4: сложность торговых точек</w:t>
      </w:r>
    </w:p>
    <w:p>
      <w:r>
        <w:t>Витрина: page4_tt_monthly_snapshot. Строка = месяц + ТТ.</w:t>
      </w:r>
    </w:p>
    <w:tbl>
      <w:tblPr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r>
        <w:tc>
          <w:tcPr>
            <w:tcW w:w="2400" w:type="dxa"/>
          </w:tcPr>
          <w:p>
            <w:r>
              <w:t>Компонента сложности</w:t>
            </w:r>
          </w:p>
        </w:tc>
        <w:tc>
          <w:tcPr>
            <w:tcW w:w="2400" w:type="dxa"/>
          </w:tcPr>
          <w:p>
            <w:r>
              <w:t>Вес</w:t>
            </w:r>
          </w:p>
        </w:tc>
      </w:tr>
      <w:tr>
        <w:tc>
          <w:tcPr>
            <w:tcW w:w="2400" w:type="dxa"/>
          </w:tcPr>
          <w:p>
            <w:r>
              <w:t>Повторяемая просадка KPI проекта на ТТ при разных МЕ</w:t>
            </w:r>
          </w:p>
        </w:tc>
        <w:tc>
          <w:tcPr>
            <w:tcW w:w="2400" w:type="dxa"/>
          </w:tcPr>
          <w:p>
            <w:r>
              <w:t>35%</w:t>
            </w:r>
          </w:p>
        </w:tc>
      </w:tr>
      <w:tr>
        <w:tc>
          <w:tcPr>
            <w:tcW w:w="2400" w:type="dxa"/>
          </w:tcPr>
          <w:p>
            <w:r>
              <w:t>Нестабильность OSA/PICOS по истории</w:t>
            </w:r>
          </w:p>
        </w:tc>
        <w:tc>
          <w:tcPr>
            <w:tcW w:w="2400" w:type="dxa"/>
          </w:tcPr>
          <w:p>
            <w:r>
              <w:t>25%</w:t>
            </w:r>
          </w:p>
        </w:tc>
      </w:tr>
      <w:tr>
        <w:tc>
          <w:tcPr>
            <w:tcW w:w="2400" w:type="dxa"/>
          </w:tcPr>
          <w:p>
            <w:r>
              <w:t>Повторяемость OKK-нарушений на ТТ</w:t>
            </w:r>
          </w:p>
        </w:tc>
        <w:tc>
          <w:tcPr>
            <w:tcW w:w="2400" w:type="dxa"/>
          </w:tcPr>
          <w:p>
            <w:r>
              <w:t>20%</w:t>
            </w:r>
          </w:p>
        </w:tc>
      </w:tr>
      <w:tr>
        <w:tc>
          <w:tcPr>
            <w:tcW w:w="2400" w:type="dxa"/>
          </w:tcPr>
          <w:p>
            <w:r>
              <w:t>Отклонение от похожих ТТ сети/города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Частая смена МЕ / нестабильность маршрута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</w:tbl>
    <w:p>
      <w:r>
        <w:t>• Сложность % считается только если есть минимум 2 месяца истории и минимум 3 визита по ТТ; иначе Сложность % = пусто и Статус ТТ = Недостаточно данных.</w:t>
      </w:r>
    </w:p>
    <w:p>
      <w:r>
        <w:t>• Эталон: сложность &lt;=35%, KPI проекта &gt;=80%, ОКК &gt;=60%.</w:t>
      </w:r>
    </w:p>
    <w:p>
      <w:r>
        <w:t>• Сложная ТТ: сложность &gt;=65%, если основной вклад дают KPI/OSA/PICOS/OKK-компоненты.</w:t>
      </w:r>
    </w:p>
    <w:p>
      <w:r>
        <w:t>• Не вина МЕ: сложность &gt;=65%, если основной вклад дают похожие ТТ, сеть/город или частая смена МЕ.</w:t>
      </w:r>
    </w:p>
    <w:p>
      <w:r>
        <w:t>• Контроль: данных достаточно, но точка не попала в Эталон или Сложная ТТ.</w:t>
      </w:r>
    </w:p>
    <w:p>
      <w:pPr>
        <w:pStyle w:val="Heading1"/>
      </w:pPr>
      <w:r>
        <w:t>6. Страница 5: супервайзеры — работа с командой</w:t>
      </w:r>
    </w:p>
    <w:p>
      <w:r>
        <w:t>Витрина: page5_sv_monthly_snapshot. Управленческий балл не включает клиентскую аттестацию и личную эффективность.</w:t>
      </w:r>
    </w:p>
    <w:tbl>
      <w:tblPr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r>
        <w:tc>
          <w:tcPr>
            <w:tcW w:w="2400" w:type="dxa"/>
          </w:tcPr>
          <w:p>
            <w:r>
              <w:t>Метрика</w:t>
            </w:r>
          </w:p>
        </w:tc>
        <w:tc>
          <w:tcPr>
            <w:tcW w:w="2400" w:type="dxa"/>
          </w:tcPr>
          <w:p>
            <w:r>
              <w:t>Вес</w:t>
            </w:r>
          </w:p>
        </w:tc>
        <w:tc>
          <w:tcPr>
            <w:tcW w:w="2400" w:type="dxa"/>
          </w:tcPr>
          <w:p>
            <w:r>
              <w:t>Зеленая зона</w:t>
            </w:r>
          </w:p>
        </w:tc>
        <w:tc>
          <w:tcPr>
            <w:tcW w:w="2400" w:type="dxa"/>
          </w:tcPr>
          <w:p>
            <w:r>
              <w:t>Желтая зона</w:t>
            </w:r>
          </w:p>
        </w:tc>
        <w:tc>
          <w:tcPr>
            <w:tcW w:w="2400" w:type="dxa"/>
          </w:tcPr>
          <w:p>
            <w:r>
              <w:t>Красная зона</w:t>
            </w:r>
          </w:p>
        </w:tc>
      </w:tr>
      <w:tr>
        <w:tc>
          <w:tcPr>
            <w:tcW w:w="2400" w:type="dxa"/>
          </w:tcPr>
          <w:p>
            <w:r>
              <w:t>KPI месяца %</w:t>
            </w:r>
          </w:p>
        </w:tc>
        <w:tc>
          <w:tcPr>
            <w:tcW w:w="2400" w:type="dxa"/>
          </w:tcPr>
          <w:p>
            <w:r>
              <w:t>35%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ОКК команды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&gt;=60%</w:t>
            </w:r>
          </w:p>
        </w:tc>
        <w:tc>
          <w:tcPr>
            <w:tcW w:w="2400" w:type="dxa"/>
          </w:tcPr>
          <w:p>
            <w:r>
              <w:t>40–60%</w:t>
            </w:r>
          </w:p>
        </w:tc>
        <w:tc>
          <w:tcPr>
            <w:tcW w:w="2400" w:type="dxa"/>
          </w:tcPr>
          <w:p>
            <w:r>
              <w:t>&lt;40%</w:t>
            </w:r>
          </w:p>
        </w:tc>
      </w:tr>
      <w:tr>
        <w:tc>
          <w:tcPr>
            <w:tcW w:w="2400" w:type="dxa"/>
          </w:tcPr>
          <w:p>
            <w:r>
              <w:t>Обучение команды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Фрод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&lt;=15%</w:t>
            </w:r>
          </w:p>
        </w:tc>
        <w:tc>
          <w:tcPr>
            <w:tcW w:w="2400" w:type="dxa"/>
          </w:tcPr>
          <w:p>
            <w:r>
              <w:t>15–20%</w:t>
            </w:r>
          </w:p>
        </w:tc>
        <w:tc>
          <w:tcPr>
            <w:tcW w:w="2400" w:type="dxa"/>
          </w:tcPr>
          <w:p>
            <w:r>
              <w:t>&gt;20%</w:t>
            </w:r>
          </w:p>
        </w:tc>
      </w:tr>
      <w:tr>
        <w:tc>
          <w:tcPr>
            <w:tcW w:w="2400" w:type="dxa"/>
          </w:tcPr>
          <w:p>
            <w:r>
              <w:t>Стабильность команды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Текучесть команды %</w:t>
            </w:r>
          </w:p>
        </w:tc>
        <w:tc>
          <w:tcPr>
            <w:tcW w:w="2400" w:type="dxa"/>
          </w:tcPr>
          <w:p>
            <w:r>
              <w:t>5%</w:t>
            </w:r>
          </w:p>
        </w:tc>
        <w:tc>
          <w:tcPr>
            <w:tcW w:w="2400" w:type="dxa"/>
          </w:tcPr>
          <w:p>
            <w:r>
              <w:t>&lt;=10%</w:t>
            </w:r>
          </w:p>
        </w:tc>
        <w:tc>
          <w:tcPr>
            <w:tcW w:w="2400" w:type="dxa"/>
          </w:tcPr>
          <w:p>
            <w:r>
              <w:t>10–15%</w:t>
            </w:r>
          </w:p>
        </w:tc>
        <w:tc>
          <w:tcPr>
            <w:tcW w:w="2400" w:type="dxa"/>
          </w:tcPr>
          <w:p>
            <w:r>
              <w:t>&gt;15%</w:t>
            </w:r>
          </w:p>
        </w:tc>
      </w:tr>
    </w:tbl>
    <w:p>
      <w:r>
        <w:t>• KPI месяца % и ОКК команды % — обязательные ключевые метрики; без них статус = Недостаточно данных.</w:t>
      </w:r>
    </w:p>
    <w:p>
      <w:r>
        <w:t>• Если доступно меньше 60% веса управленческих метрик, статус = Недостаточно данных.</w:t>
      </w:r>
    </w:p>
    <w:p>
      <w:r>
        <w:t>• Красная зона метрики дает 0 за свой вес; желтая зона начисляется линейно до зеленого порога.</w:t>
      </w:r>
    </w:p>
    <w:p>
      <w:r>
        <w:t>• Статус: Стабильно при балле &gt;=90% и без желтых/красных управленческих флагов; Зона риска при балле &lt;80%; остальные достаточные случаи = Контроль.</w:t>
      </w:r>
    </w:p>
    <w:p>
      <w:r>
        <w:t>• Причина статуса СВ показывает только красные флаги через запятую; если все метрики зеленые — Все метрики выше целевого уровня; если красных нет — поле пустое.</w:t>
      </w:r>
    </w:p>
    <w:p>
      <w:r>
        <w:t>• Стабильность команды % = 1 - 70% * доля вакансий от плановой команды - 20% * текучесть - 10% * чистый отток.</w:t>
      </w:r>
    </w:p>
    <w:p>
      <w:pPr>
        <w:pStyle w:val="Heading1"/>
      </w:pPr>
      <w:r>
        <w:t>7. Супервайзеры — личная эффективность и ОЭД</w:t>
      </w:r>
    </w:p>
    <w:p>
      <w:r>
        <w:t>Личная эффективность находится в той же витрине page5_sv_monthly_snapshot; отдельная квартальная ОЭД-витрина — page5_sv_oed_quarterly и oed_quarterly_snapshot.</w:t>
      </w:r>
    </w:p>
    <w:tbl>
      <w:tblPr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r>
        <w:tc>
          <w:tcPr>
            <w:tcW w:w="2400" w:type="dxa"/>
          </w:tcPr>
          <w:p>
            <w:r>
              <w:t>Метрика</w:t>
            </w:r>
          </w:p>
        </w:tc>
        <w:tc>
          <w:tcPr>
            <w:tcW w:w="2400" w:type="dxa"/>
          </w:tcPr>
          <w:p>
            <w:r>
              <w:t>Вес</w:t>
            </w:r>
          </w:p>
        </w:tc>
        <w:tc>
          <w:tcPr>
            <w:tcW w:w="2400" w:type="dxa"/>
          </w:tcPr>
          <w:p>
            <w:r>
              <w:t>Зеленая зона</w:t>
            </w:r>
          </w:p>
        </w:tc>
        <w:tc>
          <w:tcPr>
            <w:tcW w:w="2400" w:type="dxa"/>
          </w:tcPr>
          <w:p>
            <w:r>
              <w:t>Желтая зона</w:t>
            </w:r>
          </w:p>
        </w:tc>
        <w:tc>
          <w:tcPr>
            <w:tcW w:w="2400" w:type="dxa"/>
          </w:tcPr>
          <w:p>
            <w:r>
              <w:t>Красная зона</w:t>
            </w:r>
          </w:p>
        </w:tc>
      </w:tr>
      <w:tr>
        <w:tc>
          <w:tcPr>
            <w:tcW w:w="2400" w:type="dxa"/>
          </w:tcPr>
          <w:p>
            <w:r>
              <w:t>Аттестация клиента %</w:t>
            </w:r>
          </w:p>
        </w:tc>
        <w:tc>
          <w:tcPr>
            <w:tcW w:w="2400" w:type="dxa"/>
          </w:tcPr>
          <w:p>
            <w:r>
              <w:t>40%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Аттестация ОЭД %</w:t>
            </w:r>
          </w:p>
        </w:tc>
        <w:tc>
          <w:tcPr>
            <w:tcW w:w="2400" w:type="dxa"/>
          </w:tcPr>
          <w:p>
            <w:r>
              <w:t>20%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Продукт ОЭД %</w:t>
            </w:r>
          </w:p>
        </w:tc>
        <w:tc>
          <w:tcPr>
            <w:tcW w:w="2400" w:type="dxa"/>
          </w:tcPr>
          <w:p>
            <w:r>
              <w:t>20%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Управление ОЭД %</w:t>
            </w:r>
          </w:p>
        </w:tc>
        <w:tc>
          <w:tcPr>
            <w:tcW w:w="2400" w:type="dxa"/>
          </w:tcPr>
          <w:p>
            <w:r>
              <w:t>20%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&gt;90% и &lt;95%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</w:tbl>
    <w:p>
      <w:r>
        <w:t>• KPI ОЭД % пока справочно и не входит в балл личной эффективности.</w:t>
      </w:r>
    </w:p>
    <w:p>
      <w:r>
        <w:t>• Если сотрудник не участвовал в ОЭД как СВ, ОЭД-блоки не заполняются нулями; статус личной эффективности = Новичок.</w:t>
      </w:r>
    </w:p>
    <w:p>
      <w:r>
        <w:t>• Высокая личная готовность возможна только при балле &gt;=95%, всех зеленых личных метриках и Класс ОЭД = ТОП.</w:t>
      </w:r>
    </w:p>
    <w:p>
      <w:r>
        <w:t>• Соответствует роли: балл &gt;=90% и нет красных личных флагов.</w:t>
      </w:r>
    </w:p>
    <w:p>
      <w:r>
        <w:t>• Зона развития: балл &lt;90% или есть красный личный флаг.</w:t>
      </w:r>
    </w:p>
    <w:p>
      <w:pPr>
        <w:pStyle w:val="Heading1"/>
      </w:pPr>
      <w:r>
        <w:t>8. Страница 6: ОКК и фрод</w:t>
      </w:r>
    </w:p>
    <w:p>
      <w:r>
        <w:t>Витрины: page6_okk_region_monthly и page6_okk_insights_monthly.</w:t>
      </w:r>
    </w:p>
    <w:p>
      <w:r>
        <w:t>• page6_okk_region_monthly: месяц + регион; ОКК %, Фрод %, OSA %, PICOS % считаются средними из okk_fact.</w:t>
      </w:r>
    </w:p>
    <w:p>
      <w:r>
        <w:t>• % из проверок ОКК в блоках анкеты = среднее значение выбранного блока ОКК по худшей зоне месяца.</w:t>
      </w:r>
    </w:p>
    <w:p>
      <w:r>
        <w:t>• KPI-разрыв % = KPI проекта % - целевой KPI 75%; отрицательное значение означает недовыполнение цели.</w:t>
      </w:r>
    </w:p>
    <w:p>
      <w:r>
        <w:t>• Просадка ОКК % = среднее ОКК без нарушения - среднее ОКК с нарушением. Это доля, форматировать как %.</w:t>
      </w:r>
    </w:p>
    <w:p>
      <w:r>
        <w:t>• Сигналы формируются автоматически: повторяемый фрод у СВ, падение ОКК раньше KPI, слабые PICOS/OSA, низкое фото при высоком фроде.</w:t>
      </w:r>
    </w:p>
    <w:p>
      <w:pPr>
        <w:pStyle w:val="Heading1"/>
      </w:pPr>
      <w:r>
        <w:t>9. Страница 7: территориальные менеджеры</w:t>
      </w:r>
    </w:p>
    <w:p>
      <w:r>
        <w:t>Витрина: page7_tm_monthly_snapshot. Одна строка = месяц + ТМ; регионы ТМ выводятся списком, региональный слайсер на этой странице мягкий.</w:t>
      </w:r>
    </w:p>
    <w:tbl>
      <w:tblPr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r>
        <w:tc>
          <w:tcPr>
            <w:tcW w:w="2400" w:type="dxa"/>
          </w:tcPr>
          <w:p>
            <w:r>
              <w:t>Метрика</w:t>
            </w:r>
          </w:p>
        </w:tc>
        <w:tc>
          <w:tcPr>
            <w:tcW w:w="2400" w:type="dxa"/>
          </w:tcPr>
          <w:p>
            <w:r>
              <w:t>Вес</w:t>
            </w:r>
          </w:p>
        </w:tc>
        <w:tc>
          <w:tcPr>
            <w:tcW w:w="2400" w:type="dxa"/>
          </w:tcPr>
          <w:p>
            <w:r>
              <w:t>Зеленая зона</w:t>
            </w:r>
          </w:p>
        </w:tc>
        <w:tc>
          <w:tcPr>
            <w:tcW w:w="2400" w:type="dxa"/>
          </w:tcPr>
          <w:p>
            <w:r>
              <w:t>Желтая зона</w:t>
            </w:r>
          </w:p>
        </w:tc>
        <w:tc>
          <w:tcPr>
            <w:tcW w:w="2400" w:type="dxa"/>
          </w:tcPr>
          <w:p>
            <w:r>
              <w:t>Красная зона</w:t>
            </w:r>
          </w:p>
        </w:tc>
      </w:tr>
      <w:tr>
        <w:tc>
          <w:tcPr>
            <w:tcW w:w="2400" w:type="dxa"/>
          </w:tcPr>
          <w:p>
            <w:r>
              <w:t>KPI месяца территории %</w:t>
            </w:r>
          </w:p>
        </w:tc>
        <w:tc>
          <w:tcPr>
            <w:tcW w:w="2400" w:type="dxa"/>
          </w:tcPr>
          <w:p>
            <w:r>
              <w:t>30%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Качество команды %</w:t>
            </w:r>
          </w:p>
        </w:tc>
        <w:tc>
          <w:tcPr>
            <w:tcW w:w="2400" w:type="dxa"/>
          </w:tcPr>
          <w:p>
            <w:r>
              <w:t>20%</w:t>
            </w:r>
          </w:p>
        </w:tc>
        <w:tc>
          <w:tcPr>
            <w:tcW w:w="2400" w:type="dxa"/>
          </w:tcPr>
          <w:p>
            <w:r>
              <w:t>&gt;=80%</w:t>
            </w:r>
          </w:p>
        </w:tc>
        <w:tc>
          <w:tcPr>
            <w:tcW w:w="2400" w:type="dxa"/>
          </w:tcPr>
          <w:p>
            <w:r>
              <w:t>70–80%</w:t>
            </w:r>
          </w:p>
        </w:tc>
        <w:tc>
          <w:tcPr>
            <w:tcW w:w="2400" w:type="dxa"/>
          </w:tcPr>
          <w:p>
            <w:r>
              <w:t>&lt;70%</w:t>
            </w:r>
          </w:p>
        </w:tc>
      </w:tr>
      <w:tr>
        <w:tc>
          <w:tcPr>
            <w:tcW w:w="2400" w:type="dxa"/>
          </w:tcPr>
          <w:p>
            <w:r>
              <w:t>Обучение команды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Фрод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&lt;=10%</w:t>
            </w:r>
          </w:p>
        </w:tc>
        <w:tc>
          <w:tcPr>
            <w:tcW w:w="2400" w:type="dxa"/>
          </w:tcPr>
          <w:p>
            <w:r>
              <w:t>10–18%</w:t>
            </w:r>
          </w:p>
        </w:tc>
        <w:tc>
          <w:tcPr>
            <w:tcW w:w="2400" w:type="dxa"/>
          </w:tcPr>
          <w:p>
            <w:r>
              <w:t>&gt;18%</w:t>
            </w:r>
          </w:p>
        </w:tc>
      </w:tr>
      <w:tr>
        <w:tc>
          <w:tcPr>
            <w:tcW w:w="2400" w:type="dxa"/>
          </w:tcPr>
          <w:p>
            <w:r>
              <w:t>Стабильность команды %</w:t>
            </w:r>
          </w:p>
        </w:tc>
        <w:tc>
          <w:tcPr>
            <w:tcW w:w="2400" w:type="dxa"/>
          </w:tcPr>
          <w:p>
            <w:r>
              <w:t>15%</w:t>
            </w:r>
          </w:p>
        </w:tc>
        <w:tc>
          <w:tcPr>
            <w:tcW w:w="2400" w:type="dxa"/>
          </w:tcPr>
          <w:p>
            <w:r>
              <w:t>&gt;=95%</w:t>
            </w:r>
          </w:p>
        </w:tc>
        <w:tc>
          <w:tcPr>
            <w:tcW w:w="2400" w:type="dxa"/>
          </w:tcPr>
          <w:p>
            <w:r>
              <w:t>90–95%</w:t>
            </w:r>
          </w:p>
        </w:tc>
        <w:tc>
          <w:tcPr>
            <w:tcW w:w="2400" w:type="dxa"/>
          </w:tcPr>
          <w:p>
            <w:r>
              <w:t>&lt;90%</w:t>
            </w:r>
          </w:p>
        </w:tc>
      </w:tr>
      <w:tr>
        <w:tc>
          <w:tcPr>
            <w:tcW w:w="2400" w:type="dxa"/>
          </w:tcPr>
          <w:p>
            <w:r>
              <w:t>Текучесть %</w:t>
            </w:r>
          </w:p>
        </w:tc>
        <w:tc>
          <w:tcPr>
            <w:tcW w:w="2400" w:type="dxa"/>
          </w:tcPr>
          <w:p>
            <w:r>
              <w:t>5%</w:t>
            </w:r>
          </w:p>
        </w:tc>
        <w:tc>
          <w:tcPr>
            <w:tcW w:w="2400" w:type="dxa"/>
          </w:tcPr>
          <w:p>
            <w:r>
              <w:t>&lt;=10%</w:t>
            </w:r>
          </w:p>
        </w:tc>
        <w:tc>
          <w:tcPr>
            <w:tcW w:w="2400" w:type="dxa"/>
          </w:tcPr>
          <w:p>
            <w:r>
              <w:t>10–15%</w:t>
            </w:r>
          </w:p>
        </w:tc>
        <w:tc>
          <w:tcPr>
            <w:tcW w:w="2400" w:type="dxa"/>
          </w:tcPr>
          <w:p>
            <w:r>
              <w:t>&gt;15%</w:t>
            </w:r>
          </w:p>
        </w:tc>
      </w:tr>
    </w:tbl>
    <w:p>
      <w:r>
        <w:t>• KPI месяца территории % и Качество команды % — обязательные; без них статус = Недостаточно данных.</w:t>
      </w:r>
    </w:p>
    <w:p>
      <w:r>
        <w:t>• Если второстепенная метрика отсутствует, ее вес перераспределяется между доступными метриками; если доступно меньше 60% веса, статус = Недостаточно данных.</w:t>
      </w:r>
    </w:p>
    <w:p>
      <w:r>
        <w:t>• Статус ТМ: Стабильно при балле &gt;=80% и достаточных данных; Зона риска при балле &lt;80%; Недостаточно данных при нехватке данных.</w:t>
      </w:r>
    </w:p>
    <w:p>
      <w:r>
        <w:t>• Причина статуса ТМ выводит только красные флаги через запятую; желтые флаги причину не заполняют.</w:t>
      </w:r>
    </w:p>
    <w:p>
      <w:r>
        <w:t>• Личные метрики ТМ — обучение ТМ %, средний балл теста, стаж — справочные и не входят в управленческий балл.</w:t>
      </w:r>
    </w:p>
    <w:p>
      <w:pPr>
        <w:pStyle w:val="Heading1"/>
      </w:pPr>
      <w:r>
        <w:t>10. Страница 8: обучение и компетенции</w:t>
      </w:r>
    </w:p>
    <w:p>
      <w:r>
        <w:t>Витрины: page8_learning_course_summary, page8_learning_effect_trend, page8_learning_employee_matrix.</w:t>
      </w:r>
    </w:p>
    <w:p>
      <w:r>
        <w:t>• Матрица компетенций строится по активным H&amp;N МЕ из USERS; компетенция = 1, если закрыт курс из согласованного маппинга, иначе 0.</w:t>
      </w:r>
    </w:p>
    <w:p>
      <w:r>
        <w:t>• % закрытых компетенций = Закрыто компетенций / 6.</w:t>
      </w:r>
    </w:p>
    <w:p>
      <w:r>
        <w:t>• Эффект курса считается относительно месяца прохождения: до = предыдущий месяц, после 30 = текущий месяц, после 60 = следующий месяц.</w:t>
      </w:r>
    </w:p>
    <w:p>
      <w:r>
        <w:t>• Комбинированный эффект = 65% * Эффект KPI % + 35% * Эффект ОКК %; если доступна только одна метрика, используется она.</w:t>
      </w:r>
    </w:p>
    <w:p>
      <w:r>
        <w:t>• Статус курса: подтвержден &gt;=5%; умеренный эффект &gt;=2%; эффект не подтвержден от -2% до +2%; отрицательная динамика &lt; -2%; в процессе замера если курс свежий.</w:t>
      </w:r>
    </w:p>
    <w:p>
      <w:pPr>
        <w:pStyle w:val="Heading1"/>
      </w:pPr>
      <w:r>
        <w:t>11. Страница 9: анонимный климат</w:t>
      </w:r>
    </w:p>
    <w:p>
      <w:r>
        <w:t>Витрины: page9_climate_quarterly_region и page9_climate_blocks_region. Источник — enps_fact, только агрегированные срезы.</w:t>
      </w:r>
    </w:p>
    <w:p>
      <w:r>
        <w:t>• Статус региона по климату считается только при минимум 10 ответах.</w:t>
      </w:r>
    </w:p>
    <w:p>
      <w:r>
        <w:t>• Высокий риск: риск ухода &gt;=24% или удовлетворенность &lt;55%.</w:t>
      </w:r>
    </w:p>
    <w:p>
      <w:r>
        <w:t>• Контроль: риск ухода &gt;=18% или удовлетворенность &lt;63%.</w:t>
      </w:r>
    </w:p>
    <w:p>
      <w:r>
        <w:t>• Стабильно: условия риска и контроля не выполнены.</w:t>
      </w:r>
    </w:p>
    <w:p>
      <w:r>
        <w:t>• Предупреждения QA по Центру/Дальнему Востоку оставлены как исторический eNPS-периметр; в рабочем dRegion их нет.</w:t>
      </w:r>
    </w:p>
    <w:p>
      <w:pPr>
        <w:pStyle w:val="Heading1"/>
      </w:pPr>
      <w:r>
        <w:t>12. Контроль QA</w:t>
      </w:r>
    </w:p>
    <w:p>
      <w:r>
        <w:t>• Скрипт проверки: scripts/audit_vitrines.py.</w:t>
      </w:r>
    </w:p>
    <w:p>
      <w:r>
        <w:t>• Итоговый отчет: data/out/qa_vitrines_report.xlsx.</w:t>
      </w:r>
    </w:p>
    <w:p>
      <w:r>
        <w:t>• Текущие статусы Page1: Контроль: 22; Стабильно: 7; Высокий риск: 6; Недостаточно данных: 2.</w:t>
      </w:r>
    </w:p>
    <w:p>
      <w:r>
        <w:t>• Текущие статусы Page5: Контроль: 159; Зона риска: 124; Недостаточно данных: 20; Стабильно: 14.</w:t>
      </w:r>
    </w:p>
    <w:p>
      <w:r>
        <w:t>• Текущие статусы Page7: Недостаточно данных: 39; Зона риска: 32; Стабильно: 6.</w:t>
      </w:r>
    </w:p>
    <w:sectPr>
      <w:pgSz w:w="11906" w:h="16838"/>
      <w:pgMar w:top="1134" w:right="850" w:bottom="1134" w:left="850" w:header="708" w:footer="708" w:gutter="0"/>
    </w:sectPr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HN BI: методология расчетов</dc:title>
  <dc:creator>Codex</dc:creator>
  <dcterms:created xsi:type="dcterms:W3CDTF">2026-07-27T11:14:32</dcterms:created>
  <dcterms:modified xsi:type="dcterms:W3CDTF">2026-07-27T11:14:32</dcterms:modified>
</cp:coreProperties>
</file>