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 BI: формулы расчётов</w:t>
      </w:r>
    </w:p>
    <w:p>
      <w:r>
        <w:t>Дата формирования: 26.08.2026 19:37</w:t>
      </w:r>
    </w:p>
    <w:p>
      <w:pPr>
        <w:pStyle w:val="Heading1"/>
      </w:pPr>
      <w:r>
        <w:t>1. Клиентский KPI</w:t>
      </w:r>
    </w:p>
    <w:p>
      <w:r>
        <w:t>• PICOS-схема: KPI проекта = PICOS выполнение.</w:t>
      </w:r>
    </w:p>
    <w:p>
      <w:r>
        <w:t>• OSA+TOP16-схема: KPI проекта = 50%×OSA выполнение + 50%×TOP16 выполнение.</w:t>
      </w:r>
    </w:p>
    <w:p>
      <w:r>
        <w:t>• KPI МЕ = SUM(KPI ТТ×подтверждённые визиты МЕ) / SUM(подтверждённые визиты МЕ).</w:t>
      </w:r>
    </w:p>
    <w:p>
      <w:r>
        <w:t>• KPI региона = AVERAGE(KPI уникальных ТТ с валидным клиентским KPI).</w:t>
      </w:r>
    </w:p>
    <w:p>
      <w:pPr>
        <w:pStyle w:val="Heading1"/>
      </w:pPr>
      <w:r>
        <w:t>2. Регион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Операционный блок</w:t>
            </w:r>
          </w:p>
        </w:tc>
        <w:tc>
          <w:tcPr>
            <w:tcW w:w="2400" w:type="dxa"/>
          </w:tcPr>
          <w:p>
            <w:r>
              <w:t>Вес</w:t>
            </w:r>
          </w:p>
        </w:tc>
      </w:tr>
      <w:tr>
        <w:tc>
          <w:tcPr>
            <w:tcW w:w="2400" w:type="dxa"/>
          </w:tcPr>
          <w:p>
            <w:r>
              <w:t>KPI проекта %</w:t>
            </w:r>
          </w:p>
        </w:tc>
        <w:tc>
          <w:tcPr>
            <w:tcW w:w="2400" w:type="dxa"/>
          </w:tcPr>
          <w:p>
            <w:r>
              <w:t>30%</w:t>
            </w:r>
          </w:p>
        </w:tc>
      </w:tr>
      <w:tr>
        <w:tc>
          <w:tcPr>
            <w:tcW w:w="2400" w:type="dxa"/>
          </w:tcPr>
          <w:p>
            <w:r>
              <w:t>Качество визитов %</w:t>
            </w:r>
          </w:p>
        </w:tc>
        <w:tc>
          <w:tcPr>
            <w:tcW w:w="2400" w:type="dxa"/>
          </w:tcPr>
          <w:p>
            <w:r>
              <w:t>20%</w:t>
            </w:r>
          </w:p>
        </w:tc>
      </w:tr>
      <w:tr>
        <w:tc>
          <w:tcPr>
            <w:tcW w:w="2400" w:type="dxa"/>
          </w:tcPr>
          <w:p>
            <w:r>
              <w:t>Обязательное обучение %</w:t>
            </w:r>
          </w:p>
        </w:tc>
        <w:tc>
          <w:tcPr>
            <w:tcW w:w="2400" w:type="dxa"/>
          </w:tcPr>
          <w:p>
            <w:r>
              <w:t>15%</w:t>
            </w:r>
          </w:p>
        </w:tc>
      </w:tr>
      <w:tr>
        <w:tc>
          <w:tcPr>
            <w:tcW w:w="2400" w:type="dxa"/>
          </w:tcPr>
          <w:p>
            <w:r>
              <w:t>Антифрод %</w:t>
            </w:r>
          </w:p>
        </w:tc>
        <w:tc>
          <w:tcPr>
            <w:tcW w:w="2400" w:type="dxa"/>
          </w:tcPr>
          <w:p>
            <w:r>
              <w:t>15%</w:t>
            </w:r>
          </w:p>
        </w:tc>
      </w:tr>
      <w:tr>
        <w:tc>
          <w:tcPr>
            <w:tcW w:w="2400" w:type="dxa"/>
          </w:tcPr>
          <w:p>
            <w:r>
              <w:t>Климат %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Оценка команды %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</w:tbl>
    <w:p>
      <w:r>
        <w:t>• Операционная эффективность = SUM(значение×вес) / SUM(доступный вес).</w:t>
      </w:r>
    </w:p>
    <w:p>
      <w:r>
        <w:t>• Антифрод = 1−Фрод.</w:t>
      </w:r>
    </w:p>
    <w:p>
      <w:r>
        <w:t>• Открытые вакансии = COUNT(вакансии, открытые на конец месяца и ещё не закрытые).</w:t>
      </w:r>
    </w:p>
    <w:p>
      <w:r>
        <w:t>• Доля вакансий = открытые вакансии МЕ / (активные МЕ + открытые вакансии МЕ).</w:t>
      </w:r>
    </w:p>
    <w:p>
      <w:r>
        <w:t>• Текучесть = уволено / (активные МЕ на конец месяца + уволено за месяц).</w:t>
      </w:r>
    </w:p>
    <w:p>
      <w:r>
        <w:t>• Доля кадрового оттока = MAX(уволено−нанято;0) / (активные МЕ на конец месяца + уволено за месяц).</w:t>
      </w:r>
    </w:p>
    <w:p>
      <w:r>
        <w:t>• Кадровая устойчивость = 1−50%×доля вакансий−30%×текучесть−20%×доля кадрового оттока.</w:t>
      </w:r>
    </w:p>
    <w:p>
      <w:r>
        <w:t>• Индекс региона = SUM(компонент×вес) / SUM(доступный вес), где операционный блок =65%, кадровая устойчивость =35%.</w:t>
      </w:r>
    </w:p>
    <w:p>
      <w:r>
        <w:t>• Доступность &lt;60% → Недостаточно данных.</w:t>
      </w:r>
    </w:p>
    <w:p>
      <w:r>
        <w:t>• Индекс &lt;80%, либо 2+ жёстких сигнала, либо жёсткая текучесть+отток → Высокий риск.</w:t>
      </w:r>
    </w:p>
    <w:p>
      <w:r>
        <w:t>• Индекс &lt;88%, либо 1+ жёсткий сигнал, либо 2+ мягких сигнала → Контроль; иначе Стабильно.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Сигнал</w:t>
            </w:r>
          </w:p>
        </w:tc>
        <w:tc>
          <w:tcPr>
            <w:tcW w:w="2400" w:type="dxa"/>
          </w:tcPr>
          <w:p>
            <w:r>
              <w:t>Мягкий</w:t>
            </w:r>
          </w:p>
        </w:tc>
        <w:tc>
          <w:tcPr>
            <w:tcW w:w="2400" w:type="dxa"/>
          </w:tcPr>
          <w:p>
            <w:r>
              <w:t>Жёсткий</w:t>
            </w:r>
          </w:p>
        </w:tc>
      </w:tr>
      <w:tr>
        <w:tc>
          <w:tcPr>
            <w:tcW w:w="2400" w:type="dxa"/>
          </w:tcPr>
          <w:p>
            <w:r>
              <w:t>KPI</w:t>
            </w:r>
          </w:p>
        </w:tc>
        <w:tc>
          <w:tcPr>
            <w:tcW w:w="2400" w:type="dxa"/>
          </w:tcPr>
          <w:p>
            <w:r>
              <w:t>&lt;95%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ОКК</w:t>
            </w:r>
          </w:p>
        </w:tc>
        <w:tc>
          <w:tcPr>
            <w:tcW w:w="2400" w:type="dxa"/>
          </w:tcPr>
          <w:p>
            <w:r>
              <w:t>&lt;55%</w:t>
            </w:r>
          </w:p>
        </w:tc>
        <w:tc>
          <w:tcPr>
            <w:tcW w:w="2400" w:type="dxa"/>
          </w:tcPr>
          <w:p>
            <w:r>
              <w:t>&lt;45%</w:t>
            </w:r>
          </w:p>
        </w:tc>
      </w:tr>
      <w:tr>
        <w:tc>
          <w:tcPr>
            <w:tcW w:w="2400" w:type="dxa"/>
          </w:tcPr>
          <w:p>
            <w:r>
              <w:t>Обучение</w:t>
            </w:r>
          </w:p>
        </w:tc>
        <w:tc>
          <w:tcPr>
            <w:tcW w:w="2400" w:type="dxa"/>
          </w:tcPr>
          <w:p>
            <w:r>
              <w:t>&lt;70%</w:t>
            </w:r>
          </w:p>
        </w:tc>
        <w:tc>
          <w:tcPr>
            <w:tcW w:w="2400" w:type="dxa"/>
          </w:tcPr>
          <w:p>
            <w:r>
              <w:t>&lt;55%</w:t>
            </w:r>
          </w:p>
        </w:tc>
      </w:tr>
      <w:tr>
        <w:tc>
          <w:tcPr>
            <w:tcW w:w="2400" w:type="dxa"/>
          </w:tcPr>
          <w:p>
            <w:r>
              <w:t>Фрод</w:t>
            </w:r>
          </w:p>
        </w:tc>
        <w:tc>
          <w:tcPr>
            <w:tcW w:w="2400" w:type="dxa"/>
          </w:tcPr>
          <w:p>
            <w:r>
              <w:t>&gt;18%</w:t>
            </w:r>
          </w:p>
        </w:tc>
        <w:tc>
          <w:tcPr>
            <w:tcW w:w="2400" w:type="dxa"/>
          </w:tcPr>
          <w:p>
            <w:r>
              <w:t>&gt;25%</w:t>
            </w:r>
          </w:p>
        </w:tc>
      </w:tr>
      <w:tr>
        <w:tc>
          <w:tcPr>
            <w:tcW w:w="2400" w:type="dxa"/>
          </w:tcPr>
          <w:p>
            <w:r>
              <w:t>eNPS риск</w:t>
            </w:r>
          </w:p>
        </w:tc>
        <w:tc>
          <w:tcPr>
            <w:tcW w:w="2400" w:type="dxa"/>
          </w:tcPr>
          <w:p>
            <w:r>
              <w:t>&gt;=22%</w:t>
            </w:r>
          </w:p>
        </w:tc>
        <w:tc>
          <w:tcPr>
            <w:tcW w:w="2400" w:type="dxa"/>
          </w:tcPr>
          <w:p>
            <w:r>
              <w:t>&gt;=30%</w:t>
            </w:r>
          </w:p>
        </w:tc>
      </w:tr>
      <w:tr>
        <w:tc>
          <w:tcPr>
            <w:tcW w:w="2400" w:type="dxa"/>
          </w:tcPr>
          <w:p>
            <w:r>
              <w:t>Вакансии</w:t>
            </w:r>
          </w:p>
        </w:tc>
        <w:tc>
          <w:tcPr>
            <w:tcW w:w="2400" w:type="dxa"/>
          </w:tcPr>
          <w:p>
            <w:r>
              <w:t>&gt;=12%</w:t>
            </w:r>
          </w:p>
        </w:tc>
        <w:tc>
          <w:tcPr>
            <w:tcW w:w="2400" w:type="dxa"/>
          </w:tcPr>
          <w:p>
            <w:r>
              <w:t>&gt;=20%</w:t>
            </w:r>
          </w:p>
        </w:tc>
      </w:tr>
      <w:tr>
        <w:tc>
          <w:tcPr>
            <w:tcW w:w="2400" w:type="dxa"/>
          </w:tcPr>
          <w:p>
            <w:r>
              <w:t>Текучесть</w:t>
            </w:r>
          </w:p>
        </w:tc>
        <w:tc>
          <w:tcPr>
            <w:tcW w:w="2400" w:type="dxa"/>
          </w:tcPr>
          <w:p>
            <w:r>
              <w:t>&gt;=8%</w:t>
            </w:r>
          </w:p>
        </w:tc>
        <w:tc>
          <w:tcPr>
            <w:tcW w:w="2400" w:type="dxa"/>
          </w:tcPr>
          <w:p>
            <w:r>
              <w:t>&gt;=15%</w:t>
            </w:r>
          </w:p>
        </w:tc>
      </w:tr>
      <w:tr>
        <w:tc>
          <w:tcPr>
            <w:tcW w:w="2400" w:type="dxa"/>
          </w:tcPr>
          <w:p>
            <w:r>
              <w:t>Кадровый отток</w:t>
            </w:r>
          </w:p>
        </w:tc>
        <w:tc>
          <w:tcPr>
            <w:tcW w:w="2400" w:type="dxa"/>
          </w:tcPr>
          <w:p>
            <w:r>
              <w:t>&gt;=3</w:t>
            </w:r>
          </w:p>
        </w:tc>
        <w:tc>
          <w:tcPr>
            <w:tcW w:w="2400" w:type="dxa"/>
          </w:tcPr>
          <w:p>
            <w:r>
              <w:t>&gt;=10</w:t>
            </w:r>
          </w:p>
        </w:tc>
      </w:tr>
      <w:tr>
        <w:tc>
          <w:tcPr>
            <w:tcW w:w="2400" w:type="dxa"/>
          </w:tcPr>
          <w:p>
            <w:r>
              <w:t>Кадровая устойчивость</w:t>
            </w:r>
          </w:p>
        </w:tc>
        <w:tc>
          <w:tcPr>
            <w:tcW w:w="2400" w:type="dxa"/>
          </w:tcPr>
          <w:p>
            <w:r>
              <w:t>&lt;75%</w:t>
            </w:r>
          </w:p>
        </w:tc>
        <w:tc>
          <w:tcPr>
            <w:tcW w:w="2400" w:type="dxa"/>
          </w:tcPr>
          <w:p>
            <w:r>
              <w:t>&lt;60%</w:t>
            </w:r>
          </w:p>
        </w:tc>
      </w:tr>
    </w:tbl>
    <w:p>
      <w:pPr>
        <w:pStyle w:val="Heading1"/>
      </w:pPr>
      <w:r>
        <w:t>3. Мерчендайзер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Блок</w:t>
            </w:r>
          </w:p>
        </w:tc>
        <w:tc>
          <w:tcPr>
            <w:tcW w:w="2400" w:type="dxa"/>
          </w:tcPr>
          <w:p>
            <w:r>
              <w:t>Вес</w:t>
            </w:r>
          </w:p>
        </w:tc>
        <w:tc>
          <w:tcPr>
            <w:tcW w:w="2400" w:type="dxa"/>
          </w:tcPr>
          <w:p>
            <w:r>
              <w:t>Зелёный</w:t>
            </w:r>
          </w:p>
        </w:tc>
        <w:tc>
          <w:tcPr>
            <w:tcW w:w="2400" w:type="dxa"/>
          </w:tcPr>
          <w:p>
            <w:r>
              <w:t>Красный</w:t>
            </w:r>
          </w:p>
        </w:tc>
      </w:tr>
      <w:tr>
        <w:tc>
          <w:tcPr>
            <w:tcW w:w="2400" w:type="dxa"/>
          </w:tcPr>
          <w:p>
            <w:r>
              <w:t>PICOS/OSA/TOP16</w:t>
            </w:r>
          </w:p>
        </w:tc>
        <w:tc>
          <w:tcPr>
            <w:tcW w:w="2400" w:type="dxa"/>
          </w:tcPr>
          <w:p>
            <w:r>
              <w:t>40%</w:t>
            </w:r>
          </w:p>
        </w:tc>
        <w:tc>
          <w:tcPr>
            <w:tcW w:w="2400" w:type="dxa"/>
          </w:tcPr>
          <w:p>
            <w:r>
              <w:t>&gt;=99%</w:t>
            </w:r>
          </w:p>
        </w:tc>
        <w:tc>
          <w:tcPr>
            <w:tcW w:w="2400" w:type="dxa"/>
          </w:tcPr>
          <w:p>
            <w:r>
              <w:t>&lt;95%</w:t>
            </w:r>
          </w:p>
        </w:tc>
      </w:tr>
      <w:tr>
        <w:tc>
          <w:tcPr>
            <w:tcW w:w="2400" w:type="dxa"/>
          </w:tcPr>
          <w:p>
            <w:r>
              <w:t>ОКК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&gt;=60%</w:t>
            </w:r>
          </w:p>
        </w:tc>
        <w:tc>
          <w:tcPr>
            <w:tcW w:w="2400" w:type="dxa"/>
          </w:tcPr>
          <w:p>
            <w:r>
              <w:t>&lt;40%</w:t>
            </w:r>
          </w:p>
        </w:tc>
      </w:tr>
      <w:tr>
        <w:tc>
          <w:tcPr>
            <w:tcW w:w="2400" w:type="dxa"/>
          </w:tcPr>
          <w:p>
            <w:r>
              <w:t>Обучение</w:t>
            </w:r>
          </w:p>
        </w:tc>
        <w:tc>
          <w:tcPr>
            <w:tcW w:w="2400" w:type="dxa"/>
          </w:tcPr>
          <w:p>
            <w:r>
              <w:t>20%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Аттестация клиента</w:t>
            </w:r>
          </w:p>
        </w:tc>
        <w:tc>
          <w:tcPr>
            <w:tcW w:w="2400" w:type="dxa"/>
          </w:tcPr>
          <w:p>
            <w:r>
              <w:t>25%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</w:tbl>
    <w:p>
      <w:r>
        <w:t>• Балл блока = 0, если факт &lt; красного порога; иначе вес×MIN(факт/зелёный порог;1).</w:t>
      </w:r>
    </w:p>
    <w:p>
      <w:r>
        <w:t>• Нет аттестации клиента → +25%; остальные метрики рассчитываются.</w:t>
      </w:r>
    </w:p>
    <w:p>
      <w:r>
        <w:t>• Стаж &lt;3 месяцев → Новичок; красный блок → Зона развития; балл &gt;=90% и все зелёные → Высокая личная готовность; иначе Соответствует роли.</w:t>
      </w:r>
    </w:p>
    <w:p>
      <w:pPr>
        <w:pStyle w:val="Heading1"/>
      </w:pPr>
      <w:r>
        <w:t>4. Сложность ТТ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Компонент</w:t>
            </w:r>
          </w:p>
        </w:tc>
        <w:tc>
          <w:tcPr>
            <w:tcW w:w="2400" w:type="dxa"/>
          </w:tcPr>
          <w:p>
            <w:r>
              <w:t>Вес</w:t>
            </w:r>
          </w:p>
        </w:tc>
      </w:tr>
      <w:tr>
        <w:tc>
          <w:tcPr>
            <w:tcW w:w="2400" w:type="dxa"/>
          </w:tcPr>
          <w:p>
            <w:r>
              <w:t>Повторяемый KPI-разрыв</w:t>
            </w:r>
          </w:p>
        </w:tc>
        <w:tc>
          <w:tcPr>
            <w:tcW w:w="2400" w:type="dxa"/>
          </w:tcPr>
          <w:p>
            <w:r>
              <w:t>40%</w:t>
            </w:r>
          </w:p>
        </w:tc>
      </w:tr>
      <w:tr>
        <w:tc>
          <w:tcPr>
            <w:tcW w:w="2400" w:type="dxa"/>
          </w:tcPr>
          <w:p>
            <w:r>
              <w:t>Нестабильность KPI</w:t>
            </w:r>
          </w:p>
        </w:tc>
        <w:tc>
          <w:tcPr>
            <w:tcW w:w="2400" w:type="dxa"/>
          </w:tcPr>
          <w:p>
            <w:r>
              <w:t>30%</w:t>
            </w:r>
          </w:p>
        </w:tc>
      </w:tr>
      <w:tr>
        <w:tc>
          <w:tcPr>
            <w:tcW w:w="2400" w:type="dxa"/>
          </w:tcPr>
          <w:p>
            <w:r>
              <w:t>Повторяемость ОКК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Разрыв с похожими ТТ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Смена основного МЕ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</w:tbl>
    <w:p>
      <w:r>
        <w:t>• Сложность = SUM(компонент×вес) / SUM(доступный вес).</w:t>
      </w:r>
    </w:p>
    <w:p>
      <w:r>
        <w:t>• Расчёт: доступность &gt;=60%, KPI-месяцев &gt;=2, RTM-визитов &gt;=3.</w:t>
      </w:r>
    </w:p>
    <w:p>
      <w:r>
        <w:t>• Эталон: сложность &lt;=25%, KPI &gt;=95%, ОКК пусто или &gt;=60%.</w:t>
      </w:r>
    </w:p>
    <w:p>
      <w:r>
        <w:t>• Сложная ТТ: сложность &gt;=50%; Не вина МЕ — разрыв повторён при 2+ основных МЕ.</w:t>
      </w:r>
    </w:p>
    <w:p>
      <w:r>
        <w:t>• Score ТТ = 55×KPI + 45×(1−сложность).</w:t>
      </w:r>
    </w:p>
    <w:p>
      <w:pPr>
        <w:pStyle w:val="Heading1"/>
      </w:pPr>
      <w:r>
        <w:t>5. Супервайзер — управление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Блок</w:t>
            </w:r>
          </w:p>
        </w:tc>
        <w:tc>
          <w:tcPr>
            <w:tcW w:w="2400" w:type="dxa"/>
          </w:tcPr>
          <w:p>
            <w:r>
              <w:t>Вес</w:t>
            </w:r>
          </w:p>
        </w:tc>
        <w:tc>
          <w:tcPr>
            <w:tcW w:w="2400" w:type="dxa"/>
          </w:tcPr>
          <w:p>
            <w:r>
              <w:t>Зелёный</w:t>
            </w:r>
          </w:p>
        </w:tc>
        <w:tc>
          <w:tcPr>
            <w:tcW w:w="2400" w:type="dxa"/>
          </w:tcPr>
          <w:p>
            <w:r>
              <w:t>Красный</w:t>
            </w:r>
          </w:p>
        </w:tc>
      </w:tr>
      <w:tr>
        <w:tc>
          <w:tcPr>
            <w:tcW w:w="2400" w:type="dxa"/>
          </w:tcPr>
          <w:p>
            <w:r>
              <w:t>KPI</w:t>
            </w:r>
          </w:p>
        </w:tc>
        <w:tc>
          <w:tcPr>
            <w:tcW w:w="2400" w:type="dxa"/>
          </w:tcPr>
          <w:p>
            <w:r>
              <w:t>35%</w:t>
            </w:r>
          </w:p>
        </w:tc>
        <w:tc>
          <w:tcPr>
            <w:tcW w:w="2400" w:type="dxa"/>
          </w:tcPr>
          <w:p>
            <w:r>
              <w:t>PICOS &gt;=98%; OSA/TOP16 &gt;=95%</w:t>
            </w:r>
          </w:p>
        </w:tc>
        <w:tc>
          <w:tcPr>
            <w:tcW w:w="2400" w:type="dxa"/>
          </w:tcPr>
          <w:p>
            <w:r>
              <w:t>компонент &lt;95%</w:t>
            </w:r>
          </w:p>
        </w:tc>
      </w:tr>
      <w:tr>
        <w:tc>
          <w:tcPr>
            <w:tcW w:w="2400" w:type="dxa"/>
          </w:tcPr>
          <w:p>
            <w:r>
              <w:t>ОКК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&gt;=60%</w:t>
            </w:r>
          </w:p>
        </w:tc>
        <w:tc>
          <w:tcPr>
            <w:tcW w:w="2400" w:type="dxa"/>
          </w:tcPr>
          <w:p>
            <w:r>
              <w:t>&lt;40%</w:t>
            </w:r>
          </w:p>
        </w:tc>
      </w:tr>
      <w:tr>
        <w:tc>
          <w:tcPr>
            <w:tcW w:w="2400" w:type="dxa"/>
          </w:tcPr>
          <w:p>
            <w:r>
              <w:t>Обучение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Фрод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&lt;=15%</w:t>
            </w:r>
          </w:p>
        </w:tc>
        <w:tc>
          <w:tcPr>
            <w:tcW w:w="2400" w:type="dxa"/>
          </w:tcPr>
          <w:p>
            <w:r>
              <w:t>&gt;20%</w:t>
            </w:r>
          </w:p>
        </w:tc>
      </w:tr>
      <w:tr>
        <w:tc>
          <w:tcPr>
            <w:tcW w:w="2400" w:type="dxa"/>
          </w:tcPr>
          <w:p>
            <w:r>
              <w:t>Стабильность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Текучесть</w:t>
            </w:r>
          </w:p>
        </w:tc>
        <w:tc>
          <w:tcPr>
            <w:tcW w:w="2400" w:type="dxa"/>
          </w:tcPr>
          <w:p>
            <w:r>
              <w:t>5%</w:t>
            </w:r>
          </w:p>
        </w:tc>
        <w:tc>
          <w:tcPr>
            <w:tcW w:w="2400" w:type="dxa"/>
          </w:tcPr>
          <w:p>
            <w:r>
              <w:t>&lt;=10%</w:t>
            </w:r>
          </w:p>
        </w:tc>
        <w:tc>
          <w:tcPr>
            <w:tcW w:w="2400" w:type="dxa"/>
          </w:tcPr>
          <w:p>
            <w:r>
              <w:t>&gt;15%</w:t>
            </w:r>
          </w:p>
        </w:tc>
      </w:tr>
    </w:tbl>
    <w:p>
      <w:r>
        <w:t>• Ростовая метрика: 0 ниже красного; иначе вес×MIN(факт/зелёный;1).</w:t>
      </w:r>
    </w:p>
    <w:p>
      <w:r>
        <w:t>• Обратная метрика: полный вес до зелёного; линейное снижение до 0 между зелёным и красным; 0 выше красного.</w:t>
      </w:r>
    </w:p>
    <w:p>
      <w:r>
        <w:t>• Стабильность = 1−70%×вакансии−20%×текучесть−10%×чистый отток.</w:t>
      </w:r>
    </w:p>
    <w:p>
      <w:r>
        <w:t>• Красный или балл &lt;80% → Зона развития; балл &gt;=90% без отклонений → Высокая готовность; иначе Соответствует роли.</w:t>
      </w:r>
    </w:p>
    <w:p>
      <w:pPr>
        <w:pStyle w:val="Heading1"/>
      </w:pPr>
      <w:r>
        <w:t>6. Супервайзер — личная эффективность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Блок</w:t>
            </w:r>
          </w:p>
        </w:tc>
        <w:tc>
          <w:tcPr>
            <w:tcW w:w="2400" w:type="dxa"/>
          </w:tcPr>
          <w:p>
            <w:r>
              <w:t>Вес</w:t>
            </w:r>
          </w:p>
        </w:tc>
        <w:tc>
          <w:tcPr>
            <w:tcW w:w="2400" w:type="dxa"/>
          </w:tcPr>
          <w:p>
            <w:r>
              <w:t>Зелёный</w:t>
            </w:r>
          </w:p>
        </w:tc>
        <w:tc>
          <w:tcPr>
            <w:tcW w:w="2400" w:type="dxa"/>
          </w:tcPr>
          <w:p>
            <w:r>
              <w:t>Красный</w:t>
            </w:r>
          </w:p>
        </w:tc>
      </w:tr>
      <w:tr>
        <w:tc>
          <w:tcPr>
            <w:tcW w:w="2400" w:type="dxa"/>
          </w:tcPr>
          <w:p>
            <w:r>
              <w:t>Аттестация клиента</w:t>
            </w:r>
          </w:p>
        </w:tc>
        <w:tc>
          <w:tcPr>
            <w:tcW w:w="2400" w:type="dxa"/>
          </w:tcPr>
          <w:p>
            <w:r>
              <w:t>40%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Аттестация ОЭД</w:t>
            </w:r>
          </w:p>
        </w:tc>
        <w:tc>
          <w:tcPr>
            <w:tcW w:w="2400" w:type="dxa"/>
          </w:tcPr>
          <w:p>
            <w:r>
              <w:t>20%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Продукт ОЭД</w:t>
            </w:r>
          </w:p>
        </w:tc>
        <w:tc>
          <w:tcPr>
            <w:tcW w:w="2400" w:type="dxa"/>
          </w:tcPr>
          <w:p>
            <w:r>
              <w:t>20%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Управление ОЭД</w:t>
            </w:r>
          </w:p>
        </w:tc>
        <w:tc>
          <w:tcPr>
            <w:tcW w:w="2400" w:type="dxa"/>
          </w:tcPr>
          <w:p>
            <w:r>
              <w:t>20%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</w:tbl>
    <w:p>
      <w:r>
        <w:t>• Балл = SUM(0 или факт×вес) / SUM(доступный вес); ниже 90% блок =0.</w:t>
      </w:r>
    </w:p>
    <w:p>
      <w:r>
        <w:t>• Нет ОЭД → Новичок; балл &gt;=95%, все зелёные, класс ТОП → Высокая личная готовность; балл &gt;=90% без красных → Соответствует роли; иначе Зона развития.</w:t>
      </w:r>
    </w:p>
    <w:p>
      <w:pPr>
        <w:pStyle w:val="Heading1"/>
      </w:pPr>
      <w:r>
        <w:t>7. Территориальный менеджер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400" w:type="dxa"/>
          </w:tcPr>
          <w:p>
            <w:r>
              <w:t>Блок</w:t>
            </w:r>
          </w:p>
        </w:tc>
        <w:tc>
          <w:tcPr>
            <w:tcW w:w="2400" w:type="dxa"/>
          </w:tcPr>
          <w:p>
            <w:r>
              <w:t>Вес</w:t>
            </w:r>
          </w:p>
        </w:tc>
        <w:tc>
          <w:tcPr>
            <w:tcW w:w="2400" w:type="dxa"/>
          </w:tcPr>
          <w:p>
            <w:r>
              <w:t>Зелёный</w:t>
            </w:r>
          </w:p>
        </w:tc>
        <w:tc>
          <w:tcPr>
            <w:tcW w:w="2400" w:type="dxa"/>
          </w:tcPr>
          <w:p>
            <w:r>
              <w:t>Красный</w:t>
            </w:r>
          </w:p>
        </w:tc>
      </w:tr>
      <w:tr>
        <w:tc>
          <w:tcPr>
            <w:tcW w:w="2400" w:type="dxa"/>
          </w:tcPr>
          <w:p>
            <w:r>
              <w:t>KPI территории</w:t>
            </w:r>
          </w:p>
        </w:tc>
        <w:tc>
          <w:tcPr>
            <w:tcW w:w="2400" w:type="dxa"/>
          </w:tcPr>
          <w:p>
            <w:r>
              <w:t>30%</w:t>
            </w:r>
          </w:p>
        </w:tc>
        <w:tc>
          <w:tcPr>
            <w:tcW w:w="2400" w:type="dxa"/>
          </w:tcPr>
          <w:p>
            <w:r>
              <w:t>PICOS &gt;=98%; OSA/TOP16 &gt;=95%</w:t>
            </w:r>
          </w:p>
        </w:tc>
        <w:tc>
          <w:tcPr>
            <w:tcW w:w="2400" w:type="dxa"/>
          </w:tcPr>
          <w:p>
            <w:r>
              <w:t>компонент &lt;95%</w:t>
            </w:r>
          </w:p>
        </w:tc>
      </w:tr>
      <w:tr>
        <w:tc>
          <w:tcPr>
            <w:tcW w:w="2400" w:type="dxa"/>
          </w:tcPr>
          <w:p>
            <w:r>
              <w:t>Качество команды</w:t>
            </w:r>
          </w:p>
        </w:tc>
        <w:tc>
          <w:tcPr>
            <w:tcW w:w="2400" w:type="dxa"/>
          </w:tcPr>
          <w:p>
            <w:r>
              <w:t>20%</w:t>
            </w:r>
          </w:p>
        </w:tc>
        <w:tc>
          <w:tcPr>
            <w:tcW w:w="2400" w:type="dxa"/>
          </w:tcPr>
          <w:p>
            <w:r>
              <w:t>&gt;=60%</w:t>
            </w:r>
          </w:p>
        </w:tc>
        <w:tc>
          <w:tcPr>
            <w:tcW w:w="2400" w:type="dxa"/>
          </w:tcPr>
          <w:p>
            <w:r>
              <w:t>&lt;40%</w:t>
            </w:r>
          </w:p>
        </w:tc>
      </w:tr>
      <w:tr>
        <w:tc>
          <w:tcPr>
            <w:tcW w:w="2400" w:type="dxa"/>
          </w:tcPr>
          <w:p>
            <w:r>
              <w:t>Обучение команды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&gt;=90%</w:t>
            </w:r>
          </w:p>
        </w:tc>
        <w:tc>
          <w:tcPr>
            <w:tcW w:w="2400" w:type="dxa"/>
          </w:tcPr>
          <w:p>
            <w:r>
              <w:t>&lt;80%</w:t>
            </w:r>
          </w:p>
        </w:tc>
      </w:tr>
      <w:tr>
        <w:tc>
          <w:tcPr>
            <w:tcW w:w="2400" w:type="dxa"/>
          </w:tcPr>
          <w:p>
            <w:r>
              <w:t>Фрод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&lt;=15%</w:t>
            </w:r>
          </w:p>
        </w:tc>
        <w:tc>
          <w:tcPr>
            <w:tcW w:w="2400" w:type="dxa"/>
          </w:tcPr>
          <w:p>
            <w:r>
              <w:t>&gt;20%</w:t>
            </w:r>
          </w:p>
        </w:tc>
      </w:tr>
      <w:tr>
        <w:tc>
          <w:tcPr>
            <w:tcW w:w="2400" w:type="dxa"/>
          </w:tcPr>
          <w:p>
            <w:r>
              <w:t>Стабильность</w:t>
            </w:r>
          </w:p>
        </w:tc>
        <w:tc>
          <w:tcPr>
            <w:tcW w:w="2400" w:type="dxa"/>
          </w:tcPr>
          <w:p>
            <w:r>
              <w:t>15%</w:t>
            </w:r>
          </w:p>
        </w:tc>
        <w:tc>
          <w:tcPr>
            <w:tcW w:w="2400" w:type="dxa"/>
          </w:tcPr>
          <w:p>
            <w:r>
              <w:t>&gt;=95%</w:t>
            </w:r>
          </w:p>
        </w:tc>
        <w:tc>
          <w:tcPr>
            <w:tcW w:w="2400" w:type="dxa"/>
          </w:tcPr>
          <w:p>
            <w:r>
              <w:t>&lt;90%</w:t>
            </w:r>
          </w:p>
        </w:tc>
      </w:tr>
      <w:tr>
        <w:tc>
          <w:tcPr>
            <w:tcW w:w="2400" w:type="dxa"/>
          </w:tcPr>
          <w:p>
            <w:r>
              <w:t>Текучесть</w:t>
            </w:r>
          </w:p>
        </w:tc>
        <w:tc>
          <w:tcPr>
            <w:tcW w:w="2400" w:type="dxa"/>
          </w:tcPr>
          <w:p>
            <w:r>
              <w:t>5%</w:t>
            </w:r>
          </w:p>
        </w:tc>
        <w:tc>
          <w:tcPr>
            <w:tcW w:w="2400" w:type="dxa"/>
          </w:tcPr>
          <w:p>
            <w:r>
              <w:t>&lt;=10%</w:t>
            </w:r>
          </w:p>
        </w:tc>
        <w:tc>
          <w:tcPr>
            <w:tcW w:w="2400" w:type="dxa"/>
          </w:tcPr>
          <w:p>
            <w:r>
              <w:t>&gt;15%</w:t>
            </w:r>
          </w:p>
        </w:tc>
      </w:tr>
    </w:tbl>
    <w:p>
      <w:r>
        <w:t>• Цель KPI территории = SUM(цель компонента×фактический вес компонента) / SUM(вес).</w:t>
      </w:r>
    </w:p>
    <w:p>
      <w:r>
        <w:t>• Нет красных → Высокая эффективность; красный и балл &lt;80% → Зона риска; иначе Зона развития.</w:t>
      </w:r>
    </w:p>
    <w:p>
      <w:pPr>
        <w:pStyle w:val="Heading1"/>
      </w:pPr>
      <w:r>
        <w:t>8. Адаптация новичка</w:t>
      </w:r>
    </w:p>
    <w:p>
      <w:r>
        <w:t>• Разрыв с опытными = ОКК 2-го месяца − ОКК опытных региона.</w:t>
      </w:r>
    </w:p>
    <w:p>
      <w:r>
        <w:t>• Операционная готовность = (I[ОКК2&gt;=60%]+I[ОКК2&gt;=ОКК1]+I[разрыв&gt;=−5%]) / 3.</w:t>
      </w:r>
    </w:p>
    <w:p>
      <w:r>
        <w:t>• Готовность новичка = MIN(обязательное обучение закрыто %; операционная готовность).</w:t>
      </w:r>
    </w:p>
    <w:p>
      <w:r>
        <w:t>• Вышел на уровень: обучение &gt;=95%, ОКК2 &gt;=60%, разрыв &gt;=−5%.</w:t>
      </w:r>
    </w:p>
    <w:p>
      <w:r>
        <w:t>• Нужна поддержка: обучение &lt;90% или ОКК2 &lt;50% или ОКК2 &lt; ОКК1.</w:t>
      </w:r>
    </w:p>
    <w:p>
      <w:pPr>
        <w:pStyle w:val="Heading1"/>
      </w:pPr>
      <w:r>
        <w:t>9. Климат</w:t>
      </w:r>
    </w:p>
    <w:p>
      <w:r>
        <w:t>• eNPS = (промоутеры−критики)/ответы×100.</w:t>
      </w:r>
    </w:p>
    <w:p>
      <w:r>
        <w:t>• Риск ухода = ответы высокого риска / ответы с оценённым риском.</w:t>
      </w:r>
    </w:p>
    <w:p>
      <w:r>
        <w:t>• Минимум ответов = 10.</w:t>
      </w:r>
    </w:p>
    <w:p>
      <w:r>
        <w:t>• Высокий риск: риск &gt;=24% или удовлетворённость &lt;55%.</w:t>
      </w:r>
    </w:p>
    <w:p>
      <w:r>
        <w:t>• Контроль: риск &gt;=18% или удовлетворённость &lt;63%; иначе Стабильно.</w:t>
      </w:r>
    </w:p>
    <w:sectPr>
      <w:pgSz w:w="11906" w:h="16838"/>
      <w:pgMar w:top="900" w:right="700" w:bottom="900" w:left="700" w:header="500" w:footer="50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HN BI: формулы расчётов</dc:title>
  <dc:creator>Codex</dc:creator>
  <dcterms:created xsi:type="dcterms:W3CDTF">2026-08-26T19:37:40</dcterms:created>
  <dcterms:modified xsi:type="dcterms:W3CDTF">2026-08-26T19:37:40</dcterms:modified>
</cp:coreProperties>
</file>