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90.png" ContentType="image/png"/>
  <Override PartName="/word/media/rId93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VCFcache</w:t>
      </w:r>
      <w:r>
        <w:t xml:space="preserve"> </w:t>
      </w:r>
      <w:r>
        <w:t xml:space="preserve">reduces</w:t>
      </w:r>
      <w:r>
        <w:t xml:space="preserve"> </w:t>
      </w:r>
      <w:r>
        <w:t xml:space="preserve">redundant</w:t>
      </w:r>
      <w:r>
        <w:t xml:space="preserve"> </w:t>
      </w:r>
      <w:r>
        <w:t xml:space="preserve">computation</w:t>
      </w:r>
      <w:r>
        <w:t xml:space="preserve"> </w:t>
      </w:r>
      <w:r>
        <w:t xml:space="preserve">in</w:t>
      </w:r>
      <w:r>
        <w:t xml:space="preserve"> </w:t>
      </w:r>
      <w:r>
        <w:t xml:space="preserve">repeated</w:t>
      </w:r>
      <w:r>
        <w:t xml:space="preserve"> </w:t>
      </w:r>
      <w:r>
        <w:t xml:space="preserve">variant</w:t>
      </w:r>
      <w:r>
        <w:t xml:space="preserve"> </w:t>
      </w:r>
      <w:r>
        <w:t xml:space="preserve">annotation</w:t>
      </w:r>
    </w:p>
    <w:p>
      <w:pPr>
        <w:pStyle w:val="Subtitle"/>
      </w:pPr>
      <w:r>
        <w:t xml:space="preserve">Technical</w:t>
      </w:r>
      <w:r>
        <w:t xml:space="preserve"> </w:t>
      </w:r>
      <w:r>
        <w:t xml:space="preserve">Note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LIST</w:t>
      </w:r>
      <w:r>
        <w:t xml:space="preserve"> </w:t>
      </w:r>
      <w:r>
        <w:t xml:space="preserve">TO</w:t>
      </w:r>
      <w:r>
        <w:t xml:space="preserve"> </w:t>
      </w:r>
      <w:r>
        <w:t xml:space="preserve">COMPLETE]</w:t>
      </w:r>
    </w:p>
    <w:p>
      <w:pPr>
        <w:pStyle w:val="Date"/>
      </w:pPr>
      <w:r>
        <w:t xml:space="preserve">2026-09-01</w:t>
      </w:r>
    </w:p>
    <w:p>
      <w:pPr>
        <w:pStyle w:val="FirstParagraph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Reusing variant annotations with VCFcache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[AFFILIATIONS TO COMPLETE]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[NAME, POSTAL ADDRESS, EMAIL, AND ORCID TO COMPLETE]</w:t>
      </w:r>
    </w:p>
    <w:p>
      <w:pPr>
        <w:pStyle w:val="BodyText"/>
      </w:pPr>
      <w:r>
        <w:rPr>
          <w:bCs/>
          <w:b/>
        </w:rPr>
        <w:t xml:space="preserve">Article type:</w:t>
      </w:r>
      <w:r>
        <w:t xml:space="preserve"> </w:t>
      </w:r>
      <w:r>
        <w:t xml:space="preserve">Technical Note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Variant annotators repeatedly compute the same consequences</w:t>
      </w:r>
      <w:r>
        <w:t xml:space="preserve"> </w:t>
      </w:r>
      <w:r>
        <w:t xml:space="preserve">when alleles recur across samples. VCFcache stores the output of a fixed</w:t>
      </w:r>
      <w:r>
        <w:t xml:space="preserve"> </w:t>
      </w:r>
      <w:r>
        <w:t xml:space="preserve">annotation recipe and sends only cache misses to the original annotator.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In 12 independent GRCh38 genomes using a bundled gnomAD</w:t>
      </w:r>
      <w:r>
        <w:t xml:space="preserve"> </w:t>
      </w:r>
      <w:r>
        <w:t xml:space="preserve">allele-frequency (AF) ≥1% cache, median whole-genome sequencing speedups were</w:t>
      </w:r>
      <w:r>
        <w:t xml:space="preserve"> </w:t>
      </w:r>
      <w:r>
        <w:t xml:space="preserve">9.50-fold for Ensembl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2.54-fold for clinical fastVEP and</w:t>
      </w:r>
      <w:r>
        <w:t xml:space="preserve"> </w:t>
      </w:r>
      <w:r>
        <w:t xml:space="preserve">10.78-fold for clinical SnpEff. Corresponding exome speedups were 2.29-, 0.93-</w:t>
      </w:r>
      <w:r>
        <w:t xml:space="preserve"> </w:t>
      </w:r>
      <w:r>
        <w:t xml:space="preserve">and 2.66-fold, showing that very short workflows may not recover fixed cache</w:t>
      </w:r>
      <w:r>
        <w:t xml:space="preserve"> </w:t>
      </w:r>
      <w:r>
        <w:t xml:space="preserve">costs. Across 52 held-out genomes, bundled AF ≥10%, bundled AF ≥1% and disjoint</w:t>
      </w:r>
      <w:r>
        <w:t xml:space="preserve"> </w:t>
      </w:r>
      <w:r>
        <w:t xml:space="preserve">three-genome cohort caches accelerated VEP 4.75-, 9.21- and 4.59-fold and</w:t>
      </w:r>
      <w:r>
        <w:t xml:space="preserve"> </w:t>
      </w:r>
      <w:r>
        <w:t xml:space="preserve">fastVEP 1.84-, 2.05- and 1.81-fold. Controlled VEP pipelines spanning</w:t>
      </w:r>
      <w:r>
        <w:t xml:space="preserve"> </w:t>
      </w:r>
      <w:r>
        <w:t xml:space="preserve">4.2–22.7 hours returned 3.3–20.5 hours per genome as annotation work increased.</w:t>
      </w:r>
      <w:r>
        <w:t xml:space="preserve"> </w:t>
      </w:r>
      <w:r>
        <w:t xml:space="preserve">Three-genome cohort caches broke even after two subsequent genomes; at 1,000</w:t>
      </w:r>
      <w:r>
        <w:t xml:space="preserve"> </w:t>
      </w:r>
      <w:r>
        <w:t xml:space="preserve">genomes, measured VEP rates corresponded to 39.1–86.7 compute days returned.</w:t>
      </w:r>
      <w:r>
        <w:t xml:space="preserve"> </w:t>
      </w:r>
      <w:r>
        <w:t xml:space="preserve">All 176 evaluable direct/cached comparisons in the final clinical campaign</w:t>
      </w:r>
      <w:r>
        <w:t xml:space="preserve"> </w:t>
      </w:r>
      <w:r>
        <w:t xml:space="preserve">were semantically concordant, with no cache-attributable annotation mismatch.</w:t>
      </w:r>
    </w:p>
    <w:p>
      <w:pPr>
        <w:pStyle w:val="BodyText"/>
      </w:pPr>
      <w:r>
        <w:rPr>
          <w:bCs/>
          <w:b/>
        </w:rPr>
        <w:t xml:space="preserve">Conclusions:</w:t>
      </w:r>
      <w:r>
        <w:t xml:space="preserve"> </w:t>
      </w:r>
      <w:r>
        <w:t xml:space="preserve">Relative acceleration is governed by cache coverage and</w:t>
      </w:r>
      <w:r>
        <w:t xml:space="preserve"> </w:t>
      </w:r>
      <w:r>
        <w:t xml:space="preserve">recoverable per-variant work, whereas absolute time saved increases with</w:t>
      </w:r>
      <w:r>
        <w:t xml:space="preserve"> </w:t>
      </w:r>
      <w:r>
        <w:t xml:space="preserve">pipeline cost. VCFcache therefore benefits annotation-rich cohorts most while</w:t>
      </w:r>
      <w:r>
        <w:t xml:space="preserve"> </w:t>
      </w:r>
      <w:r>
        <w:t xml:space="preserve">retaining the configured annotator as the authority for every cache miss.</w:t>
      </w:r>
    </w:p>
    <w:bookmarkEnd w:id="20"/>
    <w:bookmarkStart w:id="21" w:name="keywords"/>
    <w:p>
      <w:pPr>
        <w:pStyle w:val="Heading1"/>
      </w:pPr>
      <w:r>
        <w:t xml:space="preserve">Keywords</w:t>
      </w:r>
    </w:p>
    <w:p>
      <w:pPr>
        <w:pStyle w:val="FirstParagraph"/>
      </w:pPr>
      <w:r>
        <w:t xml:space="preserve">variant annotation; VCF; BCF; caching; Ensembl VEP; fastVEP; workflow</w:t>
      </w:r>
      <w:r>
        <w:t xml:space="preserve"> </w:t>
      </w:r>
      <w:r>
        <w:t xml:space="preserve">acceleration; reproducible bioinformatics</w:t>
      </w:r>
    </w:p>
    <w:bookmarkEnd w:id="21"/>
    <w:bookmarkStart w:id="40" w:name="findings"/>
    <w:p>
      <w:pPr>
        <w:pStyle w:val="Heading1"/>
      </w:pPr>
      <w:r>
        <w:t xml:space="preserve">Findings</w:t>
      </w:r>
    </w:p>
    <w:bookmarkStart w:id="25" w:name="Xe533f09d581a44ece50fcb9b48e9a847afe6b1e"/>
    <w:p>
      <w:pPr>
        <w:pStyle w:val="Heading2"/>
      </w:pPr>
      <w:r>
        <w:t xml:space="preserve">VCFcache reuses complete annotation recipes</w:t>
      </w:r>
    </w:p>
    <w:p>
      <w:pPr>
        <w:pStyle w:val="FirstParagraph"/>
      </w:pPr>
      <w:r>
        <w:t xml:space="preserve">Variant annotation repeatedly evaluates alleles shared among samples. Local</w:t>
      </w:r>
      <w:r>
        <w:t xml:space="preserve"> </w:t>
      </w:r>
      <w:r>
        <w:t xml:space="preserve">VEP or SnpEff data caches avoid repeated database downloads, but each invocation</w:t>
      </w:r>
      <w:r>
        <w:t xml:space="preserve"> </w:t>
      </w:r>
      <w:r>
        <w:t xml:space="preserve">still computes every requested consequence</w:t>
      </w:r>
      <w:r>
        <w:t xml:space="preserve"> </w:t>
      </w:r>
      <w:r>
        <w:t xml:space="preserve">[</w:t>
      </w:r>
      <w:hyperlink w:anchor="ref-mclaren2016vep">
        <w:r>
          <w:rPr>
            <w:rStyle w:val="Hyperlink"/>
          </w:rPr>
          <w:t xml:space="preserve">1</w:t>
        </w:r>
      </w:hyperlink>
      <w:r>
        <w:t xml:space="preserve">,</w:t>
      </w:r>
      <w:hyperlink w:anchor="ref-cingolani2012snpeff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Field-transfer tools can copy selected columns from a</w:t>
      </w:r>
      <w:r>
        <w:t xml:space="preserve"> </w:t>
      </w:r>
      <w:r>
        <w:t xml:space="preserve">donor VCF, but do not define how missing alleles traverse a composite pipeline</w:t>
      </w:r>
      <w:r>
        <w:t xml:space="preserve"> </w:t>
      </w:r>
      <w:r>
        <w:t xml:space="preserve">[</w:t>
      </w:r>
      <w:hyperlink w:anchor="ref-danecek2021bcftools">
        <w:r>
          <w:rPr>
            <w:rStyle w:val="Hyperlink"/>
          </w:rPr>
          <w:t xml:space="preserve">3</w:t>
        </w:r>
      </w:hyperlink>
      <w:r>
        <w:t xml:space="preserve">,</w:t>
      </w:r>
      <w:hyperlink w:anchor="ref-vcfanno2016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VCFcache instead stores the completed</w:t>
      </w:r>
      <w:r>
        <w:t xml:space="preserve"> </w:t>
      </w:r>
      <w:r>
        <w:t xml:space="preserve">output of a frozen recipe: annotator version, flags, plugins and supplementary</w:t>
      </w:r>
      <w:r>
        <w:t xml:space="preserve"> </w:t>
      </w:r>
      <w:r>
        <w:t xml:space="preserve">databases. For each new sample, cached alleles are retrieved, misses pass</w:t>
      </w:r>
      <w:r>
        <w:t xml:space="preserve"> </w:t>
      </w:r>
      <w:r>
        <w:t xml:space="preserve">through the same recipe, and both paths are assembled as a sorted, indexed BCF</w:t>
      </w:r>
      <w:r>
        <w:t xml:space="preserve"> </w:t>
      </w:r>
      <w:r>
        <w:t xml:space="preserve">(Figure 1).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main_v4/figure1_workflow_and_value_v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1: VCFcache reuses annotation work without changing the completed</w:t>
      </w:r>
      <w:r>
        <w:rPr>
          <w:bCs/>
          <w:b/>
        </w:rPr>
        <w:t xml:space="preserve"> </w:t>
      </w:r>
      <w:r>
        <w:rPr>
          <w:bCs/>
          <w:b/>
        </w:rPr>
        <w:t xml:space="preserve">record set.</w:t>
      </w:r>
      <w:r>
        <w:t xml:space="preserve"> </w:t>
      </w:r>
      <w:r>
        <w:t xml:space="preserve">(A) Each input VCF is matched against a recipe-specific cache.</w:t>
      </w:r>
      <w:r>
        <w:t xml:space="preserve"> </w:t>
      </w:r>
      <w:r>
        <w:t xml:space="preserve">Existing annotations are retrieved, only cache misses are sent to the configured</w:t>
      </w:r>
      <w:r>
        <w:t xml:space="preserve"> </w:t>
      </w:r>
      <w:r>
        <w:t xml:space="preserve">annotator, and both streams are merged and sorted into a complete output VCF.</w:t>
      </w:r>
      <w:r>
        <w:t xml:space="preserve"> </w:t>
      </w:r>
      <w:r>
        <w:t xml:space="preserve">Users may download a ready-to-use recipe cache or a blueprint from Zenodo. (B)</w:t>
      </w:r>
      <w:r>
        <w:t xml:space="preserve"> </w:t>
      </w:r>
      <w:r>
        <w:t xml:space="preserve">Benefit is governed by cache coverage, the cost of the underlying annotation</w:t>
      </w:r>
      <w:r>
        <w:t xml:space="preserve"> </w:t>
      </w:r>
      <w:r>
        <w:t xml:space="preserve">recipe and the number of samples over which any local cache build is amortized.</w:t>
      </w:r>
      <w:r>
        <w:t xml:space="preserve"> </w:t>
      </w:r>
      <w:r>
        <w:t xml:space="preserve">BCF, binary variant call format; VCF, variant call format.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variants, annotator start-up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</m:sSub>
      </m:oMath>
      <w:r>
        <w:t xml:space="preserve">, per-variant cost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</m:sSub>
      </m:oMath>
      <w:r>
        <w:t xml:space="preserve">, cache hit rate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VCFcache processing cost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+</m:t>
          </m:r>
          <m:r>
            <m:t>N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e>
          </m:d>
          <m:r>
            <m:t>N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Caching helps when</w:t>
      </w:r>
      <w:r>
        <w:t xml:space="preserve"> </w:t>
      </w:r>
      <m:oMath>
        <m:r>
          <m:t>f</m:t>
        </m:r>
        <m:r>
          <m:t>N</m:t>
        </m:r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&gt;</m:t>
        </m:r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. It can return per-variant work,</w:t>
      </w:r>
      <w:r>
        <w:t xml:space="preserve"> </w:t>
      </w:r>
      <w:r>
        <w:t xml:space="preserve">but not annotator start-up; high coverage therefore need not accelerate very</w:t>
      </w:r>
      <w:r>
        <w:t xml:space="preserve"> </w:t>
      </w:r>
      <w:r>
        <w:t xml:space="preserve">small inputs or minimal recipes. A custom cache’s one-time build cost is</w:t>
      </w:r>
      <w:r>
        <w:t xml:space="preserve"> </w:t>
      </w:r>
      <w:r>
        <w:t xml:space="preserve">amortized as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uses.</w:t>
      </w:r>
    </w:p>
    <w:bookmarkEnd w:id="25"/>
    <w:bookmarkStart w:id="29" w:name="Xe7e477e8621b8e3a8fa3d78d43945c4caff9ff9"/>
    <w:p>
      <w:pPr>
        <w:pStyle w:val="Heading2"/>
      </w:pPr>
      <w:r>
        <w:t xml:space="preserve">Assay scale and annotation cost determine practical benefit</w:t>
      </w:r>
    </w:p>
    <w:p>
      <w:pPr>
        <w:pStyle w:val="FirstParagraph"/>
      </w:pPr>
      <w:r>
        <w:t xml:space="preserve">Twelve independent GRCh38 genomes (six KPGP and six SGDP) were represented as</w:t>
      </w:r>
      <w:r>
        <w:t xml:space="preserve"> </w:t>
      </w:r>
      <w:r>
        <w:t xml:space="preserve">matched ACMG panel, WES and WGS inputs and evaluated with the bundled gnomAD</w:t>
      </w:r>
      <w:r>
        <w:t xml:space="preserve"> </w:t>
      </w:r>
      <w:r>
        <w:t xml:space="preserve">AF ≥1% cache. Each native annotator configuration was compared only with its</w:t>
      </w:r>
      <w:r>
        <w:t xml:space="preserve"> </w:t>
      </w:r>
      <w:r>
        <w:t xml:space="preserve">own direct baseline.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 </w:t>
      </w:r>
      <w:r>
        <w:t xml:space="preserve">produced median speedups of 0.71-,</w:t>
      </w:r>
      <w:r>
        <w:t xml:space="preserve"> </w:t>
      </w:r>
      <w:r>
        <w:t xml:space="preserve">2.29- and 9.50-fold for Panel, WES and WGS, respectively. The corresponding</w:t>
      </w:r>
      <w:r>
        <w:t xml:space="preserve"> </w:t>
      </w:r>
      <w:r>
        <w:t xml:space="preserve">values were 0.46-, 0.93- and 2.54-fold for clinical fastVEP and 1.06-, 2.66-</w:t>
      </w:r>
      <w:r>
        <w:t xml:space="preserve"> </w:t>
      </w:r>
      <w:r>
        <w:t xml:space="preserve">and 10.78-fold for clinical SnpEff (Figure 2). Thus fixed lookup and output</w:t>
      </w:r>
      <w:r>
        <w:t xml:space="preserve"> </w:t>
      </w:r>
      <w:r>
        <w:t xml:space="preserve">costs can outweigh saved work for small inputs, whereas WGS contained enough</w:t>
      </w:r>
      <w:r>
        <w:t xml:space="preserve"> </w:t>
      </w:r>
      <w:r>
        <w:t xml:space="preserve">recoverable work to accelerate all three configurations.</w:t>
      </w:r>
    </w:p>
    <w:p>
      <w:pPr>
        <w:pStyle w:val="BodyText"/>
      </w:pPr>
      <w:r>
        <w:drawing>
          <wp:inline>
            <wp:extent cx="5334000" cy="4667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main_v4/figure2_empirical_time_and_throughput_v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2: VCFcache returns most WGS annotation time across three native</w:t>
      </w:r>
      <w:r>
        <w:rPr>
          <w:bCs/>
          <w:b/>
        </w:rPr>
        <w:t xml:space="preserve"> </w:t>
      </w:r>
      <w:r>
        <w:rPr>
          <w:bCs/>
          <w:b/>
        </w:rPr>
        <w:t xml:space="preserve">annotator configurations.</w:t>
      </w:r>
      <w:r>
        <w:t xml:space="preserve"> </w:t>
      </w:r>
      <w:r>
        <w:t xml:space="preserve">Twelve independent GRCh38 genomes were tested as</w:t>
      </w:r>
      <w:r>
        <w:t xml:space="preserve"> </w:t>
      </w:r>
      <w:r>
        <w:t xml:space="preserve">ACMG SF v3.3 Panel, Twist Human Core Exome WES and WGS inputs with the bundled</w:t>
      </w:r>
      <w:r>
        <w:t xml:space="preserve"> </w:t>
      </w:r>
      <w:r>
        <w:t xml:space="preserve">gnomAD AF ≥1% strategy. VEP used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; fastVEP and SnpEff used their</w:t>
      </w:r>
      <w:r>
        <w:t xml:space="preserve"> </w:t>
      </w:r>
      <w:r>
        <w:t xml:space="preserve">clinical recipes. Configurations are compared only against their own direct</w:t>
      </w:r>
      <w:r>
        <w:t xml:space="preserve"> </w:t>
      </w:r>
      <w:r>
        <w:t xml:space="preserve">baseline. (A) Distribution of end-to-end runtime remaining after caching; the</w:t>
      </w:r>
      <w:r>
        <w:t xml:space="preserve"> </w:t>
      </w:r>
      <w:r>
        <w:t xml:space="preserve">dashed line marks equal runtime. (B) Median serial throughput calculated as</w:t>
      </w:r>
      <w:r>
        <w:t xml:space="preserve"> </w:t>
      </w:r>
      <w:r>
        <w:t xml:space="preserve">86,400 seconds divided by median per-sample wall time; open circles denote</w:t>
      </w:r>
      <w:r>
        <w:t xml:space="preserve"> </w:t>
      </w:r>
      <w:r>
        <w:t xml:space="preserve">direct annotation and arrowheads denote VCFcache. Cohort shapes identify</w:t>
      </w:r>
      <w:r>
        <w:t xml:space="preserve"> </w:t>
      </w:r>
      <w:r>
        <w:t xml:space="preserve">independent biological samples. AF, allele frequency; KPGP, Korean Personal</w:t>
      </w:r>
      <w:r>
        <w:t xml:space="preserve"> </w:t>
      </w:r>
      <w:r>
        <w:t xml:space="preserve">Genome Project; SGDP, Simons Genome Diversity Project; VEP, Variant Effect</w:t>
      </w:r>
      <w:r>
        <w:t xml:space="preserve"> </w:t>
      </w:r>
      <w:r>
        <w:t xml:space="preserve">Predictor; WES, whole-exome sequencing; WGS, whole-genome sequencing.</w:t>
      </w:r>
    </w:p>
    <w:p>
      <w:pPr>
        <w:pStyle w:val="BodyText"/>
      </w:pPr>
      <w:r>
        <w:t xml:space="preserve">For WGS, median serial throughput increased from 9.3 to 88.4 genomes per day</w:t>
      </w:r>
      <w:r>
        <w:t xml:space="preserve"> </w:t>
      </w:r>
      <w:r>
        <w:t xml:space="preserve">for VEP, from 186.3 to 471.2 for fastVEP and from 9.9 to 105.4 for SnpEff under</w:t>
      </w:r>
      <w:r>
        <w:t xml:space="preserve"> </w:t>
      </w:r>
      <w:r>
        <w:t xml:space="preserve">the benchmark allocations. These values show the operational effect of reuse</w:t>
      </w:r>
      <w:r>
        <w:t xml:space="preserve"> </w:t>
      </w:r>
      <w:r>
        <w:t xml:space="preserve">within each recipe; they are not a ranking of annotators because the native</w:t>
      </w:r>
      <w:r>
        <w:t xml:space="preserve"> </w:t>
      </w:r>
      <w:r>
        <w:t xml:space="preserve">recipes intentionally differ in annotation scope.</w:t>
      </w:r>
    </w:p>
    <w:bookmarkEnd w:id="29"/>
    <w:bookmarkStart w:id="33" w:name="Xd4adbc89014ee33b7836cd8dfbddc4c5e458e79"/>
    <w:p>
      <w:pPr>
        <w:pStyle w:val="Heading2"/>
      </w:pPr>
      <w:r>
        <w:t xml:space="preserve">Cache coverage defines opportunity; pipeline cost determines time returned</w:t>
      </w:r>
    </w:p>
    <w:p>
      <w:pPr>
        <w:pStyle w:val="FirstParagraph"/>
      </w:pPr>
      <w:r>
        <w:t xml:space="preserve">Across the 108 matched GRCh38 sample-tool-assay pairs, runtime remaining</w:t>
      </w:r>
      <w:r>
        <w:t xml:space="preserve"> </w:t>
      </w:r>
      <w:r>
        <w:t xml:space="preserve">approached the zero-overhead expectation,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, as direct annotation became</w:t>
      </w:r>
      <w:r>
        <w:t xml:space="preserve"> </w:t>
      </w:r>
      <w:r>
        <w:t xml:space="preserve">more expensive (Figure 3A). The deviation for Panel and some WES cells shows</w:t>
      </w:r>
      <w:r>
        <w:t xml:space="preserve"> </w:t>
      </w:r>
      <w:r>
        <w:t xml:space="preserve">the fixed cost represented by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; hit rate alone is insufficient to predict</w:t>
      </w:r>
      <w:r>
        <w:t xml:space="preserve"> </w:t>
      </w:r>
      <w:r>
        <w:t xml:space="preserve">benefit for short jobs.</w:t>
      </w:r>
    </w:p>
    <w:p>
      <w:pPr>
        <w:pStyle w:val="BodyText"/>
      </w:pPr>
      <w:r>
        <w:drawing>
          <wp:inline>
            <wp:extent cx="5334000" cy="48895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main_v4/figure3_runtime_rule_v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3: Cache coverage defines the theoretical opportunity, while</w:t>
      </w:r>
      <w:r>
        <w:rPr>
          <w:bCs/>
          <w:b/>
        </w:rPr>
        <w:t xml:space="preserve"> </w:t>
      </w:r>
      <w:r>
        <w:rPr>
          <w:bCs/>
          <w:b/>
        </w:rPr>
        <w:t xml:space="preserve">annotation cost determines how much time is returned.</w:t>
      </w:r>
      <w:r>
        <w:t xml:space="preserve"> </w:t>
      </w:r>
      <w:r>
        <w:t xml:space="preserve">(A) Observed runtime</w:t>
      </w:r>
      <w:r>
        <w:t xml:space="preserve"> </w:t>
      </w:r>
      <w:r>
        <w:t xml:space="preserve">remaining for 108 matched GRCh38 sample-tool-assay pairs. Dashed curves show</w:t>
      </w:r>
      <w:r>
        <w:t xml:space="preserve"> </w:t>
      </w:r>
      <w:r>
        <w:t xml:space="preserve">the zero-overhead expectation,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, for hit rate</w:t>
      </w:r>
      <w:r>
        <w:t xml:space="preserve"> </w:t>
      </w:r>
      <m:oMath>
        <m:r>
          <m:t>f</m:t>
        </m:r>
      </m:oMath>
      <w:r>
        <w:t xml:space="preserve">; point area represents</w:t>
      </w:r>
      <w:r>
        <w:t xml:space="preserve"> </w:t>
      </w:r>
      <w:r>
        <w:t xml:space="preserve">direct annotation time. Fixed lookup, preprocessing and output costs dominate</w:t>
      </w:r>
      <w:r>
        <w:t xml:space="preserve"> </w:t>
      </w:r>
      <w:r>
        <w:t xml:space="preserve">very short Panel jobs but become small relative to WGS annotation. (B) One</w:t>
      </w:r>
      <w:r>
        <w:t xml:space="preserve"> </w:t>
      </w:r>
      <w:r>
        <w:t xml:space="preserve">4.80-million-variant KPGP genome was processed with six controlled VEP loads</w:t>
      </w:r>
      <w:r>
        <w:t xml:space="preserve"> </w:t>
      </w:r>
      <w:r>
        <w:t xml:space="preserve">and bundled gnomAD AF ≥10% and AF ≥1% caches. Solid lines show observed hours</w:t>
      </w:r>
      <w:r>
        <w:t xml:space="preserve"> </w:t>
      </w:r>
      <w:r>
        <w:t xml:space="preserve">returned as pipeline cost increases; dashed lines show the cache-coverage</w:t>
      </w:r>
      <w:r>
        <w:t xml:space="preserve"> </w:t>
      </w:r>
      <w:r>
        <w:t xml:space="preserve">opportunity,</w:t>
      </w:r>
      <w:r>
        <w:t xml:space="preserve"> </w:t>
      </w:r>
      <m:oMath>
        <m:r>
          <m:t>f</m:t>
        </m:r>
        <m:r>
          <m:rPr>
            <m:sty m:val="p"/>
          </m:rPr>
          <m:t>×</m:t>
        </m:r>
      </m:oMath>
      <w:r>
        <w:t xml:space="preserve"> </w:t>
      </w:r>
      <w:r>
        <w:t xml:space="preserve">direct runtime. All 12 outputs passed semantic</w:t>
      </w:r>
      <w:r>
        <w:t xml:space="preserve"> </w:t>
      </w:r>
      <w:r>
        <w:t xml:space="preserve">comparison. AF, allele frequency; KPGP, Korean Personal Genome Project; VEP,</w:t>
      </w:r>
      <w:r>
        <w:t xml:space="preserve"> </w:t>
      </w:r>
      <w:r>
        <w:t xml:space="preserve">Variant Effect Predictor; WGS, whole-genome sequencing.</w:t>
      </w:r>
    </w:p>
    <w:p>
      <w:pPr>
        <w:pStyle w:val="BodyText"/>
      </w:pPr>
      <w:r>
        <w:t xml:space="preserve">The controlled VEP recipes spanned 4.2–22.7 hours without changing their</w:t>
      </w:r>
      <w:r>
        <w:t xml:space="preserve"> </w:t>
      </w:r>
      <w:r>
        <w:t xml:space="preserve">annotation content. At 80.23% cache coverage, 19.7–21.7% of direct wall time</w:t>
      </w:r>
      <w:r>
        <w:t xml:space="preserve"> </w:t>
      </w:r>
      <w:r>
        <w:t xml:space="preserve">remained (4.62–5.07-fold speedup); at 90.26% coverage, 9.9–11.9% remained</w:t>
      </w:r>
      <w:r>
        <w:t xml:space="preserve"> </w:t>
      </w:r>
      <w:r>
        <w:t xml:space="preserve">(8.39–10.10-fold). For the longest recipe, VCFcache returned 18.19 and 20.45</w:t>
      </w:r>
      <w:r>
        <w:t xml:space="preserve"> </w:t>
      </w:r>
      <w:r>
        <w:t xml:space="preserve">hours per genome at the two cache depths. Measured and coverage-predicted</w:t>
      </w:r>
      <w:r>
        <w:t xml:space="preserve"> </w:t>
      </w:r>
      <w:r>
        <w:t xml:space="preserve">relative runtimes differed by at most 0.56 percentage points. Relative speedup</w:t>
      </w:r>
      <w:r>
        <w:t xml:space="preserve"> </w:t>
      </w:r>
      <w:r>
        <w:t xml:space="preserve">therefore approaches a hit-rate ceiling even while the absolute time returned</w:t>
      </w:r>
      <w:r>
        <w:t xml:space="preserve"> </w:t>
      </w:r>
      <w:r>
        <w:t xml:space="preserve">continues to grow with pipeline cost.</w:t>
      </w:r>
    </w:p>
    <w:bookmarkEnd w:id="33"/>
    <w:bookmarkStart w:id="37" w:name="Xbc85f61ffb1a7425a5b03317711322017de315d"/>
    <w:p>
      <w:pPr>
        <w:pStyle w:val="Heading2"/>
      </w:pPr>
      <w:r>
        <w:t xml:space="preserve">Public and cohort caches support different deployment models</w:t>
      </w:r>
    </w:p>
    <w:p>
      <w:pPr>
        <w:pStyle w:val="FirstParagraph"/>
      </w:pPr>
      <w:r>
        <w:t xml:space="preserve">We next evaluated 20 KPGP, 20 SGDP and 12 Harvard PGP genomes</w:t>
      </w:r>
      <w:r>
        <w:t xml:space="preserve"> </w:t>
      </w:r>
      <w:r>
        <w:t xml:space="preserve">[</w:t>
      </w:r>
      <w:hyperlink w:anchor="ref-kpgp_data">
        <w:r>
          <w:rPr>
            <w:rStyle w:val="Hyperlink"/>
          </w:rPr>
          <w:t xml:space="preserve">5</w:t>
        </w:r>
      </w:hyperlink>
      <w:r>
        <w:t xml:space="preserve">–</w:t>
      </w:r>
      <w:hyperlink w:anchor="ref-ball2012pg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. KPGP and SGDP remained in GRCh38</w:t>
      </w:r>
      <w:r>
        <w:t xml:space="preserve"> </w:t>
      </w:r>
      <w:r>
        <w:t xml:space="preserve">and PGP in GRCh37. Three additional, disjoint genomes from each provider formed</w:t>
      </w:r>
      <w:r>
        <w:t xml:space="preserve"> </w:t>
      </w:r>
      <w:r>
        <w:t xml:space="preserve">cohort caches; relatedness screening prevented a second-degree-or-closer</w:t>
      </w:r>
      <w:r>
        <w:t xml:space="preserve"> </w:t>
      </w:r>
      <w:r>
        <w:t xml:space="preserve">training/evaluation pair. The public alternatives were bundled,</w:t>
      </w:r>
      <w:r>
        <w:t xml:space="preserve"> </w:t>
      </w:r>
      <w:r>
        <w:t xml:space="preserve">assembly-matched gnomAD v4.1 caches containing alleles reaching AF ≥10% or</w:t>
      </w:r>
      <w:r>
        <w:t xml:space="preserve"> </w:t>
      </w:r>
      <w:r>
        <w:t xml:space="preserve">AF ≥1% in any reported frequency stratum</w:t>
      </w:r>
      <w:r>
        <w:t xml:space="preserve"> </w:t>
      </w:r>
      <w:r>
        <w:t xml:space="preserve">[</w:t>
      </w:r>
      <w:hyperlink w:anchor="ref-gnomad2024release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Across these 52 held-out genomes, VEP median end-to-end speedups were 4.75-fold</w:t>
      </w:r>
      <w:r>
        <w:t xml:space="preserve"> </w:t>
      </w:r>
      <w:r>
        <w:t xml:space="preserve">(AF ≥10%), 9.21-fold (AF ≥1%) and 4.59-fold (cohort cache). With the core</w:t>
      </w:r>
      <w:r>
        <w:t xml:space="preserve"> </w:t>
      </w:r>
      <w:r>
        <w:t xml:space="preserve">fastVEP recipe, they were 1.84-, 2.05- and 1.81-fold. Median AF ≥1% coverage</w:t>
      </w:r>
      <w:r>
        <w:t xml:space="preserve"> </w:t>
      </w:r>
      <w:r>
        <w:t xml:space="preserve">was 91.95–93.04% across providers, whereas three-genome cohort coverage was</w:t>
      </w:r>
      <w:r>
        <w:t xml:space="preserve"> </w:t>
      </w:r>
      <w:r>
        <w:t xml:space="preserve">77.45–82.88% (Supplementary Figure 1).</w:t>
      </w:r>
    </w:p>
    <w:p>
      <w:pPr>
        <w:pStyle w:val="BodyText"/>
      </w:pPr>
      <w:r>
        <w:drawing>
          <wp:inline>
            <wp:extent cx="5334000" cy="4667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main_v4/figure4_cohort_economics_v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4: A cohort-derived cache repays its build cost rapidly and returns</w:t>
      </w:r>
      <w:r>
        <w:rPr>
          <w:bCs/>
          <w:b/>
        </w:rPr>
        <w:t xml:space="preserve"> </w:t>
      </w:r>
      <w:r>
        <w:rPr>
          <w:bCs/>
          <w:b/>
        </w:rPr>
        <w:t xml:space="preserve">cumulative compute time.</w:t>
      </w:r>
      <w:r>
        <w:t xml:space="preserve"> </w:t>
      </w:r>
      <w:r>
        <w:t xml:space="preserve">Three held-out real-world cohorts were evaluated</w:t>
      </w:r>
      <w:r>
        <w:t xml:space="preserve"> </w:t>
      </w:r>
      <w:r>
        <w:t xml:space="preserve">with caches built from three disjoint genomes. (A) Effective speedup includes</w:t>
      </w:r>
      <w:r>
        <w:t xml:space="preserve"> </w:t>
      </w:r>
      <w:r>
        <w:t xml:space="preserve">the complete one-time cache-build duration divided across the indicated cohort</w:t>
      </w:r>
      <w:r>
        <w:t xml:space="preserve"> </w:t>
      </w:r>
      <w:r>
        <w:t xml:space="preserve">size; circles mark empirical break-even. (B) Compute days returned after build</w:t>
      </w:r>
      <w:r>
        <w:t xml:space="preserve"> </w:t>
      </w:r>
      <w:r>
        <w:t xml:space="preserve">cost for cohorts of 10, 100 and 1,000 samples, using measured cohort-specific</w:t>
      </w:r>
      <w:r>
        <w:t xml:space="preserve"> </w:t>
      </w:r>
      <w:r>
        <w:t xml:space="preserve">median direct and cached VEP WGS runtimes. KPGP, Korean Personal Genome Project;</w:t>
      </w:r>
      <w:r>
        <w:t xml:space="preserve"> </w:t>
      </w:r>
      <w:r>
        <w:t xml:space="preserve">PGP, Personal Genome Project; SGDP, Simons Genome Diversity Project; VEP,</w:t>
      </w:r>
      <w:r>
        <w:t xml:space="preserve"> </w:t>
      </w:r>
      <w:r>
        <w:t xml:space="preserve">Variant Effect Predictor; WGS, whole-genome sequencing.</w:t>
      </w:r>
    </w:p>
    <w:p>
      <w:pPr>
        <w:pStyle w:val="BodyText"/>
      </w:pPr>
      <w:r>
        <w:t xml:space="preserve">All three cohort caches repaid their measured build cost after two subsequent</w:t>
      </w:r>
      <w:r>
        <w:t xml:space="preserve"> </w:t>
      </w:r>
      <w:r>
        <w:t xml:space="preserve">genomes; downloaded bundled caches require no local annotation build. At 100</w:t>
      </w:r>
      <w:r>
        <w:t xml:space="preserve"> </w:t>
      </w:r>
      <w:r>
        <w:t xml:space="preserve">genomes, the observed VEP rates corresponded to 8.5, 8.3 and 3.8 compute days</w:t>
      </w:r>
      <w:r>
        <w:t xml:space="preserve"> </w:t>
      </w:r>
      <w:r>
        <w:t xml:space="preserve">returned for KPGP, SGDP and PGP, respectively. At 1,000 genomes, these values</w:t>
      </w:r>
      <w:r>
        <w:t xml:space="preserve"> </w:t>
      </w:r>
      <w:r>
        <w:t xml:space="preserve">were 86.7, 84.7 and 39.1 days. The calculation includes the complete local</w:t>
      </w:r>
      <w:r>
        <w:t xml:space="preserve"> </w:t>
      </w:r>
      <w:r>
        <w:t xml:space="preserve">cache-build time and therefore distinguishes immediate public-cache use from</w:t>
      </w:r>
      <w:r>
        <w:t xml:space="preserve"> </w:t>
      </w:r>
      <w:r>
        <w:t xml:space="preserve">cohort-specific amortization.</w:t>
      </w:r>
    </w:p>
    <w:bookmarkEnd w:id="37"/>
    <w:bookmarkStart w:id="38" w:name="X16b32d3672d5e0881a58e5699fd903eadd7402b"/>
    <w:p>
      <w:pPr>
        <w:pStyle w:val="Heading2"/>
      </w:pPr>
      <w:r>
        <w:t xml:space="preserve">Caching complements efficient and parallel annotators</w:t>
      </w:r>
    </w:p>
    <w:p>
      <w:pPr>
        <w:pStyle w:val="FirstParagraph"/>
      </w:pPr>
      <w:r>
        <w:t xml:space="preserve">Increasing annotation load strengthened benefit without changing cache</w:t>
      </w:r>
      <w:r>
        <w:t xml:space="preserve"> </w:t>
      </w:r>
      <w:r>
        <w:t xml:space="preserve">membership. On the same GRCh37 genomes, extending SnpEff from core consequence</w:t>
      </w:r>
      <w:r>
        <w:t xml:space="preserve"> </w:t>
      </w:r>
      <w:r>
        <w:t xml:space="preserve">annotation to a clinical ClinVar and gnomAD recipe increased median speedup</w:t>
      </w:r>
      <w:r>
        <w:t xml:space="preserve"> </w:t>
      </w:r>
      <w:r>
        <w:t xml:space="preserve">from 1.16- to 3.62-fold for WES and from 4.46- to 12.31-fold for WGS</w:t>
      </w:r>
      <w:r>
        <w:t xml:space="preserve"> </w:t>
      </w:r>
      <w:r>
        <w:t xml:space="preserve">(Supplementary Figure 3 and Supplementary Table 1).</w:t>
      </w:r>
    </w:p>
    <w:p>
      <w:pPr>
        <w:pStyle w:val="BodyText"/>
      </w:pPr>
      <w:r>
        <w:t xml:space="preserve">An independent engineering experiment asked whether more CPUs eliminate reuse</w:t>
      </w:r>
      <w:r>
        <w:t xml:space="preserve"> </w:t>
      </w:r>
      <w:r>
        <w:t xml:space="preserve">benefit for fast native annotation. A dense ten-database fastVEP recipe</w:t>
      </w:r>
      <w:r>
        <w:t xml:space="preserve"> </w:t>
      </w:r>
      <w:r>
        <w:t xml:space="preserve">saturated between process-wide limits of 10 and 32 CPUs (706.2 versus 691.4 s</w:t>
      </w:r>
      <w:r>
        <w:t xml:space="preserve"> </w:t>
      </w:r>
      <w:r>
        <w:t xml:space="preserve">direct) but retained 3.07- and 3.37-fold speedups at approximately 90% cache</w:t>
      </w:r>
      <w:r>
        <w:t xml:space="preserve"> </w:t>
      </w:r>
      <w:r>
        <w:t xml:space="preserve">hits. At 10 CPUs, caching returned 7.9 minutes per genome (Supplementary Figure</w:t>
      </w:r>
      <w:r>
        <w:t xml:space="preserve"> </w:t>
      </w:r>
      <w:r>
        <w:t xml:space="preserve">2). Parallelism and reuse therefore reduce different components of runtime.</w:t>
      </w:r>
    </w:p>
    <w:bookmarkEnd w:id="38"/>
    <w:bookmarkStart w:id="39" w:name="X59ac8dfed41acc73df8789514b5a8ee63ee1f44"/>
    <w:p>
      <w:pPr>
        <w:pStyle w:val="Heading2"/>
      </w:pPr>
      <w:r>
        <w:t xml:space="preserve">Correctness was assessed outside timed cells</w:t>
      </w:r>
    </w:p>
    <w:p>
      <w:pPr>
        <w:pStyle w:val="FirstParagraph"/>
      </w:pPr>
      <w:r>
        <w:t xml:space="preserve">All 156 VEP and 156 fastVEP whole-genome pairs passed annotator-specific</w:t>
      </w:r>
      <w:r>
        <w:t xml:space="preserve"> </w:t>
      </w:r>
      <w:r>
        <w:t xml:space="preserve">semantic comparison. For VEP, 8,898 of 734,582,949 records (0.0012%) differed</w:t>
      </w:r>
      <w:r>
        <w:t xml:space="preserve"> </w:t>
      </w:r>
      <w:r>
        <w:t xml:space="preserve">only in</w:t>
      </w:r>
      <w:r>
        <w:t xml:space="preserve"> </w:t>
      </w:r>
      <w:r>
        <w:rPr>
          <w:rStyle w:val="VerbatimChar"/>
        </w:rPr>
        <w:t xml:space="preserve">HGNC_ID</w:t>
      </w:r>
      <w:r>
        <w:t xml:space="preserve">, a documented VEP 115.2 batching effect</w:t>
      </w:r>
      <w:r>
        <w:t xml:space="preserve"> </w:t>
      </w:r>
      <w:r>
        <w:t xml:space="preserve">[</w:t>
      </w:r>
      <w:hyperlink w:anchor="ref-vep_issue_1959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the field was reported but excluded from pass/fail. fastVEP comparison covered</w:t>
      </w:r>
      <w:r>
        <w:t xml:space="preserve"> </w:t>
      </w:r>
      <w:r>
        <w:t xml:space="preserve">all INFO, FORMAT and relevant header values, canonicalizing order only.</w:t>
      </w:r>
    </w:p>
    <w:p>
      <w:pPr>
        <w:pStyle w:val="BodyText"/>
      </w:pPr>
      <w:r>
        <w:t xml:space="preserve">In the final clinical campaign, all 176 eligible direct/cached pairs were</w:t>
      </w:r>
      <w:r>
        <w:t xml:space="preserve"> </w:t>
      </w:r>
      <w:r>
        <w:t xml:space="preserve">semantically concordant (Supplementary Figure 3). Four of 180 SnpEff pairs</w:t>
      </w:r>
      <w:r>
        <w:t xml:space="preserve"> </w:t>
      </w:r>
      <w:r>
        <w:t xml:space="preserve">were excluded before inference because one GRCh37 allele differed only by</w:t>
      </w:r>
      <w:r>
        <w:t xml:space="preserve"> </w:t>
      </w:r>
      <w:r>
        <w:rPr>
          <w:rStyle w:val="VerbatimChar"/>
        </w:rPr>
        <w:t xml:space="preserve">WARNING_TRANSCRIPT_MULTIPLE_STOP_CODONS</w:t>
      </w:r>
      <w:r>
        <w:t xml:space="preserve">; consequence, transcript, HGVS,</w:t>
      </w:r>
      <w:r>
        <w:t xml:space="preserve"> </w:t>
      </w:r>
      <w:r>
        <w:t xml:space="preserve">ClinVar, gnomAD, genotype and record counts agreed. A direct-SnpEff reproducer</w:t>
      </w:r>
      <w:r>
        <w:t xml:space="preserve"> </w:t>
      </w:r>
      <w:r>
        <w:t xml:space="preserve">showed that the warning changed when two adjacent input records were reversed,</w:t>
      </w:r>
      <w:r>
        <w:t xml:space="preserve"> </w:t>
      </w:r>
      <w:r>
        <w:t xml:space="preserve">without VCFcache involvement. We therefore documented the annotator-order</w:t>
      </w:r>
      <w:r>
        <w:t xml:space="preserve"> </w:t>
      </w:r>
      <w:r>
        <w:t xml:space="preserve">effect rather than adding warning-specific normalization. These results</w:t>
      </w:r>
      <w:r>
        <w:t xml:space="preserve"> </w:t>
      </w:r>
      <w:r>
        <w:t xml:space="preserve">support equivalence under a fixed tool, version, reference and recipe, not byte</w:t>
      </w:r>
      <w:r>
        <w:t xml:space="preserve"> </w:t>
      </w:r>
      <w:r>
        <w:t xml:space="preserve">identity or equivalence between annotators.</w:t>
      </w:r>
    </w:p>
    <w:bookmarkEnd w:id="39"/>
    <w:bookmarkEnd w:id="40"/>
    <w:bookmarkStart w:id="48" w:name="methods"/>
    <w:p>
      <w:pPr>
        <w:pStyle w:val="Heading1"/>
      </w:pPr>
      <w:r>
        <w:t xml:space="preserve">Methods</w:t>
      </w:r>
    </w:p>
    <w:bookmarkStart w:id="41" w:name="software-and-cache-design"/>
    <w:p>
      <w:pPr>
        <w:pStyle w:val="Heading2"/>
      </w:pPr>
      <w:r>
        <w:t xml:space="preserve">Software and cache design</w:t>
      </w:r>
    </w:p>
    <w:p>
      <w:pPr>
        <w:pStyle w:val="FirstParagraph"/>
      </w:pPr>
      <w:r>
        <w:t xml:space="preserve">VCFcache is implemented in Python and delegates normalized BCF processing and</w:t>
      </w:r>
      <w:r>
        <w:t xml:space="preserve"> </w:t>
      </w:r>
      <w:r>
        <w:t xml:space="preserve">indexing to bcftools/htslib</w:t>
      </w:r>
      <w:r>
        <w:t xml:space="preserve"> </w:t>
      </w:r>
      <w:r>
        <w:t xml:space="preserve">[</w:t>
      </w:r>
      <w:hyperlink w:anchor="ref-danecek2021bcftools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. A blueprint is a</w:t>
      </w:r>
      <w:r>
        <w:t xml:space="preserve"> </w:t>
      </w:r>
      <w:r>
        <w:t xml:space="preserve">genotype-free set of normalized alleles. Cache construction applies one frozen</w:t>
      </w:r>
      <w:r>
        <w:t xml:space="preserve"> </w:t>
      </w:r>
      <w:r>
        <w:t xml:space="preserve">annotation command to the blueprint and stores its output with immutable recipe</w:t>
      </w:r>
      <w:r>
        <w:t xml:space="preserve"> </w:t>
      </w:r>
      <w:r>
        <w:t xml:space="preserve">and parameter snapshots. Sample annotation splits records into cache hits and</w:t>
      </w:r>
      <w:r>
        <w:t xml:space="preserve"> </w:t>
      </w:r>
      <w:r>
        <w:t xml:space="preserve">misses, applies the same command to misses, and produces a coordinate-sorted,</w:t>
      </w:r>
      <w:r>
        <w:t xml:space="preserve"> </w:t>
      </w:r>
      <w:r>
        <w:t xml:space="preserve">indexed BCF. Semantic comparison was performed afterward and was never timed.</w:t>
      </w:r>
    </w:p>
    <w:bookmarkEnd w:id="41"/>
    <w:bookmarkStart w:id="42" w:name="samples-and-cache-strategies"/>
    <w:p>
      <w:pPr>
        <w:pStyle w:val="Heading2"/>
      </w:pPr>
      <w:r>
        <w:t xml:space="preserve">Samples and cache strategies</w:t>
      </w:r>
    </w:p>
    <w:p>
      <w:pPr>
        <w:pStyle w:val="FirstParagraph"/>
      </w:pPr>
      <w:r>
        <w:t xml:space="preserve">The external WGS benchmark used open KPGP and SGDP GRCh38 genomes and Harvard</w:t>
      </w:r>
      <w:r>
        <w:t xml:space="preserve"> </w:t>
      </w:r>
      <w:r>
        <w:t xml:space="preserve">PGP GRCh37 genomes. Inputs were restricted to carried, biallelic autosomal SNPs</w:t>
      </w:r>
      <w:r>
        <w:t xml:space="preserve"> </w:t>
      </w:r>
      <w:r>
        <w:t xml:space="preserve">and short indels and checked for compression, index readability, coordinate</w:t>
      </w:r>
      <w:r>
        <w:t xml:space="preserve"> </w:t>
      </w:r>
      <w:r>
        <w:t xml:space="preserve">order, contigs, sample identity and completeness. Three genomes per provider</w:t>
      </w:r>
      <w:r>
        <w:t xml:space="preserve"> </w:t>
      </w:r>
      <w:r>
        <w:t xml:space="preserve">were reserved for cache construction; evaluation comprised 20 KPGP, 20 SGDP</w:t>
      </w:r>
      <w:r>
        <w:t xml:space="preserve"> </w:t>
      </w:r>
      <w:r>
        <w:t xml:space="preserve">and 12 PGP genomes. PLINK2 KING screening at kinship 0.0884 excluded a</w:t>
      </w:r>
      <w:r>
        <w:t xml:space="preserve"> </w:t>
      </w:r>
      <w:r>
        <w:t xml:space="preserve">second-degree-or-closer relationship across the construction/evaluation</w:t>
      </w:r>
      <w:r>
        <w:t xml:space="preserve"> </w:t>
      </w:r>
      <w:r>
        <w:t xml:space="preserve">boundary.</w:t>
      </w:r>
    </w:p>
    <w:p>
      <w:pPr>
        <w:pStyle w:val="BodyText"/>
      </w:pPr>
      <w:r>
        <w:t xml:space="preserve">Matched-assay experiments used six KPGP and six SGDP GRCh38 evaluation genomes,</w:t>
      </w:r>
      <w:r>
        <w:t xml:space="preserve"> </w:t>
      </w:r>
      <w:r>
        <w:t xml:space="preserve">subset to Twist Human Core Exome intervals padded by 125 bp and ACMG SF v3.3</w:t>
      </w:r>
      <w:r>
        <w:t xml:space="preserve"> </w:t>
      </w:r>
      <w:r>
        <w:t xml:space="preserve">MANE Select coding intervals padded by 20 bp. The principal matched comparison</w:t>
      </w:r>
      <w:r>
        <w:t xml:space="preserve"> </w:t>
      </w:r>
      <w:r>
        <w:t xml:space="preserve">combined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clinical fastVEP and clinical SnpEff measurements</w:t>
      </w:r>
      <w:r>
        <w:t xml:space="preserve"> </w:t>
      </w:r>
      <w:r>
        <w:t xml:space="preserve">on these identical 12 inputs and the same gnomAD AF ≥1% cache membership,</w:t>
      </w:r>
      <w:r>
        <w:t xml:space="preserve"> </w:t>
      </w:r>
      <w:r>
        <w:t xml:space="preserve">yielding 108 direct/cached sample-tool-assay pairs. The wider final clinical</w:t>
      </w:r>
      <w:r>
        <w:t xml:space="preserve"> </w:t>
      </w:r>
      <w:r>
        <w:t xml:space="preserve">campaign used 12 genomes per assembly across Panel, WES and WGS; frozen sample</w:t>
      </w:r>
      <w:r>
        <w:t xml:space="preserve"> </w:t>
      </w:r>
      <w:r>
        <w:t xml:space="preserve">membership is provided with its reproducer.</w:t>
      </w:r>
    </w:p>
    <w:p>
      <w:pPr>
        <w:pStyle w:val="BodyText"/>
      </w:pPr>
      <w:r>
        <w:t xml:space="preserve">Public strategies were assembly-matched VCFcache gnomAD v4.1 joint</w:t>
      </w:r>
      <w:r>
        <w:t xml:space="preserve"> </w:t>
      </w:r>
      <w:r>
        <w:t xml:space="preserve">exome/genome caches containing sites reaching AF ≥10% or AF ≥1% in any</w:t>
      </w:r>
      <w:r>
        <w:t xml:space="preserve"> </w:t>
      </w:r>
      <w:r>
        <w:t xml:space="preserve">frequency stratum. Production Zenodo archives were checksum-verified before</w:t>
      </w:r>
      <w:r>
        <w:t xml:space="preserve"> </w:t>
      </w:r>
      <w:r>
        <w:t xml:space="preserve">use. Provider-specific cohort blueprints contained alleles from the three</w:t>
      </w:r>
      <w:r>
        <w:t xml:space="preserve"> </w:t>
      </w:r>
      <w:r>
        <w:t xml:space="preserve">reserved genomes; annotations were built independently for every tool and</w:t>
      </w:r>
      <w:r>
        <w:t xml:space="preserve"> </w:t>
      </w:r>
      <w:r>
        <w:t xml:space="preserve">recipe.</w:t>
      </w:r>
      <w:r>
        <w:t xml:space="preserve"> </w:t>
      </w:r>
      <w:r>
        <w:t xml:space="preserve">No documented overlap between evaluation cohorts and gnomAD was identified,</w:t>
      </w:r>
      <w:r>
        <w:t xml:space="preserve"> </w:t>
      </w:r>
      <w:r>
        <w:t xml:space="preserve">although undisclosed sample-level overlap cannot be excluded.</w:t>
      </w:r>
    </w:p>
    <w:bookmarkEnd w:id="42"/>
    <w:bookmarkStart w:id="43" w:name="annotation-recipes-and-execution"/>
    <w:p>
      <w:pPr>
        <w:pStyle w:val="Heading2"/>
      </w:pPr>
      <w:r>
        <w:t xml:space="preserve">Annotation recipes and execution</w:t>
      </w:r>
    </w:p>
    <w:p>
      <w:pPr>
        <w:pStyle w:val="FirstParagraph"/>
      </w:pPr>
      <w:r>
        <w:t xml:space="preserve">VEP 115.2 ran offline with the assembly-matched Ensembl cache,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--hgvsg</w:t>
      </w:r>
      <w:r>
        <w:t xml:space="preserve">, buffer size 500,000 and eight forks. fastVEP 0.3.0 used frozen</w:t>
      </w:r>
      <w:r>
        <w:t xml:space="preserve"> </w:t>
      </w:r>
      <w:r>
        <w:t xml:space="preserve">release binaries, assembly-matched FASTA and transcript caches. Its core recipe</w:t>
      </w:r>
      <w:r>
        <w:t xml:space="preserve"> </w:t>
      </w:r>
      <w:r>
        <w:t xml:space="preserve">reported consequences and HGVS; clinical and engineering recipes added the</w:t>
      </w:r>
      <w:r>
        <w:t xml:space="preserve"> </w:t>
      </w:r>
      <w:r>
        <w:t xml:space="preserve">specified supplementary databases. SnpEff 5.4c used</w:t>
      </w:r>
      <w:r>
        <w:t xml:space="preserve"> </w:t>
      </w:r>
      <w:r>
        <w:rPr>
          <w:rStyle w:val="VerbatimChar"/>
        </w:rPr>
        <w:t xml:space="preserve">GRCh38.115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GRCh37.75</w:t>
      </w:r>
      <w:r>
        <w:t xml:space="preserve">; the core recipe emitted ANN consequences, whereas the clinical</w:t>
      </w:r>
      <w:r>
        <w:t xml:space="preserve"> </w:t>
      </w:r>
      <w:r>
        <w:t xml:space="preserve">recipe subsequently used SnpSift to add ClinVar and gnomAD exome AF/AC/AN</w:t>
      </w:r>
      <w:r>
        <w:t xml:space="preserve"> </w:t>
      </w:r>
      <w:r>
        <w:t xml:space="preserve">fields</w:t>
      </w:r>
      <w:r>
        <w:t xml:space="preserve"> </w:t>
      </w:r>
      <w:r>
        <w:t xml:space="preserve">[</w:t>
      </w:r>
      <w:hyperlink w:anchor="ref-cingolani2012snpeff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Binary, reference, database and recipe hashes are</w:t>
      </w:r>
      <w:r>
        <w:t xml:space="preserve"> </w:t>
      </w:r>
      <w:r>
        <w:t xml:space="preserve">archived. These native configurations intentionally represent realistic</w:t>
      </w:r>
      <w:r>
        <w:t xml:space="preserve"> </w:t>
      </w:r>
      <w:r>
        <w:t xml:space="preserve">within-tool loads; they do not produce identical annotation fields and were not</w:t>
      </w:r>
      <w:r>
        <w:t xml:space="preserve"> </w:t>
      </w:r>
      <w:r>
        <w:t xml:space="preserve">used for cross-tool performance ranking.</w:t>
      </w:r>
    </w:p>
    <w:p>
      <w:pPr>
        <w:pStyle w:val="BodyText"/>
      </w:pPr>
      <w:r>
        <w:t xml:space="preserve">Each unique sample, annotator, recipe, assay and cache condition contributed</w:t>
      </w:r>
      <w:r>
        <w:t xml:space="preserve"> </w:t>
      </w:r>
      <w:r>
        <w:t xml:space="preserve">one direct and one cached observation; samples, not technical repeats, were the</w:t>
      </w:r>
      <w:r>
        <w:t xml:space="preserve"> </w:t>
      </w:r>
      <w:r>
        <w:t xml:space="preserve">inferential units. Direct and cached arms used identical inputs, recipes,</w:t>
      </w:r>
      <w:r>
        <w:t xml:space="preserve"> </w:t>
      </w:r>
      <w:r>
        <w:t xml:space="preserve">databases, storage and CPU allocations and ran in separate Slurm job steps.</w:t>
      </w:r>
      <w:r>
        <w:t xml:space="preserve"> </w:t>
      </w:r>
      <w:r>
        <w:t xml:space="preserve">End-to-end wall time included normalization, lookup, annotation, output</w:t>
      </w:r>
      <w:r>
        <w:t xml:space="preserve"> </w:t>
      </w:r>
      <w:r>
        <w:t xml:space="preserve">assembly, compression and indexing, but excluded cache construction and</w:t>
      </w:r>
      <w:r>
        <w:t xml:space="preserve"> </w:t>
      </w:r>
      <w:r>
        <w:t xml:space="preserve">semantic comparison. Short Panel/WES tasks used an untimed, separate</w:t>
      </w:r>
      <w:r>
        <w:t xml:space="preserve"> </w:t>
      </w:r>
      <w:r>
        <w:t xml:space="preserve">calibration input before either retained condition to standardize warm state.</w:t>
      </w:r>
    </w:p>
    <w:bookmarkEnd w:id="43"/>
    <w:bookmarkStart w:id="44" w:name="correctness-comparison"/>
    <w:p>
      <w:pPr>
        <w:pStyle w:val="Heading2"/>
      </w:pPr>
      <w:r>
        <w:t xml:space="preserve">Correctness comparison</w:t>
      </w:r>
    </w:p>
    <w:p>
      <w:pPr>
        <w:pStyle w:val="FirstParagraph"/>
      </w:pPr>
      <w:r>
        <w:t xml:space="preserve">The VEP comparator checked variant keys, retained input fields, genotype, the</w:t>
      </w:r>
      <w:r>
        <w:t xml:space="preserve"> </w:t>
      </w:r>
      <w:r>
        <w:t xml:space="preserve">CSQ definition and all CSQ entries; it canonicalized CSQ and same-locus record</w:t>
      </w:r>
      <w:r>
        <w:t xml:space="preserve"> </w:t>
      </w:r>
      <w:r>
        <w:t xml:space="preserve">ordering.</w:t>
      </w:r>
      <w:r>
        <w:t xml:space="preserve"> </w:t>
      </w:r>
      <w:r>
        <w:rPr>
          <w:rStyle w:val="VerbatimChar"/>
        </w:rPr>
        <w:t xml:space="preserve">HGNC_ID</w:t>
      </w:r>
      <w:r>
        <w:t xml:space="preserve">-only differences were counted but excluded from pass/fail</w:t>
      </w:r>
      <w:r>
        <w:t xml:space="preserve"> </w:t>
      </w:r>
      <w:r>
        <w:t xml:space="preserve">because VEP 115.2 varies this field with batching</w:t>
      </w:r>
      <w:r>
        <w:t xml:space="preserve"> </w:t>
      </w:r>
      <w:r>
        <w:t xml:space="preserve">[</w:t>
      </w:r>
      <w:hyperlink w:anchor="ref-vep_issue_1959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fastVEP comparator checked every INFO and FORMAT value and relevant header,</w:t>
      </w:r>
      <w:r>
        <w:t xml:space="preserve"> </w:t>
      </w:r>
      <w:r>
        <w:t xml:space="preserve">canonicalizing only representational ordering. The SnpEff comparator checked</w:t>
      </w:r>
      <w:r>
        <w:t xml:space="preserve"> </w:t>
      </w:r>
      <w:r>
        <w:t xml:space="preserve">the complete tested annotation level, including ANN, ClinVar and gnomAD fields,</w:t>
      </w:r>
      <w:r>
        <w:t xml:space="preserve"> </w:t>
      </w:r>
      <w:r>
        <w:t xml:space="preserve">while canonicalizing same-position record and ANN-entry order.</w:t>
      </w:r>
    </w:p>
    <w:p>
      <w:pPr>
        <w:pStyle w:val="BodyText"/>
      </w:pPr>
      <w:r>
        <w:t xml:space="preserve">Four SnpEff cells with one warning-only difference were excluded before</w:t>
      </w:r>
      <w:r>
        <w:t xml:space="preserve"> </w:t>
      </w:r>
      <w:r>
        <w:t xml:space="preserve">summary statistics. Diagnosis used direct SnpEff 5.4c outside all timing: the</w:t>
      </w:r>
      <w:r>
        <w:t xml:space="preserve"> </w:t>
      </w:r>
      <w:r>
        <w:t xml:space="preserve">target alone, an adjacent insertion followed by the target, and the reversed</w:t>
      </w:r>
      <w:r>
        <w:t xml:space="preserve"> </w:t>
      </w:r>
      <w:r>
        <w:t xml:space="preserve">pair. No VCFcache process was involved. Exact inputs, outputs and checksums are</w:t>
      </w:r>
      <w:r>
        <w:t xml:space="preserve"> </w:t>
      </w:r>
      <w:r>
        <w:t xml:space="preserve">archived with the final campaign.</w:t>
      </w:r>
    </w:p>
    <w:bookmarkEnd w:id="44"/>
    <w:bookmarkStart w:id="45" w:name="controlled-annotation-load-experiments"/>
    <w:p>
      <w:pPr>
        <w:pStyle w:val="Heading2"/>
      </w:pPr>
      <w:r>
        <w:t xml:space="preserve">Controlled annotation-load experiments</w:t>
      </w:r>
    </w:p>
    <w:p>
      <w:pPr>
        <w:pStyle w:val="FirstParagraph"/>
      </w:pPr>
      <w:r>
        <w:t xml:space="preserve">Pipeline scaling used held-out GRCh38 sample KPGP-00319 (4,795,706 variants)</w:t>
      </w:r>
      <w:r>
        <w:t xml:space="preserve"> </w:t>
      </w:r>
      <w:r>
        <w:t xml:space="preserve">and bundled caches with observed hit rates of 80.23% and 90.26%. Six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 </w:t>
      </w:r>
      <w:r>
        <w:t xml:space="preserve">recipes added 0.5, 1, 2, 4, 7 or 10 ms per transcript consequence</w:t>
      </w:r>
      <w:r>
        <w:t xml:space="preserve"> </w:t>
      </w:r>
      <w:r>
        <w:t xml:space="preserve">through a plugin that emitted no field. Each load had one direct observation</w:t>
      </w:r>
      <w:r>
        <w:t xml:space="preserve"> </w:t>
      </w:r>
      <w:r>
        <w:t xml:space="preserve">and one cached observation per cache depth.</w:t>
      </w:r>
    </w:p>
    <w:p>
      <w:pPr>
        <w:pStyle w:val="BodyText"/>
      </w:pPr>
      <w:r>
        <w:t xml:space="preserve">A separate fastVEP experiment compared core and dense ten-database recipes on</w:t>
      </w:r>
      <w:r>
        <w:t xml:space="preserve"> </w:t>
      </w:r>
      <w:r>
        <w:t xml:space="preserve">the same held-out WGS under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 </w:t>
      </w:r>
      <w:r>
        <w:t xml:space="preserve">limits of 1, 10 or 32 CPUs. The dense</w:t>
      </w:r>
      <w:r>
        <w:t xml:space="preserve"> </w:t>
      </w:r>
      <w:r>
        <w:t xml:space="preserve">one-CPU exploratory cell was stopped for impractically low throughput and was</w:t>
      </w:r>
      <w:r>
        <w:t xml:space="preserve"> </w:t>
      </w:r>
      <w:r>
        <w:t xml:space="preserve">not analysed. This controlled cache fixed coverage near 90% to isolate the</w:t>
      </w:r>
      <w:r>
        <w:t xml:space="preserve"> </w:t>
      </w:r>
      <w:r>
        <w:t xml:space="preserve">interaction between CPU availability and annotation load rather than estimate</w:t>
      </w:r>
      <w:r>
        <w:t xml:space="preserve"> </w:t>
      </w:r>
      <w:r>
        <w:t xml:space="preserve">biological coverage.</w:t>
      </w:r>
    </w:p>
    <w:bookmarkEnd w:id="45"/>
    <w:bookmarkStart w:id="46" w:name="cache-construction-and-amortization"/>
    <w:p>
      <w:pPr>
        <w:pStyle w:val="Heading2"/>
      </w:pPr>
      <w:r>
        <w:t xml:space="preserve">Cache construction and amortization</w:t>
      </w:r>
    </w:p>
    <w:p>
      <w:pPr>
        <w:pStyle w:val="FirstParagraph"/>
      </w:pPr>
      <w:r>
        <w:t xml:space="preserve">Cache construction was excluded from per-sample timing and recorded separately.</w:t>
      </w:r>
      <w:r>
        <w:t xml:space="preserve"> </w:t>
      </w:r>
      <w:r>
        <w:t xml:space="preserve">For each cohort cache, the measured build duration was divided by paired median</w:t>
      </w:r>
      <w:r>
        <w:t xml:space="preserve"> </w:t>
      </w:r>
      <w:r>
        <w:t xml:space="preserve">time saved to obtain the number of subsequent genomes required for break-even.</w:t>
      </w:r>
      <w:r>
        <w:t xml:space="preserve"> </w:t>
      </w:r>
      <w:r>
        <w:t xml:space="preserve">Effective per-sample time after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uses was calculated as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. Public Zenodo caches have no local</w:t>
      </w:r>
      <w:r>
        <w:t xml:space="preserve"> </w:t>
      </w:r>
      <w:r>
        <w:t xml:space="preserve">annotation-build cost. Cache allele counts, archive and extracted sizes, peak</w:t>
      </w:r>
      <w:r>
        <w:t xml:space="preserve"> </w:t>
      </w:r>
      <w:r>
        <w:t xml:space="preserve">resident memory and transient disk use were taken from indexed artefacts and</w:t>
      </w:r>
      <w:r>
        <w:t xml:space="preserve"> </w:t>
      </w:r>
      <w:r>
        <w:t xml:space="preserve">instrumented builds rather than inferred from input size.</w:t>
      </w:r>
    </w:p>
    <w:bookmarkEnd w:id="46"/>
    <w:bookmarkStart w:id="47" w:name="outcomes-and-analysis"/>
    <w:p>
      <w:pPr>
        <w:pStyle w:val="Heading2"/>
      </w:pPr>
      <w:r>
        <w:t xml:space="preserve">Outcomes and analysis</w:t>
      </w:r>
    </w:p>
    <w:p>
      <w:pPr>
        <w:pStyle w:val="FirstParagraph"/>
      </w:pPr>
      <w:r>
        <w:t xml:space="preserve">The primary outcome was speedup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; secondary outcomes were relative</w:t>
      </w:r>
      <w:r>
        <w:t xml:space="preserve"> </w:t>
      </w:r>
      <w:r>
        <w:t xml:space="preserve">runtime, paired time saved, hit rate and cache-build amortization. Serial</w:t>
      </w:r>
      <w:r>
        <w:t xml:space="preserve"> </w:t>
      </w:r>
      <w:r>
        <w:t xml:space="preserve">throughput was reported descriptively as 86,400 s divided by median wall time.</w:t>
      </w:r>
      <w:r>
        <w:t xml:space="preserve"> </w:t>
      </w:r>
      <w:r>
        <w:t xml:space="preserve">Cumulative cohort time returned was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e>
        </m:d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and was</w:t>
      </w:r>
      <w:r>
        <w:t xml:space="preserve"> </w:t>
      </w:r>
      <w:r>
        <w:t xml:space="preserve">converted to compute days. Medians were calculated across genomes. Pooled</w:t>
      </w:r>
      <w:r>
        <w:t xml:space="preserve"> </w:t>
      </w:r>
      <w:r>
        <w:t xml:space="preserve">confidence intervals used 10,000 sample-level bootstrap resamples stratified</w:t>
      </w:r>
      <w:r>
        <w:t xml:space="preserve"> </w:t>
      </w:r>
      <w:r>
        <w:t xml:space="preserve">by provider cohort while preserving paired conditions. Modelled and measured</w:t>
      </w:r>
      <w:r>
        <w:t xml:space="preserve"> </w:t>
      </w:r>
      <w:r>
        <w:t xml:space="preserve">values were labelled separately. Figures were generated in R with ggplot2,</w:t>
      </w:r>
      <w:r>
        <w:t xml:space="preserve"> </w:t>
      </w:r>
      <w:r>
        <w:t xml:space="preserve">assembled with patchwork, and exported as SVG, PDF and 600-dpi PNG with frozen</w:t>
      </w:r>
      <w:r>
        <w:t xml:space="preserve"> </w:t>
      </w:r>
      <w:r>
        <w:t xml:space="preserve">source tables and session information.</w:t>
      </w:r>
    </w:p>
    <w:bookmarkEnd w:id="47"/>
    <w:bookmarkEnd w:id="48"/>
    <w:bookmarkStart w:id="49" w:name="X837ff33b29e10a3699433a9f144d395efa07e71"/>
    <w:p>
      <w:pPr>
        <w:pStyle w:val="Heading1"/>
      </w:pPr>
      <w:r>
        <w:t xml:space="preserve">Availability of supporting source code and requirements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name:</w:t>
      </w:r>
      <w:r>
        <w:t xml:space="preserve"> </w:t>
      </w:r>
      <w:r>
        <w:t xml:space="preserve">VCFcache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home page:</w:t>
      </w:r>
      <w:r>
        <w:t xml:space="preserve"> </w:t>
      </w:r>
      <w:r>
        <w:t xml:space="preserve">https://github.com/julius-muller/vcfcache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Archived version:</w:t>
      </w:r>
      <w:r>
        <w:t xml:space="preserve"> </w:t>
      </w:r>
      <w:r>
        <w:t xml:space="preserve">v0.5.5, https://doi.org/10.5281/zenodo.22019326</w:t>
      </w:r>
      <w:r>
        <w:t xml:space="preserve"> </w:t>
      </w:r>
      <w:r>
        <w:t xml:space="preserve">(concept DOI https://doi.org/10.5281/zenodo.17943997 resolves to the most</w:t>
      </w:r>
      <w:r>
        <w:t xml:space="preserve"> </w:t>
      </w:r>
      <w:r>
        <w:t xml:space="preserve">recent release)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Operating systems:</w:t>
      </w:r>
      <w:r>
        <w:t xml:space="preserve"> </w:t>
      </w:r>
      <w:r>
        <w:t xml:space="preserve">Linux; container images are provided for portable</w:t>
      </w:r>
      <w:r>
        <w:t xml:space="preserve"> </w:t>
      </w:r>
      <w:r>
        <w:t xml:space="preserve">execution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Programming language:</w:t>
      </w:r>
      <w:r>
        <w:t xml:space="preserve"> </w:t>
      </w:r>
      <w:r>
        <w:t xml:space="preserve">Python 3.11 or later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 requirements:</w:t>
      </w:r>
      <w:r>
        <w:t xml:space="preserve"> </w:t>
      </w:r>
      <w:r>
        <w:t xml:space="preserve">bcftools 1.20 or later; an external annotation</w:t>
      </w:r>
      <w:r>
        <w:t xml:space="preserve"> </w:t>
      </w:r>
      <w:r>
        <w:t xml:space="preserve">command and its reference assets are required to build or use an annotation</w:t>
      </w:r>
      <w:r>
        <w:t xml:space="preserve"> </w:t>
      </w:r>
      <w:r>
        <w:t xml:space="preserve">cache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GNU General Public License v3.0 only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RRID:</w:t>
      </w:r>
      <w:r>
        <w:t xml:space="preserve"> </w:t>
      </w:r>
      <w:r>
        <w:t xml:space="preserve">[RRID TO COMPLETE, IF APPLICABLE]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bio.tools identifier:</w:t>
      </w:r>
      <w:r>
        <w:t xml:space="preserve"> </w:t>
      </w:r>
      <w:r>
        <w:t xml:space="preserve">[BIO.TOOLS IDENTIFIER TO COMPLETE]</w:t>
      </w:r>
    </w:p>
    <w:p>
      <w:pPr>
        <w:pStyle w:val="FirstParagraph"/>
      </w:pPr>
      <w:r>
        <w:t xml:space="preserve">The source repository includes automated tests, example configurations,</w:t>
      </w:r>
      <w:r>
        <w:t xml:space="preserve"> </w:t>
      </w:r>
      <w:r>
        <w:t xml:space="preserve">Docker definitions, cache manifests and the complete benchmark preparation and</w:t>
      </w:r>
      <w:r>
        <w:t xml:space="preserve"> </w:t>
      </w:r>
      <w:r>
        <w:t xml:space="preserve">analysis workflow. Public cache aliases resolve to archives distributed</w:t>
      </w:r>
      <w:r>
        <w:t xml:space="preserve"> </w:t>
      </w:r>
      <w:r>
        <w:t xml:space="preserve">through Zenodo.</w:t>
      </w:r>
    </w:p>
    <w:bookmarkEnd w:id="49"/>
    <w:bookmarkStart w:id="5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datasets supporting the benchmark results are available from</w:t>
      </w:r>
      <w:r>
        <w:t xml:space="preserve"> </w:t>
      </w:r>
      <w:r>
        <w:t xml:space="preserve">https://doi.org/10.5281/zenodo.22018995. The deposit will include frozen</w:t>
      </w:r>
      <w:r>
        <w:t xml:space="preserve"> </w:t>
      </w:r>
      <w:r>
        <w:t xml:space="preserve">source tables, cohort-selection and QC manifests, commands, semantic-comparison</w:t>
      </w:r>
      <w:r>
        <w:t xml:space="preserve"> </w:t>
      </w:r>
      <w:r>
        <w:t xml:space="preserve">summaries, figure-rendering code, R session records, and a compact test input</w:t>
      </w:r>
      <w:r>
        <w:t xml:space="preserve"> </w:t>
      </w:r>
      <w:r>
        <w:t xml:space="preserve">with expected cached and direct outputs.</w:t>
      </w:r>
    </w:p>
    <w:p>
      <w:pPr>
        <w:pStyle w:val="BodyText"/>
      </w:pPr>
      <w:r>
        <w:t xml:space="preserve">A self-contained executable example is distributed with the software itself and</w:t>
      </w:r>
      <w:r>
        <w:t xml:space="preserve"> </w:t>
      </w:r>
      <w:r>
        <w:t xml:space="preserve">requires no download, no reference data and no external annotation tool. The</w:t>
      </w:r>
      <w:r>
        <w:t xml:space="preserve"> </w:t>
      </w:r>
      <w:r>
        <w:t xml:space="preserve">command</w:t>
      </w:r>
      <w:r>
        <w:t xml:space="preserve"> </w:t>
      </w:r>
      <w:r>
        <w:rPr>
          <w:rStyle w:val="VerbatimChar"/>
        </w:rPr>
        <w:t xml:space="preserve">vcfcache demo</w:t>
      </w:r>
      <w:r>
        <w:t xml:space="preserve"> </w:t>
      </w:r>
      <w:r>
        <w:t xml:space="preserve">runs the complete workflow — blueprint creation,</w:t>
      </w:r>
      <w:r>
        <w:t xml:space="preserve"> </w:t>
      </w:r>
      <w:r>
        <w:t xml:space="preserve">blueprint extension, cache construction and cached annotation — against bundled</w:t>
      </w:r>
      <w:r>
        <w:t xml:space="preserve"> </w:t>
      </w:r>
      <w:r>
        <w:t xml:space="preserve">test data using a self-describing annotation recipe, then asserts that the</w:t>
      </w:r>
      <w:r>
        <w:t xml:space="preserve"> </w:t>
      </w:r>
      <w:r>
        <w:t xml:space="preserve">cached and directly annotated outputs are identical. It completes in</w:t>
      </w:r>
      <w:r>
        <w:t xml:space="preserve"> </w:t>
      </w:r>
      <w:r>
        <w:t xml:space="preserve">approximately one second and its peak resident memory is 42.6 MB, so editors,</w:t>
      </w:r>
      <w:r>
        <w:t xml:space="preserve"> </w:t>
      </w:r>
      <w:r>
        <w:t xml:space="preserve">reviewers and users can verify the central correctness claim on any machine</w:t>
      </w:r>
      <w:r>
        <w:t xml:space="preserve"> </w:t>
      </w:r>
      <w:r>
        <w:t xml:space="preserve">that satisfies the stated requirements. This example is the recommended entry</w:t>
      </w:r>
      <w:r>
        <w:t xml:space="preserve"> </w:t>
      </w:r>
      <w:r>
        <w:t xml:space="preserve">point for reproducing the workflow; the archived benchmark deposit reproduces</w:t>
      </w:r>
      <w:r>
        <w:t xml:space="preserve"> </w:t>
      </w:r>
      <w:r>
        <w:t xml:space="preserve">the measurements. Raw public human genomic inputs will</w:t>
      </w:r>
      <w:r>
        <w:t xml:space="preserve"> </w:t>
      </w:r>
      <w:r>
        <w:t xml:space="preserve">be referenced through their provider accessions and terms rather than</w:t>
      </w:r>
      <w:r>
        <w:t xml:space="preserve"> </w:t>
      </w:r>
      <w:r>
        <w:t xml:space="preserve">redistributed when redistribution is not appropriate.</w:t>
      </w:r>
    </w:p>
    <w:p>
      <w:pPr>
        <w:pStyle w:val="BodyText"/>
      </w:pPr>
      <w:r>
        <w:t xml:space="preserve">The bundled GRCh38 VEP cache with any-stratum AF ≥10% is archived at</w:t>
      </w:r>
      <w:r>
        <w:t xml:space="preserve"> </w:t>
      </w:r>
      <w:r>
        <w:t xml:space="preserve">https://doi.org/10.5281/zenodo.18189447, and the AF ≥1% cache at</w:t>
      </w:r>
      <w:r>
        <w:t xml:space="preserve"> </w:t>
      </w:r>
      <w:r>
        <w:t xml:space="preserve">https://doi.org/10.5281/zenodo.18190046. The corresponding GRCh37 caches are</w:t>
      </w:r>
      <w:r>
        <w:t xml:space="preserve"> </w:t>
      </w:r>
      <w:r>
        <w:t xml:space="preserve">archived at https://doi.org/10.5281/zenodo.18189051 and</w:t>
      </w:r>
      <w:r>
        <w:t xml:space="preserve"> </w:t>
      </w:r>
      <w:r>
        <w:t xml:space="preserve">https://doi.org/10.5281/zenodo.18189348. Source software will be cited by</w:t>
      </w:r>
      <w:r>
        <w:t xml:space="preserve"> </w:t>
      </w:r>
      <w:r>
        <w:t xml:space="preserve">release and persistent archive identifier in the final manuscript.</w:t>
      </w:r>
    </w:p>
    <w:bookmarkEnd w:id="50"/>
    <w:bookmarkStart w:id="51" w:name="list-of-abbreviations"/>
    <w:p>
      <w:pPr>
        <w:pStyle w:val="Heading1"/>
      </w:pPr>
      <w:r>
        <w:t xml:space="preserve">List of abbreviations</w:t>
      </w:r>
    </w:p>
    <w:p>
      <w:pPr>
        <w:pStyle w:val="FirstParagraph"/>
      </w:pPr>
      <w:r>
        <w:rPr>
          <w:bCs/>
          <w:b/>
        </w:rPr>
        <w:t xml:space="preserve">AF:</w:t>
      </w:r>
      <w:r>
        <w:t xml:space="preserve"> </w:t>
      </w:r>
      <w:r>
        <w:t xml:space="preserve">allele frequency;</w:t>
      </w:r>
      <w:r>
        <w:t xml:space="preserve"> </w:t>
      </w:r>
      <w:r>
        <w:rPr>
          <w:bCs/>
          <w:b/>
        </w:rPr>
        <w:t xml:space="preserve">BCF:</w:t>
      </w:r>
      <w:r>
        <w:t xml:space="preserve"> </w:t>
      </w:r>
      <w:r>
        <w:t xml:space="preserve">binary variant call format;</w:t>
      </w:r>
      <w:r>
        <w:t xml:space="preserve"> </w:t>
      </w:r>
      <w:r>
        <w:rPr>
          <w:bCs/>
          <w:b/>
        </w:rPr>
        <w:t xml:space="preserve">BGZF:</w:t>
      </w:r>
      <w:r>
        <w:t xml:space="preserve"> </w:t>
      </w:r>
      <w:r>
        <w:t xml:space="preserve">blocked</w:t>
      </w:r>
      <w:r>
        <w:t xml:space="preserve"> </w:t>
      </w:r>
      <w:r>
        <w:t xml:space="preserve">GNU Zip Format;</w:t>
      </w:r>
      <w:r>
        <w:t xml:space="preserve"> </w:t>
      </w:r>
      <w:r>
        <w:rPr>
          <w:bCs/>
          <w:b/>
        </w:rPr>
        <w:t xml:space="preserve">CSQ:</w:t>
      </w:r>
      <w:r>
        <w:t xml:space="preserve"> </w:t>
      </w:r>
      <w:r>
        <w:t xml:space="preserve">consequence annotation field;</w:t>
      </w:r>
      <w:r>
        <w:t xml:space="preserve"> </w:t>
      </w:r>
      <w:r>
        <w:rPr>
          <w:bCs/>
          <w:b/>
        </w:rPr>
        <w:t xml:space="preserve">GRCh:</w:t>
      </w:r>
      <w:r>
        <w:t xml:space="preserve"> </w:t>
      </w:r>
      <w:r>
        <w:t xml:space="preserve">Genome</w:t>
      </w:r>
      <w:r>
        <w:t xml:space="preserve"> </w:t>
      </w:r>
      <w:r>
        <w:t xml:space="preserve">Reference Consortium human assembly;</w:t>
      </w:r>
      <w:r>
        <w:t xml:space="preserve"> </w:t>
      </w:r>
      <w:r>
        <w:rPr>
          <w:bCs/>
          <w:b/>
        </w:rPr>
        <w:t xml:space="preserve">KPGP:</w:t>
      </w:r>
      <w:r>
        <w:t xml:space="preserve"> </w:t>
      </w:r>
      <w:r>
        <w:t xml:space="preserve">Korean Personal Genome Project;</w:t>
      </w:r>
      <w:r>
        <w:t xml:space="preserve"> </w:t>
      </w:r>
      <w:r>
        <w:rPr>
          <w:bCs/>
          <w:b/>
        </w:rPr>
        <w:t xml:space="preserve">PGP:</w:t>
      </w:r>
      <w:r>
        <w:t xml:space="preserve"> </w:t>
      </w:r>
      <w:r>
        <w:t xml:space="preserve">Personal Genome Project;</w:t>
      </w:r>
      <w:r>
        <w:t xml:space="preserve"> </w:t>
      </w:r>
      <w:r>
        <w:rPr>
          <w:bCs/>
          <w:b/>
        </w:rPr>
        <w:t xml:space="preserve">SGDP:</w:t>
      </w:r>
      <w:r>
        <w:t xml:space="preserve"> </w:t>
      </w:r>
      <w:r>
        <w:t xml:space="preserve">Simons Genome Diversity Project;</w:t>
      </w:r>
      <w:r>
        <w:t xml:space="preserve"> </w:t>
      </w:r>
      <w:r>
        <w:rPr>
          <w:bCs/>
          <w:b/>
        </w:rPr>
        <w:t xml:space="preserve">VCF:</w:t>
      </w:r>
      <w:r>
        <w:t xml:space="preserve"> </w:t>
      </w:r>
      <w:r>
        <w:t xml:space="preserve">variant call format;</w:t>
      </w:r>
      <w:r>
        <w:t xml:space="preserve"> </w:t>
      </w:r>
      <w:r>
        <w:rPr>
          <w:bCs/>
          <w:b/>
        </w:rPr>
        <w:t xml:space="preserve">VEP:</w:t>
      </w:r>
      <w:r>
        <w:t xml:space="preserve"> </w:t>
      </w:r>
      <w:r>
        <w:t xml:space="preserve">Ensembl Variant Effect Predictor;</w:t>
      </w:r>
      <w:r>
        <w:t xml:space="preserve"> </w:t>
      </w:r>
      <w:r>
        <w:rPr>
          <w:bCs/>
          <w:b/>
        </w:rPr>
        <w:t xml:space="preserve">WGS:</w:t>
      </w:r>
      <w:r>
        <w:t xml:space="preserve"> </w:t>
      </w:r>
      <w:r>
        <w:t xml:space="preserve">whole-genome sequencing.</w:t>
      </w:r>
    </w:p>
    <w:bookmarkEnd w:id="51"/>
    <w:bookmarkStart w:id="58" w:name="declarations"/>
    <w:p>
      <w:pPr>
        <w:pStyle w:val="Heading1"/>
      </w:pPr>
      <w:r>
        <w:t xml:space="preserve">Declarations</w:t>
      </w:r>
    </w:p>
    <w:bookmarkStart w:id="52" w:name="Xd182db0490b2de20bd2b4e4cc8698599182035f"/>
    <w:p>
      <w:pPr>
        <w:pStyle w:val="Heading2"/>
      </w:pPr>
      <w:r>
        <w:t xml:space="preserve">Ethics approval and consent to participate</w:t>
      </w:r>
    </w:p>
    <w:p>
      <w:pPr>
        <w:pStyle w:val="FirstParagraph"/>
      </w:pPr>
      <w:r>
        <w:t xml:space="preserve">This study used only openly accessible, de-identified public genomic resources</w:t>
      </w:r>
      <w:r>
        <w:t xml:space="preserve"> </w:t>
      </w:r>
      <w:r>
        <w:t xml:space="preserve">and did not recruit participants or attempt re-identification.</w:t>
      </w:r>
      <w:r>
        <w:t xml:space="preserve"> </w:t>
      </w:r>
      <w:r>
        <w:t xml:space="preserve">[INSTITUTIONAL ETHICS DETERMINATION OR WAIVER WORDING TO COMPLETE]</w:t>
      </w:r>
    </w:p>
    <w:bookmarkEnd w:id="52"/>
    <w:bookmarkStart w:id="53" w:name="consent-for-publication"/>
    <w:p>
      <w:pPr>
        <w:pStyle w:val="Heading2"/>
      </w:pPr>
      <w:r>
        <w:t xml:space="preserve">Consent for publication</w:t>
      </w:r>
    </w:p>
    <w:p>
      <w:pPr>
        <w:pStyle w:val="FirstParagraph"/>
      </w:pPr>
      <w:r>
        <w:t xml:space="preserve">Not applicable; the manuscript contains no directly identifying participant</w:t>
      </w:r>
      <w:r>
        <w:t xml:space="preserve"> </w:t>
      </w:r>
      <w:r>
        <w:t xml:space="preserve">information.</w:t>
      </w:r>
    </w:p>
    <w:bookmarkEnd w:id="53"/>
    <w:bookmarkStart w:id="5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[COMPETING-INTEREST DECLARATION TO COMPLETE]</w:t>
      </w:r>
    </w:p>
    <w:bookmarkEnd w:id="54"/>
    <w:bookmarkStart w:id="5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[FUNDING SOURCES, GRANT NUMBERS AND FUNDER ROLES TO COMPLETE]</w:t>
      </w:r>
    </w:p>
    <w:bookmarkEnd w:id="55"/>
    <w:bookmarkStart w:id="56" w:name="authors-contributions"/>
    <w:p>
      <w:pPr>
        <w:pStyle w:val="Heading2"/>
      </w:pPr>
      <w:r>
        <w:t xml:space="preserve">Authors’ contributions</w:t>
      </w:r>
    </w:p>
    <w:p>
      <w:pPr>
        <w:pStyle w:val="FirstParagraph"/>
      </w:pPr>
      <w:r>
        <w:t xml:space="preserve">[CRediT AUTHOR CONTRIBUTIONS TO COMPLETE]</w:t>
      </w:r>
    </w:p>
    <w:bookmarkEnd w:id="56"/>
    <w:bookmarkStart w:id="5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[ACKNOWLEDGEMENTS TO COMPLETE]</w:t>
      </w:r>
    </w:p>
    <w:bookmarkEnd w:id="57"/>
    <w:bookmarkEnd w:id="58"/>
    <w:bookmarkStart w:id="59" w:name="disclosure-of-use-of-ai-assisted-tools"/>
    <w:p>
      <w:pPr>
        <w:pStyle w:val="Heading1"/>
      </w:pPr>
      <w:r>
        <w:t xml:space="preserve">Disclosure of use of AI-assisted tools</w:t>
      </w:r>
    </w:p>
    <w:p>
      <w:pPr>
        <w:pStyle w:val="FirstParagraph"/>
      </w:pPr>
      <w:r>
        <w:t xml:space="preserve">OpenAI Codex using a GPT-5-family model was used on 17 August 2026 to organize</w:t>
      </w:r>
      <w:r>
        <w:t xml:space="preserve"> </w:t>
      </w:r>
      <w:r>
        <w:t xml:space="preserve">the manuscript workspace and to generate and edit an initial prose draft under</w:t>
      </w:r>
      <w:r>
        <w:t xml:space="preserve"> </w:t>
      </w:r>
      <w:r>
        <w:t xml:space="preserve">the direction of [DIRECTING AUTHOR NAME TO COMPLETE]. Quantitative statements</w:t>
      </w:r>
      <w:r>
        <w:t xml:space="preserve"> </w:t>
      </w:r>
      <w:r>
        <w:t xml:space="preserve">were checked against frozen repository tables and figure records. The authors</w:t>
      </w:r>
      <w:r>
        <w:t xml:space="preserve"> </w:t>
      </w:r>
      <w:r>
        <w:t xml:space="preserve">reviewed the scientific interpretation and remain responsible for all content.</w:t>
      </w:r>
    </w:p>
    <w:bookmarkEnd w:id="59"/>
    <w:bookmarkStart w:id="79" w:name="references"/>
    <w:p>
      <w:pPr>
        <w:pStyle w:val="Heading1"/>
      </w:pPr>
      <w:r>
        <w:t xml:space="preserve">References</w:t>
      </w:r>
    </w:p>
    <w:bookmarkStart w:id="78" w:name="refs"/>
    <w:bookmarkStart w:id="61" w:name="ref-mclaren2016vep"/>
    <w:p>
      <w:pPr>
        <w:pStyle w:val="Bibliography"/>
      </w:pPr>
      <w:r>
        <w:t xml:space="preserve">1. McLaren, W, Gil, L, Hunt, SE, Riat, HS, Ritchie, GRS, Thormann, A, et al. The ensembl variant effect predictor.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 </w:t>
      </w:r>
      <w:r>
        <w:t xml:space="preserve">2016; 17:122. doi:</w:t>
      </w:r>
      <w:hyperlink r:id="rId60">
        <w:r>
          <w:rPr>
            <w:rStyle w:val="Hyperlink"/>
          </w:rPr>
          <w:t xml:space="preserve">10.1186/s13059-016-0974-4</w:t>
        </w:r>
      </w:hyperlink>
      <w:r>
        <w:t xml:space="preserve">.</w:t>
      </w:r>
    </w:p>
    <w:bookmarkEnd w:id="61"/>
    <w:bookmarkStart w:id="63" w:name="ref-cingolani2012snpeff"/>
    <w:p>
      <w:pPr>
        <w:pStyle w:val="Bibliography"/>
      </w:pPr>
      <w:r>
        <w:t xml:space="preserve">2. Cingolani, P, Platts, A, Wang, LL, Coon, M, Nguyen, T, Wang, L, et al. A program for annotating and predicting the effects of single nucleotide polymorphisms, SnpEff.</w:t>
      </w:r>
      <w:r>
        <w:t xml:space="preserve"> </w:t>
      </w:r>
      <w:r>
        <w:rPr>
          <w:iCs/>
          <w:i/>
        </w:rPr>
        <w:t xml:space="preserve">Fly</w:t>
      </w:r>
      <w:r>
        <w:t xml:space="preserve"> </w:t>
      </w:r>
      <w:r>
        <w:t xml:space="preserve">2012; 6:80–92. doi:</w:t>
      </w:r>
      <w:hyperlink r:id="rId62">
        <w:r>
          <w:rPr>
            <w:rStyle w:val="Hyperlink"/>
          </w:rPr>
          <w:t xml:space="preserve">10.4161/fly.19695</w:t>
        </w:r>
      </w:hyperlink>
      <w:r>
        <w:t xml:space="preserve">.</w:t>
      </w:r>
    </w:p>
    <w:bookmarkEnd w:id="63"/>
    <w:bookmarkStart w:id="65" w:name="ref-danecek2021bcftools"/>
    <w:p>
      <w:pPr>
        <w:pStyle w:val="Bibliography"/>
      </w:pPr>
      <w:r>
        <w:t xml:space="preserve">3. Danecek, P, Bonfield, JK, Liddle, J, Marshall, J, Ohan, V, Pollard, MO, et al. Twelve years of SAMtools and BCFtools.</w:t>
      </w:r>
      <w:r>
        <w:t xml:space="preserve"> </w:t>
      </w:r>
      <w:r>
        <w:rPr>
          <w:iCs/>
          <w:i/>
        </w:rPr>
        <w:t xml:space="preserve">GigaScience</w:t>
      </w:r>
      <w:r>
        <w:t xml:space="preserve"> </w:t>
      </w:r>
      <w:r>
        <w:t xml:space="preserve">2021; 10. doi:</w:t>
      </w:r>
      <w:hyperlink r:id="rId64">
        <w:r>
          <w:rPr>
            <w:rStyle w:val="Hyperlink"/>
          </w:rPr>
          <w:t xml:space="preserve">10.1093/gigascience/giab008</w:t>
        </w:r>
      </w:hyperlink>
      <w:r>
        <w:t xml:space="preserve">.</w:t>
      </w:r>
    </w:p>
    <w:bookmarkEnd w:id="65"/>
    <w:bookmarkStart w:id="67" w:name="ref-vcfanno2016"/>
    <w:p>
      <w:pPr>
        <w:pStyle w:val="Bibliography"/>
      </w:pPr>
      <w:r>
        <w:t xml:space="preserve">4. Pedersen, BS, Layer, RM, Quinlan, AR. Vcfanno: Fast, flexible annotation of genetic variants.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 </w:t>
      </w:r>
      <w:r>
        <w:t xml:space="preserve">2016; 17:118. doi:</w:t>
      </w:r>
      <w:hyperlink r:id="rId66">
        <w:r>
          <w:rPr>
            <w:rStyle w:val="Hyperlink"/>
          </w:rPr>
          <w:t xml:space="preserve">10.1186/s13059-016-0973-5</w:t>
        </w:r>
      </w:hyperlink>
      <w:r>
        <w:t xml:space="preserve">.</w:t>
      </w:r>
    </w:p>
    <w:bookmarkEnd w:id="67"/>
    <w:bookmarkStart w:id="69" w:name="ref-kpgp_data"/>
    <w:p>
      <w:pPr>
        <w:pStyle w:val="Bibliography"/>
      </w:pPr>
      <w:r>
        <w:t xml:space="preserve">5. Korean Genome Project. Korean personal genome project. 2026;</w:t>
      </w:r>
      <w:r>
        <w:t xml:space="preserve"> </w:t>
      </w:r>
      <w:hyperlink r:id="rId68">
        <w:r>
          <w:rPr>
            <w:rStyle w:val="Hyperlink"/>
          </w:rPr>
          <w:t xml:space="preserve">https://koreangenome.org/Korean_Personal_Genome_Project</w:t>
        </w:r>
      </w:hyperlink>
      <w:r>
        <w:t xml:space="preserve">. Accessed 17 August 2026.</w:t>
      </w:r>
    </w:p>
    <w:bookmarkEnd w:id="69"/>
    <w:bookmarkStart w:id="71" w:name="ref-mallick2016sgdp"/>
    <w:p>
      <w:pPr>
        <w:pStyle w:val="Bibliography"/>
      </w:pPr>
      <w:r>
        <w:t xml:space="preserve">6. Mallick, S, Li, H, Lipson, M, et al. The simons genome diversity project: 300 genomes from 142 diverse populations.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t xml:space="preserve">2016; 538:201–206. doi:</w:t>
      </w:r>
      <w:hyperlink r:id="rId70">
        <w:r>
          <w:rPr>
            <w:rStyle w:val="Hyperlink"/>
          </w:rPr>
          <w:t xml:space="preserve">10.1038/nature18964</w:t>
        </w:r>
      </w:hyperlink>
      <w:r>
        <w:t xml:space="preserve">.</w:t>
      </w:r>
    </w:p>
    <w:bookmarkEnd w:id="71"/>
    <w:bookmarkStart w:id="73" w:name="ref-ball2012pgp"/>
    <w:p>
      <w:pPr>
        <w:pStyle w:val="Bibliography"/>
      </w:pPr>
      <w:r>
        <w:t xml:space="preserve">7. Ball, MP, Thakuria, JV, Zaranek, AW, et al. A public resource facilitating clinical use of genomes.</w:t>
      </w:r>
      <w:r>
        <w:t xml:space="preserve"> </w:t>
      </w:r>
      <w:r>
        <w:rPr>
          <w:iCs/>
          <w:i/>
        </w:rPr>
        <w:t xml:space="preserve">Proceedings of the National Academy of Sciences of the United States of America</w:t>
      </w:r>
      <w:r>
        <w:t xml:space="preserve"> </w:t>
      </w:r>
      <w:r>
        <w:t xml:space="preserve">2012; 109:11920–11927. doi:</w:t>
      </w:r>
      <w:hyperlink r:id="rId72">
        <w:r>
          <w:rPr>
            <w:rStyle w:val="Hyperlink"/>
          </w:rPr>
          <w:t xml:space="preserve">10.1073/pnas.1201904109</w:t>
        </w:r>
      </w:hyperlink>
      <w:r>
        <w:t xml:space="preserve">.</w:t>
      </w:r>
    </w:p>
    <w:bookmarkEnd w:id="73"/>
    <w:bookmarkStart w:id="75" w:name="ref-gnomad2024release"/>
    <w:p>
      <w:pPr>
        <w:pStyle w:val="Bibliography"/>
      </w:pPr>
      <w:r>
        <w:t xml:space="preserve">8. gnomAD Production Team. gnomAD v4.1: Joint frequency data and updated resources. 2024;</w:t>
      </w:r>
      <w:r>
        <w:t xml:space="preserve"> </w:t>
      </w:r>
      <w:hyperlink r:id="rId74">
        <w:r>
          <w:rPr>
            <w:rStyle w:val="Hyperlink"/>
          </w:rPr>
          <w:t xml:space="preserve">https://gnomad.broadinstitute.org/news/2024-04-gnomad-v4-1</w:t>
        </w:r>
      </w:hyperlink>
      <w:r>
        <w:t xml:space="preserve">. Accessed 17 August 2026.</w:t>
      </w:r>
    </w:p>
    <w:bookmarkEnd w:id="75"/>
    <w:bookmarkStart w:id="77" w:name="ref-vep_issue_1959"/>
    <w:p>
      <w:pPr>
        <w:pStyle w:val="Bibliography"/>
      </w:pPr>
      <w:r>
        <w:t xml:space="preserve">9. Ensembl VEP developers. HGNC ID in VEP output is affected by buffering and batching. 2025;</w:t>
      </w:r>
      <w:r>
        <w:t xml:space="preserve"> </w:t>
      </w:r>
      <w:hyperlink r:id="rId76">
        <w:r>
          <w:rPr>
            <w:rStyle w:val="Hyperlink"/>
          </w:rPr>
          <w:t xml:space="preserve">https://github.com/Ensembl/ensembl-vep/issues/1959</w:t>
        </w:r>
      </w:hyperlink>
      <w:r>
        <w:t xml:space="preserve">. GitHub issue 1959; accessed 17 August 2026.</w:t>
      </w:r>
    </w:p>
    <w:bookmarkEnd w:id="77"/>
    <w:bookmarkEnd w:id="78"/>
    <w:p>
      <w:r>
        <w:br w:type="page"/>
      </w:r>
    </w:p>
    <w:bookmarkEnd w:id="79"/>
    <w:bookmarkStart w:id="80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t xml:space="preserve">This document contains the supplementary methods, results and figures for the</w:t>
      </w:r>
      <w:r>
        <w:t xml:space="preserve"> </w:t>
      </w:r>
      <w:r>
        <w:t xml:space="preserve">VCFcache GigaScience Technical Note.</w:t>
      </w:r>
    </w:p>
    <w:bookmarkEnd w:id="80"/>
    <w:bookmarkStart w:id="86" w:name="supplementary-methods"/>
    <w:p>
      <w:pPr>
        <w:pStyle w:val="Heading1"/>
      </w:pPr>
      <w:r>
        <w:t xml:space="preserve">Supplementary Methods</w:t>
      </w:r>
    </w:p>
    <w:bookmarkStart w:id="81" w:name="Xa497f0c8802db69114c149215073e9594767df1"/>
    <w:p>
      <w:pPr>
        <w:pStyle w:val="Heading2"/>
      </w:pPr>
      <w:r>
        <w:t xml:space="preserve">External WGS selection and quality control</w:t>
      </w:r>
    </w:p>
    <w:p>
      <w:pPr>
        <w:pStyle w:val="FirstParagraph"/>
      </w:pPr>
      <w:r>
        <w:t xml:space="preserve">KPGP and SGDP inputs were selected from the DDBJ/NIG public-human-genomes</w:t>
      </w:r>
      <w:r>
        <w:t xml:space="preserve"> </w:t>
      </w:r>
      <w:r>
        <w:t xml:space="preserve">autosomal reanalysis, and PGP inputs from participant-contributed public VCFs.</w:t>
      </w:r>
      <w:r>
        <w:t xml:space="preserve"> </w:t>
      </w:r>
      <w:r>
        <w:t xml:space="preserve">Candidate catalogues recorded provider identifier, source URL, assembly,</w:t>
      </w:r>
      <w:r>
        <w:t xml:space="preserve"> </w:t>
      </w:r>
      <w:r>
        <w:t xml:space="preserve">declared sample identifier and file metadata before download. All preparation</w:t>
      </w:r>
      <w:r>
        <w:t xml:space="preserve"> </w:t>
      </w:r>
      <w:r>
        <w:t xml:space="preserve">steps were resumable and emitted machine-readable manifests.</w:t>
      </w:r>
    </w:p>
    <w:p>
      <w:pPr>
        <w:pStyle w:val="BodyText"/>
      </w:pPr>
      <w:r>
        <w:t xml:space="preserve">Selection was deterministic and performed before timing results were examined.</w:t>
      </w:r>
      <w:r>
        <w:t xml:space="preserve"> </w:t>
      </w:r>
      <w:r>
        <w:t xml:space="preserve">Three provider-specific genomes were assigned to cache construction. The</w:t>
      </w:r>
      <w:r>
        <w:t xml:space="preserve"> </w:t>
      </w:r>
      <w:r>
        <w:t xml:space="preserve">evaluation sets contained 20 KPGP, 20 SGDP and 12 PGP genomes. Training and</w:t>
      </w:r>
      <w:r>
        <w:t xml:space="preserve"> </w:t>
      </w:r>
      <w:r>
        <w:t xml:space="preserve">evaluation membership did not overlap. KPGP and SGDP remained in GRCh38;</w:t>
      </w:r>
      <w:r>
        <w:t xml:space="preserve"> </w:t>
      </w:r>
      <w:r>
        <w:t xml:space="preserve">PGP remained in GRCh37. No liftover was applied.</w:t>
      </w:r>
    </w:p>
    <w:p>
      <w:pPr>
        <w:pStyle w:val="BodyText"/>
      </w:pPr>
      <w:r>
        <w:t xml:space="preserve">Prepared inputs were single-sample, carried-allele VCFs restricted to</w:t>
      </w:r>
      <w:r>
        <w:t xml:space="preserve"> </w:t>
      </w:r>
      <w:r>
        <w:t xml:space="preserve">biallelic autosomal SNPs and short indels. Quality control tested compression,</w:t>
      </w:r>
      <w:r>
        <w:t xml:space="preserve"> </w:t>
      </w:r>
      <w:r>
        <w:t xml:space="preserve">index readability, coordinate order, contigs, sample identity, record count</w:t>
      </w:r>
      <w:r>
        <w:t xml:space="preserve"> </w:t>
      </w:r>
      <w:r>
        <w:t xml:space="preserve">and file integrity. Stable provider identifiers were retained separately from</w:t>
      </w:r>
      <w:r>
        <w:t xml:space="preserve"> </w:t>
      </w:r>
      <w:r>
        <w:t xml:space="preserve">potentially non-unique VCF sample labels.</w:t>
      </w:r>
    </w:p>
    <w:p>
      <w:pPr>
        <w:pStyle w:val="BodyText"/>
      </w:pPr>
      <w:r>
        <w:t xml:space="preserve">Relatedness screening was stratified by assembly. Common SNPs were pruned and</w:t>
      </w:r>
      <w:r>
        <w:t xml:space="preserve"> </w:t>
      </w:r>
      <w:r>
        <w:t xml:space="preserve">PLINK2 KING robust kinship was evaluated at 0.0884. The design prohibited a</w:t>
      </w:r>
      <w:r>
        <w:t xml:space="preserve"> </w:t>
      </w:r>
      <w:r>
        <w:t xml:space="preserve">second-degree-or-closer relationship across the cache-training/evaluation</w:t>
      </w:r>
      <w:r>
        <w:t xml:space="preserve"> </w:t>
      </w:r>
      <w:r>
        <w:t xml:space="preserve">boundary. One related KPGP pair within the evaluation set was retained and</w:t>
      </w:r>
      <w:r>
        <w:t xml:space="preserve"> </w:t>
      </w:r>
      <w:r>
        <w:t xml:space="preserve">reported because such structure is realistic in an applied cohort.</w:t>
      </w:r>
    </w:p>
    <w:bookmarkEnd w:id="81"/>
    <w:bookmarkStart w:id="82" w:name="matched-assay-extension"/>
    <w:p>
      <w:pPr>
        <w:pStyle w:val="Heading2"/>
      </w:pPr>
      <w:r>
        <w:t xml:space="preserve">Matched assay extension</w:t>
      </w:r>
    </w:p>
    <w:p>
      <w:pPr>
        <w:pStyle w:val="FirstParagraph"/>
      </w:pPr>
      <w:r>
        <w:t xml:space="preserve">The assay-by-annotator extension used 12 genomes selected deterministically</w:t>
      </w:r>
      <w:r>
        <w:t xml:space="preserve"> </w:t>
      </w:r>
      <w:r>
        <w:t xml:space="preserve">from the independent GRCh38 evaluation set before assay timing: six KPGP and</w:t>
      </w:r>
      <w:r>
        <w:t xml:space="preserve"> </w:t>
      </w:r>
      <w:r>
        <w:t xml:space="preserve">six SGDP. PGP was not included because its GRCh37 configuration would prevent</w:t>
      </w:r>
      <w:r>
        <w:t xml:space="preserve"> </w:t>
      </w:r>
      <w:r>
        <w:t xml:space="preserve">a matched assembly comparison. Each selected WGS was subset to Twist Human</w:t>
      </w:r>
      <w:r>
        <w:t xml:space="preserve"> </w:t>
      </w:r>
      <w:r>
        <w:t xml:space="preserve">Core Exome capture intervals padded by 125 bp and to ACMG SF v3.3 MANE Select</w:t>
      </w:r>
      <w:r>
        <w:t xml:space="preserve"> </w:t>
      </w:r>
      <w:r>
        <w:t xml:space="preserve">coding intervals padded by 20 bp. The resulting WES and Panel inputs therefore</w:t>
      </w:r>
      <w:r>
        <w:t xml:space="preserve"> </w:t>
      </w:r>
      <w:r>
        <w:t xml:space="preserve">retained the providers and variant-calling pipelines of the independent WGS</w:t>
      </w:r>
      <w:r>
        <w:t xml:space="preserve"> </w:t>
      </w:r>
      <w:r>
        <w:t xml:space="preserve">cohorts and did not introduce 1000 Genomes-derived performance samples.</w:t>
      </w:r>
    </w:p>
    <w:p>
      <w:pPr>
        <w:pStyle w:val="BodyText"/>
      </w:pPr>
      <w:r>
        <w:t xml:space="preserve">Each input was processed once with VEP 115.2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clinical fastVEP</w:t>
      </w:r>
      <w:r>
        <w:t xml:space="preserve"> </w:t>
      </w:r>
      <w:r>
        <w:t xml:space="preserve">0.3.0 and clinical SnpEff 5.4c, directly and through recipe-specific caches</w:t>
      </w:r>
      <w:r>
        <w:t xml:space="preserve"> </w:t>
      </w:r>
      <w:r>
        <w:t xml:space="preserve">built on the same gnomAD AF ≥1% blueprint. The VEP observations came from the</w:t>
      </w:r>
      <w:r>
        <w:t xml:space="preserve"> </w:t>
      </w:r>
      <w:r>
        <w:t xml:space="preserve">matched assay extension and the clinical fastVEP/SnpEff observations from the</w:t>
      </w:r>
      <w:r>
        <w:t xml:space="preserve"> </w:t>
      </w:r>
      <w:r>
        <w:t xml:space="preserve">final native annotation campaign; sample identity, assay definition and cache</w:t>
      </w:r>
      <w:r>
        <w:t xml:space="preserve"> </w:t>
      </w:r>
      <w:r>
        <w:t xml:space="preserve">membership were held fixed. All cached outputs were subjected to their</w:t>
      </w:r>
      <w:r>
        <w:t xml:space="preserve"> </w:t>
      </w:r>
      <w:r>
        <w:t xml:space="preserve">annotator-specific external semantic comparators. The 108 paired observations</w:t>
      </w:r>
      <w:r>
        <w:t xml:space="preserve"> </w:t>
      </w:r>
      <w:r>
        <w:t xml:space="preserve">were designed to identify where fixed cache-workflow costs are recovered, not</w:t>
      </w:r>
      <w:r>
        <w:t xml:space="preserve"> </w:t>
      </w:r>
      <w:r>
        <w:t xml:space="preserve">to imply that every assay benefits or that the three native recipes have equal</w:t>
      </w:r>
      <w:r>
        <w:t xml:space="preserve"> </w:t>
      </w:r>
      <w:r>
        <w:t xml:space="preserve">annotation content.</w:t>
      </w:r>
    </w:p>
    <w:bookmarkEnd w:id="82"/>
    <w:bookmarkStart w:id="83" w:name="public-cache-provenance"/>
    <w:p>
      <w:pPr>
        <w:pStyle w:val="Heading2"/>
      </w:pPr>
      <w:r>
        <w:t xml:space="preserve">Public-cache provenance</w:t>
      </w:r>
    </w:p>
    <w:p>
      <w:pPr>
        <w:pStyle w:val="FirstParagraph"/>
      </w:pPr>
      <w:r>
        <w:t xml:space="preserve">Only VCFcache caches distributed from production Zenodo were used for the</w:t>
      </w:r>
      <w:r>
        <w:t xml:space="preserve"> </w:t>
      </w:r>
      <w:r>
        <w:t xml:space="preserve">ready-made public-cache comparison. The GRCh38 VEP 115.2 AF ≥10% and AF ≥1%</w:t>
      </w:r>
      <w:r>
        <w:t xml:space="preserve"> </w:t>
      </w:r>
      <w:r>
        <w:t xml:space="preserve">archives had DOIs 10.5281/zenodo.18189447 and 10.5281/zenodo.18190046. Their</w:t>
      </w:r>
      <w:r>
        <w:t xml:space="preserve"> </w:t>
      </w:r>
      <w:r>
        <w:t xml:space="preserve">GRCh37 counterparts had DOIs 10.5281/zenodo.18189051 and</w:t>
      </w:r>
      <w:r>
        <w:t xml:space="preserve"> </w:t>
      </w:r>
      <w:r>
        <w:t xml:space="preserve">10.5281/zenodo.18189348. Downloads were checked against frozen archive MD5</w:t>
      </w:r>
      <w:r>
        <w:t xml:space="preserve"> </w:t>
      </w:r>
      <w:r>
        <w:t xml:space="preserve">values before extraction.</w:t>
      </w:r>
    </w:p>
    <w:p>
      <w:pPr>
        <w:pStyle w:val="BodyText"/>
      </w:pPr>
      <w:r>
        <w:t xml:space="preserve">The frequency thresholds are any-stratum thresholds: a site entered the</w:t>
      </w:r>
      <w:r>
        <w:t xml:space="preserve"> </w:t>
      </w:r>
      <w:r>
        <w:t xml:space="preserve">blueprint when at least one reported gnomAD frequency stratum met the cutoff.</w:t>
      </w:r>
      <w:r>
        <w:t xml:space="preserve"> </w:t>
      </w:r>
      <w:r>
        <w:t xml:space="preserve">The labels therefore do not mean combined-population AF thresholds.</w:t>
      </w:r>
    </w:p>
    <w:bookmarkEnd w:id="83"/>
    <w:bookmarkStart w:id="84" w:name="Xd4d262bb7319dbb3505d52259c4d06ced83d96d"/>
    <w:p>
      <w:pPr>
        <w:pStyle w:val="Heading2"/>
      </w:pPr>
      <w:r>
        <w:t xml:space="preserve">Benchmark execution and statistical analysis</w:t>
      </w:r>
    </w:p>
    <w:p>
      <w:pPr>
        <w:pStyle w:val="FirstParagraph"/>
      </w:pPr>
      <w:r>
        <w:t xml:space="preserve">The Slurm cluster comprised one head node and six workers with identical</w:t>
      </w:r>
      <w:r>
        <w:t xml:space="preserve"> </w:t>
      </w:r>
      <w:r>
        <w:t xml:space="preserve">software and worker-local benchmark inputs, caches and annotator assets. A</w:t>
      </w:r>
      <w:r>
        <w:t xml:space="preserve"> </w:t>
      </w:r>
      <w:r>
        <w:t xml:space="preserve">shared results export was mounted read-only or append-only as appropriate.</w:t>
      </w:r>
      <w:r>
        <w:t xml:space="preserve"> </w:t>
      </w:r>
      <w:r>
        <w:t xml:space="preserve">Each sample task executed its direct and cached conditions in separate Slurm</w:t>
      </w:r>
      <w:r>
        <w:t xml:space="preserve"> </w:t>
      </w:r>
      <w:r>
        <w:t xml:space="preserve">job steps. This prevented an earlier condition’s cgroup memory peak from being</w:t>
      </w:r>
      <w:r>
        <w:t xml:space="preserve"> </w:t>
      </w:r>
      <w:r>
        <w:t xml:space="preserve">reported for a later condition.</w:t>
      </w:r>
    </w:p>
    <w:p>
      <w:pPr>
        <w:pStyle w:val="BodyText"/>
      </w:pPr>
      <w:r>
        <w:t xml:space="preserve">The final campaigns used one observation for each unique</w:t>
      </w:r>
      <w:r>
        <w:t xml:space="preserve"> </w:t>
      </w:r>
      <w:r>
        <w:t xml:space="preserve">sample/annotator/cache combination. Samples provide biological and pipeline</w:t>
      </w:r>
      <w:r>
        <w:t xml:space="preserve"> </w:t>
      </w:r>
      <w:r>
        <w:t xml:space="preserve">heterogeneity; repeated executions of the same technical cell were not treated</w:t>
      </w:r>
      <w:r>
        <w:t xml:space="preserve"> </w:t>
      </w:r>
      <w:r>
        <w:t xml:space="preserve">as independent observations. A small repeatability control showed sub-percent</w:t>
      </w:r>
      <w:r>
        <w:t xml:space="preserve"> </w:t>
      </w:r>
      <w:r>
        <w:t xml:space="preserve">differences and was not pooled with the 52-genome analysis.</w:t>
      </w:r>
    </w:p>
    <w:p>
      <w:pPr>
        <w:pStyle w:val="BodyText"/>
      </w:pPr>
      <w:r>
        <w:t xml:space="preserve">The external semantic comparator ran after timing and was excluded from all</w:t>
      </w:r>
      <w:r>
        <w:t xml:space="preserve"> </w:t>
      </w:r>
      <w:r>
        <w:t xml:space="preserve">reported wall times. No observation was calibrated or rescaled.</w:t>
      </w:r>
    </w:p>
    <w:p>
      <w:pPr>
        <w:pStyle w:val="BodyText"/>
      </w:pPr>
      <w:r>
        <w:t xml:space="preserve">For the short matched Panel/WES extension, one separate KPGP-00319 assay subset</w:t>
      </w:r>
      <w:r>
        <w:t xml:space="preserve"> </w:t>
      </w:r>
      <w:r>
        <w:t xml:space="preserve">was processed before either timed condition in every task. This untimed step</w:t>
      </w:r>
      <w:r>
        <w:t xml:space="preserve"> </w:t>
      </w:r>
      <w:r>
        <w:t xml:space="preserve">loaded annotator, transcript and cache-lookup assets consistently; it was not</w:t>
      </w:r>
      <w:r>
        <w:t xml:space="preserve"> </w:t>
      </w:r>
      <w:r>
        <w:t xml:space="preserve">an evaluation-sample replicate and was excluded from all summaries. The need</w:t>
      </w:r>
      <w:r>
        <w:t xml:space="preserve"> </w:t>
      </w:r>
      <w:r>
        <w:t xml:space="preserve">for this control was established before retaining extension timings, when a</w:t>
      </w:r>
      <w:r>
        <w:t xml:space="preserve"> </w:t>
      </w:r>
      <w:r>
        <w:t xml:space="preserve">discarded pilot showed that cold-state condition order dominated short cells.</w:t>
      </w:r>
    </w:p>
    <w:p>
      <w:pPr>
        <w:pStyle w:val="BodyText"/>
      </w:pPr>
      <w:r>
        <w:t xml:space="preserve">The final clinical campaign used 12 independent genomes per assembly and five</w:t>
      </w:r>
      <w:r>
        <w:t xml:space="preserve"> </w:t>
      </w:r>
      <w:r>
        <w:t xml:space="preserve">tool/recipe/assembly arms: clinical fastVEP on GRCh38 and GRCh37, clinical</w:t>
      </w:r>
      <w:r>
        <w:t xml:space="preserve"> </w:t>
      </w:r>
      <w:r>
        <w:t xml:space="preserve">SnpEff on both assemblies, and core SnpEff on GRCh37. Panel, WES and WGS cells</w:t>
      </w:r>
      <w:r>
        <w:t xml:space="preserve"> </w:t>
      </w:r>
      <w:r>
        <w:t xml:space="preserve">each contained one direct and one cached run. The gnomAD AF ≥1% blueprint set</w:t>
      </w:r>
      <w:r>
        <w:t xml:space="preserve"> </w:t>
      </w:r>
      <w:r>
        <w:t xml:space="preserve">cache membership; every cache was annotated locally with its own frozen recipe.</w:t>
      </w:r>
      <w:r>
        <w:t xml:space="preserve"> </w:t>
      </w:r>
      <w:r>
        <w:t xml:space="preserve">No cache annotation was transferred between tools.</w:t>
      </w:r>
    </w:p>
    <w:p>
      <w:pPr>
        <w:pStyle w:val="BodyText"/>
      </w:pPr>
      <w:r>
        <w:t xml:space="preserve">Medians summarize sample-level speedups. Stratified bootstrap intervals used</w:t>
      </w:r>
      <w:r>
        <w:t xml:space="preserve"> </w:t>
      </w:r>
      <w:r>
        <w:t xml:space="preserve">10,000 resamples within KPGP, SGDP and PGP while preserving a sampled genome’s</w:t>
      </w:r>
      <w:r>
        <w:t xml:space="preserve"> </w:t>
      </w:r>
      <w:r>
        <w:t xml:space="preserve">paired conditions. This respects the deliberately heterogeneous 20/20/12</w:t>
      </w:r>
      <w:r>
        <w:t xml:space="preserve"> </w:t>
      </w:r>
      <w:r>
        <w:t xml:space="preserve">cohort allocation.</w:t>
      </w:r>
    </w:p>
    <w:p>
      <w:pPr>
        <w:pStyle w:val="BodyText"/>
      </w:pPr>
      <w:r>
        <w:t xml:space="preserve">Relative speedup was interpreted within each assembly and annotator recipe.</w:t>
      </w:r>
      <w:r>
        <w:t xml:space="preserve"> </w:t>
      </w:r>
      <w:r>
        <w:t xml:space="preserve">In particular, the GRCh37 PGP configuration had a substantially faster direct</w:t>
      </w:r>
      <w:r>
        <w:t xml:space="preserve"> </w:t>
      </w:r>
      <w:r>
        <w:t xml:space="preserve">fastVEP baseline than the two GRCh38 configurations, whereas parsing, lookup</w:t>
      </w:r>
      <w:r>
        <w:t xml:space="preserve"> </w:t>
      </w:r>
      <w:r>
        <w:t xml:space="preserve">and output construction did not decrease in the same proportion. Its smaller</w:t>
      </w:r>
      <w:r>
        <w:t xml:space="preserve"> </w:t>
      </w:r>
      <w:r>
        <w:t xml:space="preserve">relative fastVEP speedup therefore reflects the larger fixed-cost fraction and</w:t>
      </w:r>
      <w:r>
        <w:t xml:space="preserve"> </w:t>
      </w:r>
      <w:r>
        <w:t xml:space="preserve">must not be interpreted as evidence of poorer biological cache coverage.</w:t>
      </w:r>
    </w:p>
    <w:bookmarkEnd w:id="84"/>
    <w:bookmarkStart w:id="85" w:name="semantic-validation-details"/>
    <w:p>
      <w:pPr>
        <w:pStyle w:val="Heading2"/>
      </w:pPr>
      <w:r>
        <w:t xml:space="preserve">Semantic validation details</w:t>
      </w:r>
    </w:p>
    <w:p>
      <w:pPr>
        <w:pStyle w:val="FirstParagraph"/>
      </w:pPr>
      <w:r>
        <w:t xml:space="preserve">Correctness was a gate, not a secondary timing outcome. A cached result could</w:t>
      </w:r>
      <w:r>
        <w:t xml:space="preserve"> </w:t>
      </w:r>
      <w:r>
        <w:t xml:space="preserve">not contribute to a performance figure unless it passed the comparator defined</w:t>
      </w:r>
      <w:r>
        <w:t xml:space="preserve"> </w:t>
      </w:r>
      <w:r>
        <w:t xml:space="preserve">for its annotator.</w:t>
      </w:r>
    </w:p>
    <w:p>
      <w:pPr>
        <w:pStyle w:val="BodyText"/>
      </w:pPr>
      <w:r>
        <w:t xml:space="preserve">For VEP, variant keys, retained input INFO, genotype, CSQ header and all CSQ</w:t>
      </w:r>
      <w:r>
        <w:t xml:space="preserve"> </w:t>
      </w:r>
      <w:r>
        <w:t xml:space="preserve">entries were compared. CSQ-entry order and complete-record order within a</w:t>
      </w:r>
      <w:r>
        <w:t xml:space="preserve"> </w:t>
      </w:r>
      <w:r>
        <w:t xml:space="preserve">shared locus were canonicalized. HGNC_ID-only differences were counted but</w:t>
      </w:r>
      <w:r>
        <w:t xml:space="preserve"> </w:t>
      </w:r>
      <w:r>
        <w:t xml:space="preserve">excluded from pass/fail because VEP 115.2 exhibits a documented batching</w:t>
      </w:r>
      <w:r>
        <w:t xml:space="preserve"> </w:t>
      </w:r>
      <w:r>
        <w:t xml:space="preserve">dependency. This exception was not generalized to other fields or annotators.</w:t>
      </w:r>
    </w:p>
    <w:p>
      <w:pPr>
        <w:pStyle w:val="BodyText"/>
      </w:pPr>
      <w:r>
        <w:t xml:space="preserve">For fastVEP, every INFO and FORMAT value and every relevant header definition</w:t>
      </w:r>
      <w:r>
        <w:t xml:space="preserve"> </w:t>
      </w:r>
      <w:r>
        <w:t xml:space="preserve">was compared. INFO-tag order, CSQ-entry order and complete-record order within</w:t>
      </w:r>
      <w:r>
        <w:t xml:space="preserve"> </w:t>
      </w:r>
      <w:r>
        <w:t xml:space="preserve">identical loci were canonicalized; no annotation field was ignored. This</w:t>
      </w:r>
      <w:r>
        <w:t xml:space="preserve"> </w:t>
      </w:r>
      <w:r>
        <w:t xml:space="preserve">included fastVEP supplementary fields such as FV_CLINVAR, FV_GNOMAD, FV_1KG</w:t>
      </w:r>
      <w:r>
        <w:t xml:space="preserve"> </w:t>
      </w:r>
      <w:r>
        <w:t xml:space="preserve">and FV_TOPMED when present.</w:t>
      </w:r>
    </w:p>
    <w:p>
      <w:pPr>
        <w:pStyle w:val="BodyText"/>
      </w:pPr>
      <w:r>
        <w:t xml:space="preserve">For SnpEff, the comparator checked variant keys, genotype and the complete INFO</w:t>
      </w:r>
      <w:r>
        <w:t xml:space="preserve"> </w:t>
      </w:r>
      <w:r>
        <w:t xml:space="preserve">content defining the tested recipe. ANN entries and same-position records were</w:t>
      </w:r>
      <w:r>
        <w:t xml:space="preserve"> </w:t>
      </w:r>
      <w:r>
        <w:t xml:space="preserve">canonicalized for ordering; warning tokens, ClinVar and gnomAD values were not</w:t>
      </w:r>
      <w:r>
        <w:t xml:space="preserve"> </w:t>
      </w:r>
      <w:r>
        <w:t xml:space="preserve">ignored. Of 180 final-campaign pairs, 176 passed. Four cells from GRCh37 sample</w:t>
      </w:r>
      <w:r>
        <w:t xml:space="preserve"> </w:t>
      </w:r>
      <w:r>
        <w:rPr>
          <w:rStyle w:val="VerbatimChar"/>
        </w:rPr>
        <w:t xml:space="preserve">hu6664F3</w:t>
      </w:r>
      <w:r>
        <w:t xml:space="preserve"> </w:t>
      </w:r>
      <w:r>
        <w:t xml:space="preserve">were excluded before inference because one allele carried a</w:t>
      </w:r>
      <w:r>
        <w:t xml:space="preserve"> </w:t>
      </w:r>
      <w:r>
        <w:rPr>
          <w:rStyle w:val="VerbatimChar"/>
        </w:rPr>
        <w:t xml:space="preserve">WARNING_TRANSCRIPT_MULTIPLE_STOP_CODONS</w:t>
      </w:r>
      <w:r>
        <w:t xml:space="preserve"> </w:t>
      </w:r>
      <w:r>
        <w:t xml:space="preserve">token only in the cached arm. All</w:t>
      </w:r>
      <w:r>
        <w:t xml:space="preserve"> </w:t>
      </w:r>
      <w:r>
        <w:t xml:space="preserve">consequence, transcript, HGVS, ClinVar, gnomAD, genotype and record-count values</w:t>
      </w:r>
      <w:r>
        <w:t xml:space="preserve"> </w:t>
      </w:r>
      <w:r>
        <w:t xml:space="preserve">otherwise agreed.</w:t>
      </w:r>
    </w:p>
    <w:p>
      <w:pPr>
        <w:pStyle w:val="BodyText"/>
      </w:pPr>
      <w:r>
        <w:t xml:space="preserve">A direct-SnpEff-only diagnostic reduced the difference to two input records.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chr2:11273459 C&gt;T</w:t>
      </w:r>
      <w:r>
        <w:t xml:space="preserve">, the warning was absent when the allele was processed</w:t>
      </w:r>
      <w:r>
        <w:t xml:space="preserve"> </w:t>
      </w:r>
      <w:r>
        <w:t xml:space="preserve">alone, present after</w:t>
      </w:r>
      <w:r>
        <w:t xml:space="preserve"> </w:t>
      </w:r>
      <w:r>
        <w:rPr>
          <w:rStyle w:val="VerbatimChar"/>
        </w:rPr>
        <w:t xml:space="preserve">chr2:11273458 A&gt;AC</w:t>
      </w:r>
      <w:r>
        <w:t xml:space="preserve">, and absent when the same two records</w:t>
      </w:r>
      <w:r>
        <w:t xml:space="preserve"> </w:t>
      </w:r>
      <w:r>
        <w:t xml:space="preserve">were reversed. The target’s warning-free ANN digest was identical in both</w:t>
      </w:r>
      <w:r>
        <w:t xml:space="preserve"> </w:t>
      </w:r>
      <w:r>
        <w:t xml:space="preserve">controls. This demonstrates processing-order-dependent SnpEff 5.4c diagnostic</w:t>
      </w:r>
      <w:r>
        <w:t xml:space="preserve"> </w:t>
      </w:r>
      <w:r>
        <w:t xml:space="preserve">state rather than a VCFcache lookup or merge error. The warning was neither</w:t>
      </w:r>
      <w:r>
        <w:t xml:space="preserve"> </w:t>
      </w:r>
      <w:r>
        <w:t xml:space="preserve">suppressed nor added to a general exception; exact VCFs and output checksums are</w:t>
      </w:r>
      <w:r>
        <w:t xml:space="preserve"> </w:t>
      </w:r>
      <w:r>
        <w:t xml:space="preserve">included in the archived diagnostic.</w:t>
      </w:r>
    </w:p>
    <w:p>
      <w:pPr>
        <w:pStyle w:val="BodyText"/>
      </w:pPr>
      <w:r>
        <w:t xml:space="preserve">All 156 VEP and 156 fastVEP cached external-WGS outputs passed. The documented</w:t>
      </w:r>
      <w:r>
        <w:t xml:space="preserve"> </w:t>
      </w:r>
      <w:r>
        <w:t xml:space="preserve">VEP exception comprised 8,898 HGNC_ID-only record differences among</w:t>
      </w:r>
      <w:r>
        <w:t xml:space="preserve"> </w:t>
      </w:r>
      <w:r>
        <w:t xml:space="preserve">734,582,949 compared records (0.0012%); the maximum was 495 records in one</w:t>
      </w:r>
      <w:r>
        <w:t xml:space="preserve"> </w:t>
      </w:r>
      <w:r>
        <w:t xml:space="preserve">4.84-million-variant comparison. A separate 89-output technical validation set</w:t>
      </w:r>
      <w:r>
        <w:t xml:space="preserve"> </w:t>
      </w:r>
      <w:r>
        <w:t xml:space="preserve">contained 265 HGNC_ID-only differences and no unexpected annotation mismatch.</w:t>
      </w:r>
      <w:r>
        <w:t xml:space="preserve"> </w:t>
      </w:r>
      <w:r>
        <w:t xml:space="preserve">The 12 cached pipeline-complexity outputs also passed their specified gates.</w:t>
      </w:r>
      <w:r>
        <w:t xml:space="preserve"> </w:t>
      </w:r>
      <w:r>
        <w:t xml:space="preserve">These results support equivalence within a fixed annotator and recipe, not</w:t>
      </w:r>
      <w:r>
        <w:t xml:space="preserve"> </w:t>
      </w:r>
      <w:r>
        <w:t xml:space="preserve">between annotators or arbitrary annotation configurations.</w:t>
      </w:r>
    </w:p>
    <w:bookmarkEnd w:id="85"/>
    <w:bookmarkEnd w:id="86"/>
    <w:bookmarkStart w:id="89" w:name="supplementary-results"/>
    <w:p>
      <w:pPr>
        <w:pStyle w:val="Heading1"/>
      </w:pPr>
      <w:r>
        <w:t xml:space="preserve">Supplementary Results</w:t>
      </w:r>
    </w:p>
    <w:bookmarkStart w:id="87" w:name="fastvep-engineering-pilots"/>
    <w:p>
      <w:pPr>
        <w:pStyle w:val="Heading2"/>
      </w:pPr>
      <w:r>
        <w:t xml:space="preserve">fastVEP engineering pilots</w:t>
      </w:r>
    </w:p>
    <w:p>
      <w:pPr>
        <w:pStyle w:val="FirstParagraph"/>
      </w:pPr>
      <w:r>
        <w:t xml:space="preserve">An exploratory pilot on one 4,329,621-variant WGS profiled the fixed work that</w:t>
      </w:r>
      <w:r>
        <w:t xml:space="preserve"> </w:t>
      </w:r>
      <w:r>
        <w:t xml:space="preserve">remains when cache hits approach 100%. With the original core fastVEP recipe,</w:t>
      </w:r>
      <w:r>
        <w:t xml:space="preserve"> </w:t>
      </w:r>
      <w:r>
        <w:t xml:space="preserve">VCFcache achieved 1.86-fold, 2.11-fold and 2.84-fold speedups at approximately</w:t>
      </w:r>
      <w:r>
        <w:t xml:space="preserve"> </w:t>
      </w:r>
      <w:r>
        <w:t xml:space="preserve">80%, 90% and 100% hits. Complete output comparison passed after canonicalizing</w:t>
      </w:r>
      <w:r>
        <w:t xml:space="preserve"> </w:t>
      </w:r>
      <w:r>
        <w:t xml:space="preserve">only INFO-tag and CSQ-entry order. This engineering pilot is not combined with</w:t>
      </w:r>
      <w:r>
        <w:t xml:space="preserve"> </w:t>
      </w:r>
      <w:r>
        <w:t xml:space="preserve">the primary external-WGS campaign.</w:t>
      </w:r>
    </w:p>
    <w:p>
      <w:pPr>
        <w:pStyle w:val="BodyText"/>
      </w:pPr>
      <w:r>
        <w:t xml:space="preserve">A dense supplementary-database stress configuration used six custom fastSA</w:t>
      </w:r>
      <w:r>
        <w:t xml:space="preserve"> </w:t>
      </w:r>
      <w:r>
        <w:t xml:space="preserve">sources, three population-style sources and ClinVar. It was rerun on the</w:t>
      </w:r>
      <w:r>
        <w:t xml:space="preserve"> </w:t>
      </w:r>
      <w:r>
        <w:t xml:space="preserve">held-out KPGP-00319 genome under process-wide CPU affinity. At 10 CPUs, direct</w:t>
      </w:r>
      <w:r>
        <w:t xml:space="preserve"> </w:t>
      </w:r>
      <w:r>
        <w:t xml:space="preserve">and 90%-cached annotation took 706.2 and 230.0 seconds (3.07-fold speedup); at</w:t>
      </w:r>
      <w:r>
        <w:t xml:space="preserve"> </w:t>
      </w:r>
      <w:r>
        <w:t xml:space="preserve">32 CPUs, they took 691.4 and 205.4 seconds (3.37-fold). Increasing the limit</w:t>
      </w:r>
      <w:r>
        <w:t xml:space="preserve"> </w:t>
      </w:r>
      <w:r>
        <w:t xml:space="preserve">from 10 to 32 CPUs therefore changed direct runtime by only 2.1%, while</w:t>
      </w:r>
      <w:r>
        <w:t xml:space="preserve"> </w:t>
      </w:r>
      <w:r>
        <w:t xml:space="preserve">caching returned approximately eight minutes per genome at both limits. All</w:t>
      </w:r>
      <w:r>
        <w:t xml:space="preserve"> </w:t>
      </w:r>
      <w:r>
        <w:t xml:space="preserve">four retained outputs passed complete-record equality. This configuration</w:t>
      </w:r>
      <w:r>
        <w:t xml:space="preserve"> </w:t>
      </w:r>
      <w:r>
        <w:t xml:space="preserve">demonstrates that cache reuse remains valuable after fastVEP saturates its CPU</w:t>
      </w:r>
      <w:r>
        <w:t xml:space="preserve"> </w:t>
      </w:r>
      <w:r>
        <w:t xml:space="preserve">scaling, but its database density is deliberately an upper-bound stress test.</w:t>
      </w:r>
    </w:p>
    <w:p>
      <w:pPr>
        <w:pStyle w:val="BodyText"/>
      </w:pPr>
      <w:r>
        <w:t xml:space="preserve">The matched core recipe took 868.4, 463.8 and 379.1 seconds directly at 1, 10</w:t>
      </w:r>
      <w:r>
        <w:t xml:space="preserve"> </w:t>
      </w:r>
      <w:r>
        <w:t xml:space="preserve">and 32 CPUs, and 576.5, 180.3 and 148.8 seconds with the controlled cache. The</w:t>
      </w:r>
      <w:r>
        <w:t xml:space="preserve"> </w:t>
      </w:r>
      <w:r>
        <w:t xml:space="preserve">corresponding speedups were 1.51-fold, 2.57-fold and 2.55-fold. Thus ten CPUs</w:t>
      </w:r>
      <w:r>
        <w:t xml:space="preserve"> </w:t>
      </w:r>
      <w:r>
        <w:t xml:space="preserve">made the dense direct recipe faster than the one-CPU core recipe (706.2 versus</w:t>
      </w:r>
      <w:r>
        <w:t xml:space="preserve"> </w:t>
      </w:r>
      <w:r>
        <w:t xml:space="preserve">868.4 seconds), but did not make complexity free: at the same 10-CPU allocation</w:t>
      </w:r>
      <w:r>
        <w:t xml:space="preserve"> </w:t>
      </w:r>
      <w:r>
        <w:t xml:space="preserve">the dense recipe was 52.2% slower than the core recipe. VCFcache returned 7.9</w:t>
      </w:r>
      <w:r>
        <w:t xml:space="preserve"> </w:t>
      </w:r>
      <w:r>
        <w:t xml:space="preserve">minutes from the dense 10-CPU run and increased its speedup from 2.57-fold for</w:t>
      </w:r>
      <w:r>
        <w:t xml:space="preserve"> </w:t>
      </w:r>
      <w:r>
        <w:t xml:space="preserve">the core recipe to 3.07-fold for the dense recipe. Additional CPUs and reuse</w:t>
      </w:r>
      <w:r>
        <w:t xml:space="preserve"> </w:t>
      </w:r>
      <w:r>
        <w:t xml:space="preserve">therefore addressed different components of runtime.</w:t>
      </w:r>
    </w:p>
    <w:p>
      <w:pPr>
        <w:pStyle w:val="BodyText"/>
      </w:pPr>
      <w:r>
        <w:t xml:space="preserve">Profiling at 100% hits attributed material wall time to cache lookup, the</w:t>
      </w:r>
      <w:r>
        <w:t xml:space="preserve"> </w:t>
      </w:r>
      <w:r>
        <w:t xml:space="preserve">guaranteed-empty miss scan and final output construction; subprocess startup</w:t>
      </w:r>
      <w:r>
        <w:t xml:space="preserve"> </w:t>
      </w:r>
      <w:r>
        <w:t xml:space="preserve">was negligible. In the affinity-controlled experiment, both direct fastVEP and</w:t>
      </w:r>
      <w:r>
        <w:t xml:space="preserve"> </w:t>
      </w:r>
      <w:r>
        <w:t xml:space="preserve">VCFcache were restricted using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; the plotted axis therefore denotes</w:t>
      </w:r>
      <w:r>
        <w:t xml:space="preserve"> </w:t>
      </w:r>
      <w:r>
        <w:t xml:space="preserve">CPUs available to the process rather than only a configured thread count. An</w:t>
      </w:r>
      <w:r>
        <w:t xml:space="preserve"> </w:t>
      </w:r>
      <w:r>
        <w:t xml:space="preserve">exploratory dense one-CPU cell was stopped after sustained, impractically low</w:t>
      </w:r>
      <w:r>
        <w:t xml:space="preserve"> </w:t>
      </w:r>
      <w:r>
        <w:t xml:space="preserve">throughput and was not treated as a completed observation. It was unnecessary</w:t>
      </w:r>
      <w:r>
        <w:t xml:space="preserve"> </w:t>
      </w:r>
      <w:r>
        <w:t xml:space="preserve">for the prespecified comparison between the dense recipe at 10 CPUs and the</w:t>
      </w:r>
      <w:r>
        <w:t xml:space="preserve"> </w:t>
      </w:r>
      <w:r>
        <w:t xml:space="preserve">core recipe at one CPU.</w:t>
      </w:r>
    </w:p>
    <w:p>
      <w:pPr>
        <w:pStyle w:val="BodyText"/>
      </w:pPr>
      <w:r>
        <w:t xml:space="preserve">The pilots motivate a future streaming engine that performs lookup, miss</w:t>
      </w:r>
      <w:r>
        <w:t xml:space="preserve"> </w:t>
      </w:r>
      <w:r>
        <w:t xml:space="preserve">selection and output construction with fewer complete-file passes. They do not</w:t>
      </w:r>
      <w:r>
        <w:t xml:space="preserve"> </w:t>
      </w:r>
      <w:r>
        <w:t xml:space="preserve">alter the current publication claim that VCFcache already reduces end-to-end</w:t>
      </w:r>
      <w:r>
        <w:t xml:space="preserve"> </w:t>
      </w:r>
      <w:r>
        <w:t xml:space="preserve">runtime around fastVEP.</w:t>
      </w:r>
    </w:p>
    <w:bookmarkEnd w:id="87"/>
    <w:bookmarkStart w:id="88" w:name="native-clinical-annotation-campaign"/>
    <w:p>
      <w:pPr>
        <w:pStyle w:val="Heading2"/>
      </w:pPr>
      <w:r>
        <w:t xml:space="preserve">Native clinical annotation campaign</w:t>
      </w:r>
    </w:p>
    <w:p>
      <w:pPr>
        <w:pStyle w:val="FirstParagraph"/>
      </w:pPr>
      <w:r>
        <w:t xml:space="preserve">The final campaign extended the assay-scale design to SnpEff and to clinical</w:t>
      </w:r>
      <w:r>
        <w:t xml:space="preserve"> </w:t>
      </w:r>
      <w:r>
        <w:t xml:space="preserve">fastVEP recipes on both assemblies. Recipes were compared only with their own</w:t>
      </w:r>
      <w:r>
        <w:t xml:space="preserve"> </w:t>
      </w:r>
      <w:r>
        <w:t xml:space="preserve">direct baseline because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fastVEP and SnpEff expose different</w:t>
      </w:r>
      <w:r>
        <w:t xml:space="preserve"> </w:t>
      </w:r>
      <w:r>
        <w:t xml:space="preserve">annotation content. The clinical SnpEff recipe comprised SnpEff ANN consequence</w:t>
      </w:r>
      <w:r>
        <w:t xml:space="preserve"> </w:t>
      </w:r>
      <w:r>
        <w:t xml:space="preserve">prediction followed by SnpSift ClinVar and gnomAD exome AF/AC/AN annotation.</w:t>
      </w:r>
      <w:r>
        <w:t xml:space="preserve"> </w:t>
      </w:r>
      <w:r>
        <w:t xml:space="preserve">The core-to-clinical SnpEff comparison on GRCh37 held samples and cache</w:t>
      </w:r>
      <w:r>
        <w:t xml:space="preserve"> </w:t>
      </w:r>
      <w:r>
        <w:t xml:space="preserve">membership fixed and therefore isolates additional per-variant annotation work.</w:t>
      </w:r>
    </w:p>
    <w:p>
      <w:pPr>
        <w:pStyle w:val="BodyText"/>
      </w:pPr>
      <w:r>
        <w:rPr>
          <w:bCs/>
          <w:b/>
        </w:rPr>
        <w:t xml:space="preserve">Supplementary Table 1: End-to-end speedup in the final native annotation</w:t>
      </w:r>
      <w:r>
        <w:rPr>
          <w:bCs/>
          <w:b/>
        </w:rPr>
        <w:t xml:space="preserve"> </w:t>
      </w:r>
      <w:r>
        <w:rPr>
          <w:bCs/>
          <w:b/>
        </w:rPr>
        <w:t xml:space="preserve">campaign.</w:t>
      </w:r>
      <w:r>
        <w:t xml:space="preserve"> </w:t>
      </w:r>
      <w:r>
        <w:t xml:space="preserve">Values are medians across concordant sample pairs. The four</w:t>
      </w:r>
      <w:r>
        <w:t xml:space="preserve"> </w:t>
      </w:r>
      <w:r>
        <w:t xml:space="preserve">warning-only SnpEff exclusions described above reduce two GRCh37 WES and two</w:t>
      </w:r>
      <w:r>
        <w:t xml:space="preserve"> </w:t>
      </w:r>
      <w:r>
        <w:t xml:space="preserve">GRCh37 WGS rows from 12 to 11 genomes. AF, allele frequency; WES, whole-exome</w:t>
      </w:r>
      <w:r>
        <w:t xml:space="preserve"> </w:t>
      </w:r>
      <w:r>
        <w:t xml:space="preserve">sequencing; WGS, whole-genome sequencing.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hit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speedup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10.78-fold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12.31-fold</w:t>
            </w:r>
          </w:p>
        </w:tc>
      </w:tr>
    </w:tbl>
    <w:p>
      <w:pPr>
        <w:pStyle w:val="BodyText"/>
      </w:pPr>
      <w:r>
        <w:t xml:space="preserve">Panels were at or below practical break-even. Every whole-genome recipe</w:t>
      </w:r>
      <w:r>
        <w:t xml:space="preserve"> </w:t>
      </w:r>
      <w:r>
        <w:t xml:space="preserve">benefited, while clinical SnpEff also benefited materially for exomes. On the</w:t>
      </w:r>
      <w:r>
        <w:t xml:space="preserve"> </w:t>
      </w:r>
      <w:r>
        <w:t xml:space="preserve">same GRCh37 inputs, adding clinical lookups increased median speedup from 1.16-</w:t>
      </w:r>
      <w:r>
        <w:t xml:space="preserve"> </w:t>
      </w:r>
      <w:r>
        <w:t xml:space="preserve">to 3.62-fold for WES and from 4.46- to 12.31-fold for WGS. This supports the</w:t>
      </w:r>
      <w:r>
        <w:t xml:space="preserve"> </w:t>
      </w:r>
      <w:r>
        <w:t xml:space="preserve">runtime model’s central prediction: cache reuse becomes more valuable as the</w:t>
      </w:r>
      <w:r>
        <w:t xml:space="preserve"> </w:t>
      </w:r>
      <w:r>
        <w:t xml:space="preserve">recoverable work performed for each variant increases.</w:t>
      </w:r>
    </w:p>
    <w:bookmarkEnd w:id="88"/>
    <w:bookmarkEnd w:id="89"/>
    <w:bookmarkStart w:id="99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5408083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supplement/figures/supplementary_figure1_external_wgs_v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Supplementary Figure 1: Cache coverage and wall time returned across 52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WGS samples.</w:t>
      </w:r>
      <w:r>
        <w:t xml:space="preserve"> </w:t>
      </w:r>
      <w:r>
        <w:t xml:space="preserve">Each symbol represents one evaluation genome; black</w:t>
      </w:r>
      <w:r>
        <w:t xml:space="preserve"> </w:t>
      </w:r>
      <w:r>
        <w:t xml:space="preserve">horizontal marks denote medians. Colour and shape both identify the provider</w:t>
      </w:r>
      <w:r>
        <w:t xml:space="preserve"> </w:t>
      </w:r>
      <w:r>
        <w:t xml:space="preserve">cohort. (A) Proportion of input variants found in each cache strategy. Cache</w:t>
      </w:r>
      <w:r>
        <w:t xml:space="preserve"> </w:t>
      </w:r>
      <w:r>
        <w:t xml:space="preserve">membership is annotator-independent, so each genome is shown once. (B)</w:t>
      </w:r>
      <w:r>
        <w:t xml:space="preserve"> </w:t>
      </w:r>
      <w:r>
        <w:t xml:space="preserve">Percentage of end-to-end wall time saved with VEP 115.2 and fastVEP 0.3.0.</w:t>
      </w:r>
      <w:r>
        <w:t xml:space="preserve"> </w:t>
      </w:r>
      <w:r>
        <w:t xml:space="preserve">Public caches were downloaded from Zenodo. Cohort caches were constructed from</w:t>
      </w:r>
      <w:r>
        <w:t xml:space="preserve"> </w:t>
      </w:r>
      <w:r>
        <w:t xml:space="preserve">three provider-specific genomes disjoint from evaluation. AF, allele</w:t>
      </w:r>
      <w:r>
        <w:t xml:space="preserve"> </w:t>
      </w:r>
      <w:r>
        <w:t xml:space="preserve">frequency; KPGP, Korean Personal Genome Project; PGP, Harvard Personal Genome</w:t>
      </w:r>
      <w:r>
        <w:t xml:space="preserve"> </w:t>
      </w:r>
      <w:r>
        <w:t xml:space="preserve">Project; SGDP, Simons Genome Diversity Project; VEP, Variant Effect Predictor;</w:t>
      </w:r>
      <w:r>
        <w:t xml:space="preserve"> </w:t>
      </w:r>
      <w:r>
        <w:t xml:space="preserve">WGS, whole-genome sequencing.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supplement/figures/supplementary_figure2_fastvep_cpu_complexity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Supplementary Figure 2: CPU availability does not eliminate annotation-reuse</w:t>
      </w:r>
      <w:r>
        <w:rPr>
          <w:bCs/>
          <w:b/>
        </w:rPr>
        <w:t xml:space="preserve"> </w:t>
      </w:r>
      <w:r>
        <w:rPr>
          <w:bCs/>
          <w:b/>
        </w:rPr>
        <w:t xml:space="preserve">benefit in fastVEP.</w:t>
      </w:r>
      <w:r>
        <w:t xml:space="preserve"> </w:t>
      </w:r>
      <w:r>
        <w:t xml:space="preserve">The same held-out 4.80-million-variant KPGP genome was</w:t>
      </w:r>
      <w:r>
        <w:t xml:space="preserve"> </w:t>
      </w:r>
      <w:r>
        <w:t xml:space="preserve">processed using the core consequence recipe and an engineering stress recipe</w:t>
      </w:r>
      <w:r>
        <w:t xml:space="preserve"> </w:t>
      </w:r>
      <w:r>
        <w:t xml:space="preserve">containing ten supplementary databases. A controlled cache constructed only</w:t>
      </w:r>
      <w:r>
        <w:t xml:space="preserve"> </w:t>
      </w:r>
      <w:r>
        <w:t xml:space="preserve">from the corresponding direct annotations fixed cache coverage at approximately</w:t>
      </w:r>
      <w:r>
        <w:t xml:space="preserve"> </w:t>
      </w:r>
      <w:r>
        <w:t xml:space="preserve">90%; it was used to isolate the interaction between annotation work and CPU</w:t>
      </w:r>
      <w:r>
        <w:t xml:space="preserve"> </w:t>
      </w:r>
      <w:r>
        <w:t xml:space="preserve">availability, not to estimate biological cache coverage. Process-wide CPU</w:t>
      </w:r>
      <w:r>
        <w:t xml:space="preserve"> </w:t>
      </w:r>
      <w:r>
        <w:t xml:space="preserve">affinity was restricted to 1, 10 or 32 CPUs for the core recipe and to 10 or</w:t>
      </w:r>
      <w:r>
        <w:t xml:space="preserve"> </w:t>
      </w:r>
      <w:r>
        <w:t xml:space="preserve">32 CPUs for the dense recipe, enabling direct comparison of dense fastVEP at</w:t>
      </w:r>
      <w:r>
        <w:t xml:space="preserve"> </w:t>
      </w:r>
      <w:r>
        <w:t xml:space="preserve">10 CPUs with core fastVEP at one CPU. (A) End-to-end runtime for direct</w:t>
      </w:r>
      <w:r>
        <w:t xml:space="preserve"> </w:t>
      </w:r>
      <w:r>
        <w:t xml:space="preserve">fastVEP and VCFcache. (B) Speedup over direct fastVEP at the same CPU limit.</w:t>
      </w:r>
      <w:r>
        <w:t xml:space="preserve"> </w:t>
      </w:r>
      <w:r>
        <w:t xml:space="preserve">Each retained cell was run once and each cached output passed strict</w:t>
      </w:r>
      <w:r>
        <w:t xml:space="preserve"> </w:t>
      </w:r>
      <w:r>
        <w:t xml:space="preserve">complete-record comparison with its direct counterpart. KPGP, Korean Personal</w:t>
      </w:r>
      <w:r>
        <w:t xml:space="preserve"> </w:t>
      </w:r>
      <w:r>
        <w:t xml:space="preserve">Genome Project; VCF, variant call format; VCFcache, cached annotation workflow;</w:t>
      </w:r>
      <w:r>
        <w:t xml:space="preserve"> </w:t>
      </w:r>
      <w:r>
        <w:t xml:space="preserve">WGS, whole-genome sequencing.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supplement/figures/v4/supplementary_figure3_annotation_load_fidelity_v4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Supplementary Figure 3: Annotation load increases reuse benefit without a</w:t>
      </w:r>
      <w:r>
        <w:rPr>
          <w:bCs/>
          <w:b/>
        </w:rPr>
        <w:t xml:space="preserve"> </w:t>
      </w:r>
      <w:r>
        <w:rPr>
          <w:bCs/>
          <w:b/>
        </w:rPr>
        <w:t xml:space="preserve">cache-attributable change in output.</w:t>
      </w:r>
      <w:r>
        <w:t xml:space="preserve"> </w:t>
      </w:r>
      <w:r>
        <w:t xml:space="preserve">(A) Paired SnpEff speedups for core and</w:t>
      </w:r>
      <w:r>
        <w:t xml:space="preserve"> </w:t>
      </w:r>
      <w:r>
        <w:t xml:space="preserve">clinical recipes on the same GRCh37 PGP samples. Lines connect identical</w:t>
      </w:r>
      <w:r>
        <w:t xml:space="preserve"> </w:t>
      </w:r>
      <w:r>
        <w:t xml:space="preserve">samples; the dashed line marks equal runtime. The documented warning-only</w:t>
      </w:r>
      <w:r>
        <w:t xml:space="preserve"> </w:t>
      </w:r>
      <w:r>
        <w:t xml:space="preserve">sample was excluded before inference for WES and WGS. (B) Of 180 direct/cached</w:t>
      </w:r>
      <w:r>
        <w:t xml:space="preserve"> </w:t>
      </w:r>
      <w:r>
        <w:t xml:space="preserve">cells in the final clinical campaign, 176 were eligible and semantically</w:t>
      </w:r>
      <w:r>
        <w:t xml:space="preserve"> </w:t>
      </w:r>
      <w:r>
        <w:t xml:space="preserve">concordant. Four SnpEff cells were excluded because direct SnpEff itself changed</w:t>
      </w:r>
      <w:r>
        <w:t xml:space="preserve"> </w:t>
      </w:r>
      <w:r>
        <w:t xml:space="preserve">output with input order; these are not counted as evidence for or against</w:t>
      </w:r>
      <w:r>
        <w:t xml:space="preserve"> </w:t>
      </w:r>
      <w:r>
        <w:t xml:space="preserve">VCFcache. No eligible pair contained a cache-attributable mismatch. PGP,</w:t>
      </w:r>
      <w:r>
        <w:t xml:space="preserve"> </w:t>
      </w:r>
      <w:r>
        <w:t xml:space="preserve">Personal Genome Project; WES, whole-exome sequencing; WGS, whole-genome</w:t>
      </w:r>
      <w:r>
        <w:t xml:space="preserve"> </w:t>
      </w:r>
      <w:r>
        <w:t xml:space="preserve">sequencing.</w:t>
      </w:r>
    </w:p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jc w:val="both"/>
    </w:pPr>
    <w:name w:val="Normal"/>
    <w:qFormat/>
  </w:style>
  <w:style w:styleId="BodyText" w:type="paragraph">
    <w:name w:val="Body Text"/>
    <w:basedOn w:val="Normal"/>
    <w:link w:val="BodyTextChar"/>
    <w:pPr>
      <w:spacing w:after="180" w:before="180"/>
      <w:jc w:val="both"/>
    </w:pPr>
    <w:qFormat/>
  </w:style>
  <w:style w:customStyle="1" w:styleId="FirstParagraph" w:type="paragraph">
    <w:pPr>
      <w:jc w:val="both"/>
    </w:pPr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jc w:val="both"/>
    </w:pPr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jc w:val="left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jc w:val="left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jc w:val="left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hyperlink" Id="rId70" Target="https://doi.org/10.1038/nature18964" TargetMode="External" /><Relationship Type="http://schemas.openxmlformats.org/officeDocument/2006/relationships/hyperlink" Id="rId72" Target="https://doi.org/10.1073/pnas.1201904109" TargetMode="External" /><Relationship Type="http://schemas.openxmlformats.org/officeDocument/2006/relationships/hyperlink" Id="rId64" Target="https://doi.org/10.1093/gigascience/giab008" TargetMode="External" /><Relationship Type="http://schemas.openxmlformats.org/officeDocument/2006/relationships/hyperlink" Id="rId66" Target="https://doi.org/10.1186/s13059-016-0973-5" TargetMode="External" /><Relationship Type="http://schemas.openxmlformats.org/officeDocument/2006/relationships/hyperlink" Id="rId60" Target="https://doi.org/10.1186/s13059-016-0974-4" TargetMode="External" /><Relationship Type="http://schemas.openxmlformats.org/officeDocument/2006/relationships/hyperlink" Id="rId62" Target="https://doi.org/10.4161/fly.19695" TargetMode="External" /><Relationship Type="http://schemas.openxmlformats.org/officeDocument/2006/relationships/hyperlink" Id="rId76" Target="https://github.com/Ensembl/ensembl-vep/issues/1959" TargetMode="External" /><Relationship Type="http://schemas.openxmlformats.org/officeDocument/2006/relationships/hyperlink" Id="rId74" Target="https://gnomad.broadinstitute.org/news/2024-04-gnomad-v4-1" TargetMode="External" /><Relationship Type="http://schemas.openxmlformats.org/officeDocument/2006/relationships/hyperlink" Id="rId68" Target="https://koreangenome.org/Korean_Personal_Genome_Proj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i.org/10.1038/nature18964" TargetMode="External" /><Relationship Type="http://schemas.openxmlformats.org/officeDocument/2006/relationships/hyperlink" Id="rId72" Target="https://doi.org/10.1073/pnas.1201904109" TargetMode="External" /><Relationship Type="http://schemas.openxmlformats.org/officeDocument/2006/relationships/hyperlink" Id="rId64" Target="https://doi.org/10.1093/gigascience/giab008" TargetMode="External" /><Relationship Type="http://schemas.openxmlformats.org/officeDocument/2006/relationships/hyperlink" Id="rId66" Target="https://doi.org/10.1186/s13059-016-0973-5" TargetMode="External" /><Relationship Type="http://schemas.openxmlformats.org/officeDocument/2006/relationships/hyperlink" Id="rId60" Target="https://doi.org/10.1186/s13059-016-0974-4" TargetMode="External" /><Relationship Type="http://schemas.openxmlformats.org/officeDocument/2006/relationships/hyperlink" Id="rId62" Target="https://doi.org/10.4161/fly.19695" TargetMode="External" /><Relationship Type="http://schemas.openxmlformats.org/officeDocument/2006/relationships/hyperlink" Id="rId76" Target="https://github.com/Ensembl/ensembl-vep/issues/1959" TargetMode="External" /><Relationship Type="http://schemas.openxmlformats.org/officeDocument/2006/relationships/hyperlink" Id="rId74" Target="https://gnomad.broadinstitute.org/news/2024-04-gnomad-v4-1" TargetMode="External" /><Relationship Type="http://schemas.openxmlformats.org/officeDocument/2006/relationships/hyperlink" Id="rId68" Target="https://koreangenome.org/Korean_Personal_Genome_Proj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VCFcache reduces redundant computation in repeated variant annotation</dc:title>
  <dc:creator>[AUTHOR LIST TO COMPLETE]</dc:creator>
  <dc:language>en-GB</dc:language>
  <cp:keywords>variant annotation, VCF, caching, VEP, fastVEP, SnpEff, reproducible bioinformatics</cp:keywords>
  <dcterms:created xsi:type="dcterms:W3CDTF">2026-09-04T16:59:25Z</dcterms:created>
  <dcterms:modified xsi:type="dcterms:W3CDTF">2026-09-04T16:59:25Z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olorlinks">
    <vt:lpwstr>True</vt:lpwstr>
  </property>
  <property fmtid="{D5CDD505-2E9C-101B-9397-08002B2CF9AE}" pid="4" name="csl">
    <vt:lpwstr>styles/gigascience.csl</vt:lpwstr>
  </property>
  <property fmtid="{D5CDD505-2E9C-101B-9397-08002B2CF9AE}" pid="5" name="date">
    <vt:lpwstr>2026-09-01</vt:lpwstr>
  </property>
  <property fmtid="{D5CDD505-2E9C-101B-9397-08002B2CF9AE}" pid="6" name="fontsize">
    <vt:lpwstr>11pt</vt:lpwstr>
  </property>
  <property fmtid="{D5CDD505-2E9C-101B-9397-08002B2CF9AE}" pid="7" name="geometry">
    <vt:lpwstr>margin=25mm</vt:lpwstr>
  </property>
  <property fmtid="{D5CDD505-2E9C-101B-9397-08002B2CF9AE}" pid="8" name="link-citations">
    <vt:lpwstr>True</vt:lpwstr>
  </property>
  <property fmtid="{D5CDD505-2E9C-101B-9397-08002B2CF9AE}" pid="9" name="subtitle">
    <vt:lpwstr>Technical Note</vt:lpwstr>
  </property>
</Properties>
</file>