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96.png" ContentType="image/png"/>
  <Override PartName="/word/media/rId99.png" ContentType="image/png"/>
  <Override PartName="/word/media/rId1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VCFcache reduces redundant computation in repeated variant annotation</w:t>
      </w:r>
    </w:p>
    <w:p>
      <w:pPr>
        <w:pStyle w:val="Subtitle"/>
      </w:pPr>
      <w:r>
        <w:t xml:space="preserve">Technical Note</w:t>
      </w:r>
    </w:p>
    <w:p>
      <w:pPr>
        <w:pStyle w:val="Author"/>
      </w:pPr>
      <w:r>
        <w:t xml:space="preserve">[AUTHOR LIST TO COMPLETE]</w:t>
      </w:r>
    </w:p>
    <w:p>
      <w:pPr>
        <w:pStyle w:val="Date"/>
      </w:pPr>
      <w:r>
        <w:t xml:space="preserve">2026-09-09</w:t>
      </w:r>
    </w:p>
    <w:p>
      <w:pPr>
        <w:pStyle w:val="FirstParagraph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Reusing variant annotations with VCFcache</w:t>
      </w:r>
    </w:p>
    <w:p>
      <w:pPr>
        <w:pStyle w:val="BodyText"/>
      </w:pPr>
      <w:r>
        <w:rPr>
          <w:b/>
          <w:bCs/>
        </w:rPr>
        <w:t xml:space="preserve">Affiliations:</w:t>
      </w:r>
      <w:r>
        <w:t xml:space="preserve"> </w:t>
      </w:r>
      <w:r>
        <w:t xml:space="preserve">[AFFILIATIONS TO COMPLETE]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[NAME, POSTAL ADDRESS, EMAIL, AND ORCID TO COMPLETE]</w:t>
      </w:r>
    </w:p>
    <w:p>
      <w:pPr>
        <w:pStyle w:val="BodyText"/>
      </w:pPr>
      <w:r>
        <w:rPr>
          <w:b/>
          <w:bCs/>
        </w:rPr>
        <w:t xml:space="preserve">Article type:</w:t>
      </w:r>
      <w:r>
        <w:t xml:space="preserve"> </w:t>
      </w:r>
      <w:r>
        <w:t xml:space="preserve">Technical Note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Background:</w:t>
      </w:r>
      <w:r>
        <w:t xml:space="preserve"> </w:t>
      </w:r>
      <w:r>
        <w:t xml:space="preserve">Variant annotators repeatedly compute the same consequences</w:t>
      </w:r>
      <w:r>
        <w:t xml:space="preserve"> </w:t>
      </w:r>
      <w:r>
        <w:t xml:space="preserve">when alleles recur across samples. VCFcache stores INFO annotation payloads from a fixed</w:t>
      </w:r>
      <w:r>
        <w:t xml:space="preserve"> </w:t>
      </w:r>
      <w:r>
        <w:t xml:space="preserve">annotation recipe and sends only cache misses to the original annotator.</w:t>
      </w:r>
    </w:p>
    <w:p>
      <w:pPr>
        <w:pStyle w:val="BodyText"/>
      </w:pPr>
      <w:r>
        <w:rPr>
          <w:b/>
          <w:bCs/>
        </w:rPr>
        <w:t xml:space="preserve">Findings:</w:t>
      </w:r>
      <w:r>
        <w:t xml:space="preserve"> </w:t>
      </w:r>
      <w:r>
        <w:t xml:space="preserve">In 12 independent GRCh38 genomes using a bundled gnomAD</w:t>
      </w:r>
      <w:r>
        <w:t xml:space="preserve"> </w:t>
      </w:r>
      <w:r>
        <w:t xml:space="preserve">allele-frequency (AF) ≥1% cache, median whole-genome sequencing speedups were</w:t>
      </w:r>
      <w:r>
        <w:t xml:space="preserve"> </w:t>
      </w:r>
      <w:r>
        <w:t xml:space="preserve">9.50-fold for Ensembl VEP</w:t>
      </w:r>
      <w:r>
        <w:t xml:space="preserve"> </w:t>
      </w:r>
      <w:r>
        <w:rPr>
          <w:rStyle w:val="VerbatimChar"/>
        </w:rPr>
        <w:t xml:space="preserve">--everything</w:t>
      </w:r>
      <w:r>
        <w:t xml:space="preserve">, 2.54-fold for clinical fastVEP and</w:t>
      </w:r>
      <w:r>
        <w:t xml:space="preserve"> </w:t>
      </w:r>
      <w:r>
        <w:t xml:space="preserve">10.78-fold for clinical SnpEff. Corresponding exome speedups were 2.29-, 0.93-</w:t>
      </w:r>
      <w:r>
        <w:t xml:space="preserve"> </w:t>
      </w:r>
      <w:r>
        <w:t xml:space="preserve">and 2.66-fold, showing that very short workflows may not recover fixed cache</w:t>
      </w:r>
      <w:r>
        <w:t xml:space="preserve"> </w:t>
      </w:r>
      <w:r>
        <w:t xml:space="preserve">costs. Across 52 held-out genomes, bundled AF ≥10%, bundled AF ≥1% and disjoint</w:t>
      </w:r>
      <w:r>
        <w:t xml:space="preserve"> </w:t>
      </w:r>
      <w:r>
        <w:t xml:space="preserve">three-genome cohort caches accelerated VEP 4.75-, 9.21- and 4.59-fold and</w:t>
      </w:r>
      <w:r>
        <w:t xml:space="preserve"> </w:t>
      </w:r>
      <w:r>
        <w:t xml:space="preserve">fastVEP 1.84-, 2.05- and 1.81-fold. Controlled VEP pipelines spanning</w:t>
      </w:r>
      <w:r>
        <w:t xml:space="preserve"> </w:t>
      </w:r>
      <w:r>
        <w:t xml:space="preserve">4.2–22.7 hours returned 3.3–20.5 hours per genome as annotation work increased.</w:t>
      </w:r>
      <w:r>
        <w:t xml:space="preserve"> </w:t>
      </w:r>
      <w:r>
        <w:t xml:space="preserve">Three-genome cohort caches broke even after two subsequent genomes; at 1,000</w:t>
      </w:r>
      <w:r>
        <w:t xml:space="preserve"> </w:t>
      </w:r>
      <w:r>
        <w:t xml:space="preserve">genomes, measured VEP rates corresponded to 39.1–86.7 compute days returned.</w:t>
      </w:r>
      <w:r>
        <w:t xml:space="preserve"> </w:t>
      </w:r>
      <w:r>
        <w:t xml:space="preserve">All 176 evaluable direct/cached comparisons in the final clinical campaign</w:t>
      </w:r>
      <w:r>
        <w:t xml:space="preserve"> </w:t>
      </w:r>
      <w:r>
        <w:t xml:space="preserve">were semantically concordant, with no cache-attributable annotation mismatch.</w:t>
      </w:r>
    </w:p>
    <w:p>
      <w:pPr>
        <w:pStyle w:val="BodyText"/>
      </w:pPr>
      <w:r>
        <w:rPr>
          <w:b/>
          <w:bCs/>
        </w:rPr>
        <w:t xml:space="preserve">Conclusions:</w:t>
      </w:r>
      <w:r>
        <w:t xml:space="preserve"> </w:t>
      </w:r>
      <w:r>
        <w:t xml:space="preserve">Relative acceleration is governed by cache coverage and</w:t>
      </w:r>
      <w:r>
        <w:t xml:space="preserve"> </w:t>
      </w:r>
      <w:r>
        <w:t xml:space="preserve">recoverable per-variant work, whereas absolute time saved increases with</w:t>
      </w:r>
      <w:r>
        <w:t xml:space="preserve"> </w:t>
      </w:r>
      <w:r>
        <w:t xml:space="preserve">pipeline cost. VCFcache therefore benefits annotation-rich cohorts most while</w:t>
      </w:r>
      <w:r>
        <w:t xml:space="preserve"> </w:t>
      </w:r>
      <w:r>
        <w:t xml:space="preserve">retaining the configured annotator as the authority for every cache miss.</w:t>
      </w:r>
    </w:p>
    <w:bookmarkEnd w:id="9"/>
    <w:bookmarkStart w:id="10" w:name="keywords"/>
    <w:p>
      <w:pPr>
        <w:pStyle w:val="Heading1"/>
      </w:pPr>
      <w:r>
        <w:t xml:space="preserve">Keywords</w:t>
      </w:r>
    </w:p>
    <w:p>
      <w:pPr>
        <w:pStyle w:val="FirstParagraph"/>
      </w:pPr>
      <w:r>
        <w:t xml:space="preserve">variant annotation; VCF; BCF; caching; Ensembl VEP; fastVEP; workflow</w:t>
      </w:r>
      <w:r>
        <w:t xml:space="preserve"> </w:t>
      </w:r>
      <w:r>
        <w:t xml:space="preserve">acceleration; reproducible bioinformatics</w:t>
      </w:r>
    </w:p>
    <w:bookmarkEnd w:id="10"/>
    <w:bookmarkStart w:id="30" w:name="findings"/>
    <w:p>
      <w:pPr>
        <w:pStyle w:val="Heading1"/>
      </w:pPr>
      <w:r>
        <w:t xml:space="preserve">Findings</w:t>
      </w:r>
    </w:p>
    <w:bookmarkStart w:id="14" w:name="Xa06b8623b67167eba0dfce15c185f4263bfb4e7"/>
    <w:p>
      <w:pPr>
        <w:pStyle w:val="Heading2"/>
      </w:pPr>
      <w:r>
        <w:t xml:space="preserve">VCFcache turns repeated annotation into incremental computation</w:t>
      </w:r>
    </w:p>
    <w:p>
      <w:pPr>
        <w:pStyle w:val="FirstParagraph"/>
      </w:pPr>
      <w:r>
        <w:t xml:space="preserve">Across separately annotated samples, the same alleles recur, yet conventional</w:t>
      </w:r>
      <w:r>
        <w:t xml:space="preserve"> </w:t>
      </w:r>
      <w:r>
        <w:t xml:space="preserve">annotation recomputes the requested annotations on every run. VEP and SnpEff</w:t>
      </w:r>
      <w:r>
        <w:t xml:space="preserve"> </w:t>
      </w:r>
      <w:r>
        <w:t xml:space="preserve">use local reference data to avoid repeated remote database access, but still</w:t>
      </w:r>
      <w:r>
        <w:t xml:space="preserve"> </w:t>
      </w:r>
      <w:r>
        <w:t xml:space="preserve">evaluate each input allele</w:t>
      </w:r>
      <w:r>
        <w:t xml:space="preserve"> </w:t>
      </w:r>
      <w:r>
        <w:t xml:space="preserve">[</w:t>
      </w:r>
      <w:hyperlink w:anchor="ref-mclaren2016vep">
        <w:r>
          <w:rPr>
            <w:rStyle w:val="Hyperlink"/>
          </w:rPr>
          <w:t xml:space="preserve">1</w:t>
        </w:r>
      </w:hyperlink>
      <w:r>
        <w:t xml:space="preserve">,</w:t>
      </w:r>
      <w:hyperlink w:anchor="ref-cingolani2012snpeff">
        <w:r>
          <w:rPr>
            <w:rStyle w:val="Hyperlink"/>
          </w:rPr>
          <w:t xml:space="preserve">2</w:t>
        </w:r>
      </w:hyperlink>
      <w:r>
        <w:t xml:space="preserve">]</w:t>
      </w:r>
      <w:r>
        <w:t xml:space="preserve">.</w:t>
      </w:r>
      <w:r>
        <w:t xml:space="preserve"> </w:t>
      </w:r>
      <w:r>
        <w:t xml:space="preserve">Lookup-based tools such as vcfanno and echtvar efficiently retrieve</w:t>
      </w:r>
      <w:r>
        <w:t xml:space="preserve"> </w:t>
      </w:r>
      <w:r>
        <w:t xml:space="preserve">pre-existing annotation fields from reference files or indexed archives, but</w:t>
      </w:r>
      <w:r>
        <w:t xml:space="preserve"> </w:t>
      </w:r>
      <w:r>
        <w:t xml:space="preserve">do not themselves invoke a user-defined annotation workflow for variants</w:t>
      </w:r>
      <w:r>
        <w:t xml:space="preserve"> </w:t>
      </w:r>
      <w:r>
        <w:t xml:space="preserve">absent from those resources</w:t>
      </w:r>
      <w:r>
        <w:t xml:space="preserve"> </w:t>
      </w:r>
      <w:r>
        <w:t xml:space="preserve">[</w:t>
      </w:r>
      <w:hyperlink w:anchor="ref-vcfanno2016">
        <w:r>
          <w:rPr>
            <w:rStyle w:val="Hyperlink"/>
          </w:rPr>
          <w:t xml:space="preserve">3</w:t>
        </w:r>
      </w:hyperlink>
      <w:r>
        <w:t xml:space="preserve">,</w:t>
      </w:r>
      <w:hyperlink w:anchor="ref-pedersen2023echtvar">
        <w:r>
          <w:rPr>
            <w:rStyle w:val="Hyperlink"/>
          </w:rPr>
          <w:t xml:space="preserve">4</w:t>
        </w:r>
      </w:hyperlink>
      <w:r>
        <w:t xml:space="preserve">]</w:t>
      </w:r>
      <w:r>
        <w:t xml:space="preserve">.</w:t>
      </w:r>
      <w:r>
        <w:t xml:space="preserve"> </w:t>
      </w:r>
      <w:r>
        <w:t xml:space="preserve">VCFcache combines reuse with automatic fallback: it retrieves allele-level</w:t>
      </w:r>
      <w:r>
        <w:t xml:space="preserve"> </w:t>
      </w:r>
      <w:r>
        <w:t xml:space="preserve">INFO annotation payloads produced by a fixed annotation recipe—defined by the</w:t>
      </w:r>
      <w:r>
        <w:t xml:space="preserve"> </w:t>
      </w:r>
      <w:r>
        <w:t xml:space="preserve">annotator version, command-line options, plugins and supplementary</w:t>
      </w:r>
      <w:r>
        <w:t xml:space="preserve"> </w:t>
      </w:r>
      <w:r>
        <w:t xml:space="preserve">resources—and sends cache misses through that same recipe. Cached and newly</w:t>
      </w:r>
      <w:r>
        <w:t xml:space="preserve"> </w:t>
      </w:r>
      <w:r>
        <w:t xml:space="preserve">annotated records are then merged into a sorted, indexed BCF (Figure 1).</w:t>
      </w:r>
      <w:r>
        <w:t xml:space="preserve"> </w:t>
      </w:r>
      <w:r>
        <w:t xml:space="preserve">This makes an existing recipe reusable across incoming samples: laboratories</w:t>
      </w:r>
      <w:r>
        <w:t xml:space="preserve"> </w:t>
      </w:r>
      <w:r>
        <w:t xml:space="preserve">can retain their configured annotator while avoiding computation already</w:t>
      </w:r>
      <w:r>
        <w:t xml:space="preserve"> </w:t>
      </w:r>
      <w:r>
        <w:t xml:space="preserve">performed for recurring alleles. Reuse requires consistent allele representation</w:t>
      </w:r>
      <w:r>
        <w:t xml:space="preserve"> </w:t>
      </w:r>
      <w:r>
        <w:t xml:space="preserve">and a fixed reference assembly</w:t>
      </w:r>
      <w:r>
        <w:t xml:space="preserve"> </w:t>
      </w:r>
      <w:r>
        <w:t xml:space="preserve">[</w:t>
      </w:r>
      <w:hyperlink w:anchor="ref-tan2015unified">
        <w:r>
          <w:rPr>
            <w:rStyle w:val="Hyperlink"/>
          </w:rPr>
          <w:t xml:space="preserve">5</w:t>
        </w:r>
      </w:hyperlink>
      <w:r>
        <w:t xml:space="preserve">]</w:t>
      </w:r>
      <w:r>
        <w:t xml:space="preserve">.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figures/main_v4/figure1_workflow_and_value_v4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1: VCFcache reuses annotation work without changing the completed</w:t>
      </w:r>
      <w:r>
        <w:rPr>
          <w:b/>
          <w:bCs/>
        </w:rPr>
        <w:t xml:space="preserve"> </w:t>
      </w:r>
      <w:r>
        <w:rPr>
          <w:b/>
          <w:bCs/>
        </w:rPr>
        <w:t xml:space="preserve">record set.</w:t>
      </w:r>
      <w:r>
        <w:t xml:space="preserve"> </w:t>
      </w:r>
      <w:r>
        <w:t xml:space="preserve">(A) Each input VCF is matched against a recipe-specific cache.</w:t>
      </w:r>
      <w:r>
        <w:t xml:space="preserve"> </w:t>
      </w:r>
      <w:r>
        <w:t xml:space="preserve">Existing annotations are retrieved, only cache misses are sent to the configured</w:t>
      </w:r>
      <w:r>
        <w:t xml:space="preserve"> </w:t>
      </w:r>
      <w:r>
        <w:t xml:space="preserve">annotator, and both streams are merged into a sorted, indexed output BCF.</w:t>
      </w:r>
      <w:r>
        <w:t xml:space="preserve"> </w:t>
      </w:r>
      <w:r>
        <w:t xml:space="preserve">Users may download a ready-to-use recipe cache or a blueprint from Zenodo. (B)</w:t>
      </w:r>
      <w:r>
        <w:t xml:space="preserve"> </w:t>
      </w:r>
      <w:r>
        <w:t xml:space="preserve">Benefit is governed by cache coverage, the cost of the underlying annotation</w:t>
      </w:r>
      <w:r>
        <w:t xml:space="preserve"> </w:t>
      </w:r>
      <w:r>
        <w:t xml:space="preserve">recipe and the number of samples over which any local cache build is amortized.</w:t>
      </w:r>
      <w:r>
        <w:t xml:space="preserve"> </w:t>
      </w:r>
      <w:r>
        <w:t xml:space="preserve">BCF, binary variant call format; VCF, variant call format.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 alleles, hit fraction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misses, 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denote annotator start-up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average per-allele annotation cost.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denote the non-annotation costs of the direct and</w:t>
      </w:r>
      <w:r>
        <w:t xml:space="preserve"> </w:t>
      </w:r>
      <w:r>
        <w:t xml:space="preserve">cached paths, respectively, including preprocessing and output processing.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B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N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B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1</m:t>
              </m:r>
            </m:e>
            <m:sub>
              <m:r>
                <m:t>M</m:t>
              </m:r>
              <m:r>
                <m:rPr>
                  <m:sty m:val="p"/>
                </m:rPr>
                <m:t>&gt;</m:t>
              </m:r>
              <m:r>
                <m:t>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indicator is one when misses remain and zero otherwise: a perfect hit</w:t>
      </w:r>
      <w:r>
        <w:t xml:space="preserve"> </w:t>
      </w:r>
      <w:r>
        <w:t xml:space="preserve">rate also avoids annotator start-up. With any miss, caching breaks even when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f</m:t>
        </m:r>
        <m:r>
          <m:t>N</m:t>
        </m:r>
        <m:r>
          <m:rPr>
            <m:sty m:val="p"/>
          </m:rPr>
          <m:t>&gt;</m:t>
        </m:r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; at perfect coverage, the saving additionally includes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 This approximation assumes comparable average annotation cost for hits</w:t>
      </w:r>
      <w:r>
        <w:t xml:space="preserve"> </w:t>
      </w:r>
      <w:r>
        <w:t xml:space="preserve">and misses; variant and transcript composition can change that cost. High</w:t>
      </w:r>
      <w:r>
        <w:t xml:space="preserve"> </w:t>
      </w:r>
      <w:r>
        <w:t xml:space="preserve">coverage alone therefore need not accelerate small inputs or minimal recipes.</w:t>
      </w:r>
      <w:r>
        <w:t xml:space="preserve"> </w:t>
      </w:r>
      <w:r>
        <w:t xml:space="preserve">A custom cache’s one-time build cost is</w:t>
      </w:r>
      <w:r>
        <w:t xml:space="preserve"> </w:t>
      </w:r>
      <w:r>
        <w:t xml:space="preserve">amortized as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≈</m:t>
        </m:r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uses.</w:t>
      </w:r>
    </w:p>
    <w:bookmarkEnd w:id="14"/>
    <w:bookmarkStart w:id="18" w:name="Xe7e477e8621b8e3a8fa3d78d43945c4caff9ff9"/>
    <w:p>
      <w:pPr>
        <w:pStyle w:val="Heading2"/>
      </w:pPr>
      <w:r>
        <w:t xml:space="preserve">Assay scale and annotation cost determine practical benefit</w:t>
      </w:r>
    </w:p>
    <w:p>
      <w:pPr>
        <w:pStyle w:val="FirstParagraph"/>
      </w:pPr>
      <w:r>
        <w:t xml:space="preserve">Twelve independent GRCh38 genomes (six KPGP and six SGDP) were represented as</w:t>
      </w:r>
      <w:r>
        <w:t xml:space="preserve"> </w:t>
      </w:r>
      <w:r>
        <w:t xml:space="preserve">matched ACMG panel, WES and WGS inputs and evaluated with the bundled gnomAD</w:t>
      </w:r>
      <w:r>
        <w:t xml:space="preserve"> </w:t>
      </w:r>
      <w:r>
        <w:t xml:space="preserve">AF ≥1% cache. Each native annotator configuration was compared only with its</w:t>
      </w:r>
      <w:r>
        <w:t xml:space="preserve"> </w:t>
      </w:r>
      <w:r>
        <w:t xml:space="preserve">own direct baseline. VEP</w:t>
      </w:r>
      <w:r>
        <w:t xml:space="preserve"> </w:t>
      </w:r>
      <w:r>
        <w:rPr>
          <w:rStyle w:val="VerbatimChar"/>
        </w:rPr>
        <w:t xml:space="preserve">--everything</w:t>
      </w:r>
      <w:r>
        <w:t xml:space="preserve"> </w:t>
      </w:r>
      <w:r>
        <w:t xml:space="preserve">produced median speedups of 0.71-,</w:t>
      </w:r>
      <w:r>
        <w:t xml:space="preserve"> </w:t>
      </w:r>
      <w:r>
        <w:t xml:space="preserve">2.29- and 9.50-fold for Panel, WES and WGS, respectively. The corresponding</w:t>
      </w:r>
      <w:r>
        <w:t xml:space="preserve"> </w:t>
      </w:r>
      <w:r>
        <w:t xml:space="preserve">values were 0.46-, 0.93- and 2.54-fold for clinical fastVEP and 1.06-, 2.66-</w:t>
      </w:r>
      <w:r>
        <w:t xml:space="preserve"> </w:t>
      </w:r>
      <w:r>
        <w:t xml:space="preserve">and 10.78-fold for clinical SnpEff (Figure 2). Thus fixed lookup and output</w:t>
      </w:r>
      <w:r>
        <w:t xml:space="preserve"> </w:t>
      </w:r>
      <w:r>
        <w:t xml:space="preserve">costs can outweigh saved work for small inputs, whereas WGS contained enough</w:t>
      </w:r>
      <w:r>
        <w:t xml:space="preserve"> </w:t>
      </w:r>
      <w:r>
        <w:t xml:space="preserve">recoverable work to accelerate all three configurations.</w:t>
      </w:r>
    </w:p>
    <w:p>
      <w:pPr>
        <w:pStyle w:val="BodyText"/>
      </w:pPr>
      <w:r>
        <w:drawing>
          <wp:inline>
            <wp:extent cx="5334000" cy="466725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igures/main_v4/figure2_empirical_time_and_throughput_v4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2: VCFcache returns most WGS annotation time across three native</w:t>
      </w:r>
      <w:r>
        <w:rPr>
          <w:b/>
          <w:bCs/>
        </w:rPr>
        <w:t xml:space="preserve"> </w:t>
      </w:r>
      <w:r>
        <w:rPr>
          <w:b/>
          <w:bCs/>
        </w:rPr>
        <w:t xml:space="preserve">annotator configurations.</w:t>
      </w:r>
      <w:r>
        <w:t xml:space="preserve"> </w:t>
      </w:r>
      <w:r>
        <w:t xml:space="preserve">Twelve independent GRCh38 genomes were tested as</w:t>
      </w:r>
      <w:r>
        <w:t xml:space="preserve"> </w:t>
      </w:r>
      <w:r>
        <w:t xml:space="preserve">ACMG SF v3.3 Panel, Twist Human Core Exome WES and WGS inputs with the bundled</w:t>
      </w:r>
      <w:r>
        <w:t xml:space="preserve"> </w:t>
      </w:r>
      <w:r>
        <w:t xml:space="preserve">gnomAD AF ≥1% strategy. VEP used</w:t>
      </w:r>
      <w:r>
        <w:t xml:space="preserve"> </w:t>
      </w:r>
      <w:r>
        <w:rPr>
          <w:rStyle w:val="VerbatimChar"/>
        </w:rPr>
        <w:t xml:space="preserve">--everything</w:t>
      </w:r>
      <w:r>
        <w:t xml:space="preserve">; fastVEP and SnpEff used their</w:t>
      </w:r>
      <w:r>
        <w:t xml:space="preserve"> </w:t>
      </w:r>
      <w:r>
        <w:t xml:space="preserve">clinical recipes. Configurations are compared only against their own direct</w:t>
      </w:r>
      <w:r>
        <w:t xml:space="preserve"> </w:t>
      </w:r>
      <w:r>
        <w:t xml:space="preserve">baseline. (A) Distribution of end-to-end runtime remaining after caching; the</w:t>
      </w:r>
      <w:r>
        <w:t xml:space="preserve"> </w:t>
      </w:r>
      <w:r>
        <w:t xml:space="preserve">dashed line marks equal runtime. (B) Median serial throughput calculated as</w:t>
      </w:r>
      <w:r>
        <w:t xml:space="preserve"> </w:t>
      </w:r>
      <w:r>
        <w:t xml:space="preserve">86,400 seconds divided by median per-sample wall time; open circles denote</w:t>
      </w:r>
      <w:r>
        <w:t xml:space="preserve"> </w:t>
      </w:r>
      <w:r>
        <w:t xml:space="preserve">direct annotation and arrowheads denote VCFcache. Cohort shapes identify</w:t>
      </w:r>
      <w:r>
        <w:t xml:space="preserve"> </w:t>
      </w:r>
      <w:r>
        <w:t xml:space="preserve">independent biological samples. AF, allele frequency; KPGP, Korean Personal</w:t>
      </w:r>
      <w:r>
        <w:t xml:space="preserve"> </w:t>
      </w:r>
      <w:r>
        <w:t xml:space="preserve">Genome Project; SGDP, Simons Genome Diversity Project; VEP, Variant Effect</w:t>
      </w:r>
      <w:r>
        <w:t xml:space="preserve"> </w:t>
      </w:r>
      <w:r>
        <w:t xml:space="preserve">Predictor; WES, whole-exome sequencing; WGS, whole-genome sequencing.</w:t>
      </w:r>
    </w:p>
    <w:p>
      <w:pPr>
        <w:pStyle w:val="BodyText"/>
      </w:pPr>
      <w:r>
        <w:t xml:space="preserve">For WGS, median serial throughput increased from 9.3 to 88.4 genomes per day</w:t>
      </w:r>
      <w:r>
        <w:t xml:space="preserve"> </w:t>
      </w:r>
      <w:r>
        <w:t xml:space="preserve">for VEP, from 186.3 to 471.2 for fastVEP and from 9.9 to 105.4 for SnpEff under</w:t>
      </w:r>
      <w:r>
        <w:t xml:space="preserve"> </w:t>
      </w:r>
      <w:r>
        <w:t xml:space="preserve">the benchmark allocations. These values show the operational effect of reuse</w:t>
      </w:r>
      <w:r>
        <w:t xml:space="preserve"> </w:t>
      </w:r>
      <w:r>
        <w:t xml:space="preserve">within each recipe; they are not a ranking of annotators because the native</w:t>
      </w:r>
      <w:r>
        <w:t xml:space="preserve"> </w:t>
      </w:r>
      <w:r>
        <w:t xml:space="preserve">recipes intentionally differ in annotation scope.</w:t>
      </w:r>
    </w:p>
    <w:bookmarkEnd w:id="18"/>
    <w:bookmarkStart w:id="22" w:name="Xd4adbc89014ee33b7836cd8dfbddc4c5e458e79"/>
    <w:p>
      <w:pPr>
        <w:pStyle w:val="Heading2"/>
      </w:pPr>
      <w:r>
        <w:t xml:space="preserve">Cache coverage defines opportunity; pipeline cost determines time returned</w:t>
      </w:r>
    </w:p>
    <w:p>
      <w:pPr>
        <w:pStyle w:val="FirstParagraph"/>
      </w:pPr>
      <w:r>
        <w:t xml:space="preserve">Across the 108 matched GRCh38 sample-tool-assay pairs, runtime remaining</w:t>
      </w:r>
      <w:r>
        <w:t xml:space="preserve"> </w:t>
      </w:r>
      <w:r>
        <w:t xml:space="preserve">approached the annotation-dominated approximation,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</m:oMath>
      <w:r>
        <w:t xml:space="preserve">, as direct annotation became</w:t>
      </w:r>
      <w:r>
        <w:t xml:space="preserve"> </w:t>
      </w:r>
      <w:r>
        <w:t xml:space="preserve">more expensive (Figure 3A). The deviation for Panel and some WES cells shows</w:t>
      </w:r>
      <w:r>
        <w:t xml:space="preserve"> </w:t>
      </w:r>
      <w:r>
        <w:t xml:space="preserve">the extra processing cost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; hit rate alone is insufficient to predict</w:t>
      </w:r>
      <w:r>
        <w:t xml:space="preserve"> </w:t>
      </w:r>
      <w:r>
        <w:t xml:space="preserve">benefit for short jobs.</w:t>
      </w:r>
    </w:p>
    <w:p>
      <w:pPr>
        <w:pStyle w:val="BodyText"/>
      </w:pPr>
      <w:r>
        <w:drawing>
          <wp:inline>
            <wp:extent cx="5334000" cy="48895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figures/main_v4/figure3_runtime_rule_v4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3: Cache coverage defines the theoretical opportunity, while</w:t>
      </w:r>
      <w:r>
        <w:rPr>
          <w:b/>
          <w:bCs/>
        </w:rPr>
        <w:t xml:space="preserve"> </w:t>
      </w:r>
      <w:r>
        <w:rPr>
          <w:b/>
          <w:bCs/>
        </w:rPr>
        <w:t xml:space="preserve">annotation cost determines how much time is returned.</w:t>
      </w:r>
      <w:r>
        <w:t xml:space="preserve"> </w:t>
      </w:r>
      <w:r>
        <w:t xml:space="preserve">(A) Observed runtime</w:t>
      </w:r>
      <w:r>
        <w:t xml:space="preserve"> </w:t>
      </w:r>
      <w:r>
        <w:t xml:space="preserve">remaining for 108 matched GRCh38 sample-tool-assay pairs. Dashed curves show</w:t>
      </w:r>
      <w:r>
        <w:t xml:space="preserve"> </w:t>
      </w:r>
      <w:r>
        <w:t xml:space="preserve">the annotation-dominated, negligible-overhead approximation,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</m:oMath>
      <w:r>
        <w:t xml:space="preserve">, for hit rate</w:t>
      </w:r>
      <w:r>
        <w:t xml:space="preserve"> </w:t>
      </w:r>
      <m:oMath>
        <m:r>
          <m:t>f</m:t>
        </m:r>
      </m:oMath>
      <w:r>
        <w:t xml:space="preserve">; point area represents</w:t>
      </w:r>
      <w:r>
        <w:t xml:space="preserve"> </w:t>
      </w:r>
      <w:r>
        <w:t xml:space="preserve">direct annotation time. Fixed lookup, preprocessing and output costs dominate</w:t>
      </w:r>
      <w:r>
        <w:t xml:space="preserve"> </w:t>
      </w:r>
      <w:r>
        <w:t xml:space="preserve">very short Panel jobs but become small relative to WGS annotation. (B) One</w:t>
      </w:r>
      <w:r>
        <w:t xml:space="preserve"> </w:t>
      </w:r>
      <w:r>
        <w:t xml:space="preserve">4.80-million-variant KPGP genome was processed with six controlled VEP loads</w:t>
      </w:r>
      <w:r>
        <w:t xml:space="preserve"> </w:t>
      </w:r>
      <w:r>
        <w:t xml:space="preserve">and bundled gnomAD AF ≥10% and AF ≥1% caches. Solid lines show observed hours</w:t>
      </w:r>
      <w:r>
        <w:t xml:space="preserve"> </w:t>
      </w:r>
      <w:r>
        <w:t xml:space="preserve">returned as pipeline cost increases; dashed lines show the cache-coverage</w:t>
      </w:r>
      <w:r>
        <w:t xml:space="preserve"> </w:t>
      </w:r>
      <w:r>
        <w:t xml:space="preserve">approximation,</w:t>
      </w:r>
      <w:r>
        <w:t xml:space="preserve"> </w:t>
      </w:r>
      <m:oMath>
        <m:r>
          <m:t>f</m:t>
        </m:r>
        <m:r>
          <m:rPr>
            <m:sty m:val="p"/>
          </m:rPr>
          <m:t>×</m:t>
        </m:r>
      </m:oMath>
      <w:r>
        <w:t xml:space="preserve"> </w:t>
      </w:r>
      <w:r>
        <w:t xml:space="preserve">direct runtime, valid when per-allele annotation</w:t>
      </w:r>
      <w:r>
        <w:t xml:space="preserve"> </w:t>
      </w:r>
      <w:r>
        <w:t xml:space="preserve">dominates runtime. All 12 outputs passed semantic</w:t>
      </w:r>
      <w:r>
        <w:t xml:space="preserve"> </w:t>
      </w:r>
      <w:r>
        <w:t xml:space="preserve">comparison. AF, allele frequency; KPGP, Korean Personal Genome Project; VEP,</w:t>
      </w:r>
      <w:r>
        <w:t xml:space="preserve"> </w:t>
      </w:r>
      <w:r>
        <w:t xml:space="preserve">Variant Effect Predictor; WGS, whole-genome sequencing.</w:t>
      </w:r>
    </w:p>
    <w:p>
      <w:pPr>
        <w:pStyle w:val="BodyText"/>
      </w:pPr>
      <w:r>
        <w:t xml:space="preserve">The controlled VEP recipes spanned 4.2–22.7 hours without changing their</w:t>
      </w:r>
      <w:r>
        <w:t xml:space="preserve"> </w:t>
      </w:r>
      <w:r>
        <w:t xml:space="preserve">annotation content. At 80.23% cache coverage, 19.7–21.7% of direct wall time</w:t>
      </w:r>
      <w:r>
        <w:t xml:space="preserve"> </w:t>
      </w:r>
      <w:r>
        <w:t xml:space="preserve">remained (4.62–5.07-fold speedup); at 90.26% coverage, 9.9–11.9% remained</w:t>
      </w:r>
      <w:r>
        <w:t xml:space="preserve"> </w:t>
      </w:r>
      <w:r>
        <w:t xml:space="preserve">(8.39–10.10-fold). For the longest recipe, VCFcache returned 18.19 and 20.45</w:t>
      </w:r>
      <w:r>
        <w:t xml:space="preserve"> </w:t>
      </w:r>
      <w:r>
        <w:t xml:space="preserve">hours per genome at the two cache depths. Measured and coverage-predicted</w:t>
      </w:r>
      <w:r>
        <w:t xml:space="preserve"> </w:t>
      </w:r>
      <w:r>
        <w:t xml:space="preserve">relative runtimes differed by at most 0.56 percentage points. Relative speedup</w:t>
      </w:r>
      <w:r>
        <w:t xml:space="preserve"> </w:t>
      </w:r>
      <w:r>
        <w:t xml:space="preserve">therefore approaches a hit-rate ceiling even while the absolute time returned</w:t>
      </w:r>
      <w:r>
        <w:t xml:space="preserve"> </w:t>
      </w:r>
      <w:r>
        <w:t xml:space="preserve">continues to grow with pipeline cost.</w:t>
      </w:r>
    </w:p>
    <w:bookmarkEnd w:id="22"/>
    <w:bookmarkStart w:id="26" w:name="Xbc85f61ffb1a7425a5b03317711322017de315d"/>
    <w:p>
      <w:pPr>
        <w:pStyle w:val="Heading2"/>
      </w:pPr>
      <w:r>
        <w:t xml:space="preserve">Public and cohort caches support different deployment models</w:t>
      </w:r>
    </w:p>
    <w:p>
      <w:pPr>
        <w:pStyle w:val="FirstParagraph"/>
      </w:pPr>
      <w:r>
        <w:t xml:space="preserve">We next evaluated 20 KPGP, 20 SGDP and 12 Harvard PGP genomes</w:t>
      </w:r>
      <w:r>
        <w:t xml:space="preserve"> </w:t>
      </w:r>
      <w:r>
        <w:t xml:space="preserve">[</w:t>
      </w:r>
      <w:hyperlink w:anchor="ref-kpgp_data">
        <w:r>
          <w:rPr>
            <w:rStyle w:val="Hyperlink"/>
          </w:rPr>
          <w:t xml:space="preserve">6</w:t>
        </w:r>
      </w:hyperlink>
      <w:r>
        <w:t xml:space="preserve">–</w:t>
      </w:r>
      <w:hyperlink w:anchor="ref-ball2012pgp">
        <w:r>
          <w:rPr>
            <w:rStyle w:val="Hyperlink"/>
          </w:rPr>
          <w:t xml:space="preserve">8</w:t>
        </w:r>
      </w:hyperlink>
      <w:r>
        <w:t xml:space="preserve">]</w:t>
      </w:r>
      <w:r>
        <w:t xml:space="preserve">. KPGP and SGDP remained in GRCh38</w:t>
      </w:r>
      <w:r>
        <w:t xml:space="preserve"> </w:t>
      </w:r>
      <w:r>
        <w:t xml:space="preserve">and PGP in GRCh37. Three additional, disjoint genomes from each provider formed</w:t>
      </w:r>
      <w:r>
        <w:t xml:space="preserve"> </w:t>
      </w:r>
      <w:r>
        <w:t xml:space="preserve">cohort caches; relatedness screening prevented a second-degree-or-closer</w:t>
      </w:r>
      <w:r>
        <w:t xml:space="preserve"> </w:t>
      </w:r>
      <w:r>
        <w:t xml:space="preserve">training/evaluation pair. The public alternatives were bundled,</w:t>
      </w:r>
      <w:r>
        <w:t xml:space="preserve"> </w:t>
      </w:r>
      <w:r>
        <w:t xml:space="preserve">assembly-matched gnomAD v4.1 caches containing alleles reaching AF ≥10% or</w:t>
      </w:r>
      <w:r>
        <w:t xml:space="preserve"> </w:t>
      </w:r>
      <w:r>
        <w:t xml:space="preserve">AF ≥1% in any reported frequency stratum</w:t>
      </w:r>
      <w:r>
        <w:t xml:space="preserve"> </w:t>
      </w:r>
      <w:r>
        <w:t xml:space="preserve">[</w:t>
      </w:r>
      <w:hyperlink w:anchor="ref-gnomad2024release">
        <w:r>
          <w:rPr>
            <w:rStyle w:val="Hyperlink"/>
          </w:rPr>
          <w:t xml:space="preserve">9</w:t>
        </w:r>
      </w:hyperlink>
      <w:r>
        <w:t xml:space="preserve">]</w:t>
      </w:r>
      <w:r>
        <w:t xml:space="preserve">.</w:t>
      </w:r>
      <w:r>
        <w:t xml:space="preserve"> </w:t>
      </w:r>
      <w:r>
        <w:t xml:space="preserve">gnomAD supplies a broad public allele universe</w:t>
      </w:r>
      <w:r>
        <w:t xml:space="preserve"> </w:t>
      </w:r>
      <w:r>
        <w:t xml:space="preserve">[</w:t>
      </w:r>
      <w:hyperlink w:anchor="ref-karczewski2020gnomad">
        <w:r>
          <w:rPr>
            <w:rStyle w:val="Hyperlink"/>
          </w:rPr>
          <w:t xml:space="preserve">10</w:t>
        </w:r>
      </w:hyperlink>
      <w:r>
        <w:t xml:space="preserve">]</w:t>
      </w:r>
      <w:r>
        <w:t xml:space="preserve">; the</w:t>
      </w:r>
      <w:r>
        <w:t xml:space="preserve"> </w:t>
      </w:r>
      <w:r>
        <w:t xml:space="preserve">coverage measured here remains specific to these cohorts, filters and variant</w:t>
      </w:r>
      <w:r>
        <w:t xml:space="preserve"> </w:t>
      </w:r>
      <w:r>
        <w:t xml:space="preserve">representations, rather than a general clinical hit-rate estimate.</w:t>
      </w:r>
    </w:p>
    <w:p>
      <w:pPr>
        <w:pStyle w:val="BodyText"/>
      </w:pPr>
      <w:r>
        <w:t xml:space="preserve">Across these 52 held-out genomes, VEP median end-to-end speedups were 4.75-fold</w:t>
      </w:r>
      <w:r>
        <w:t xml:space="preserve"> </w:t>
      </w:r>
      <w:r>
        <w:t xml:space="preserve">(AF ≥10%), 9.21-fold (AF ≥1%) and 4.59-fold (cohort cache). With the core</w:t>
      </w:r>
      <w:r>
        <w:t xml:space="preserve"> </w:t>
      </w:r>
      <w:r>
        <w:t xml:space="preserve">fastVEP recipe, they were 1.84-, 2.05- and 1.81-fold. Median AF ≥1% coverage</w:t>
      </w:r>
      <w:r>
        <w:t xml:space="preserve"> </w:t>
      </w:r>
      <w:r>
        <w:t xml:space="preserve">was 91.95–93.04% across providers, whereas three-genome cohort coverage was</w:t>
      </w:r>
      <w:r>
        <w:t xml:space="preserve"> </w:t>
      </w:r>
      <w:r>
        <w:t xml:space="preserve">77.45–82.88% (Supplementary Figure 1).</w:t>
      </w:r>
    </w:p>
    <w:p>
      <w:pPr>
        <w:pStyle w:val="BodyText"/>
      </w:pPr>
      <w:r>
        <w:drawing>
          <wp:inline>
            <wp:extent cx="5334000" cy="466725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ures/main_v4/figure4_cohort_economics_v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4: A cohort-derived cache repays its build cost rapidly and returns</w:t>
      </w:r>
      <w:r>
        <w:rPr>
          <w:b/>
          <w:bCs/>
        </w:rPr>
        <w:t xml:space="preserve"> </w:t>
      </w:r>
      <w:r>
        <w:rPr>
          <w:b/>
          <w:bCs/>
        </w:rPr>
        <w:t xml:space="preserve">cumulative compute time.</w:t>
      </w:r>
      <w:r>
        <w:t xml:space="preserve"> </w:t>
      </w:r>
      <w:r>
        <w:t xml:space="preserve">Three held-out real-world cohorts were evaluated</w:t>
      </w:r>
      <w:r>
        <w:t xml:space="preserve"> </w:t>
      </w:r>
      <w:r>
        <w:t xml:space="preserve">with caches built from three disjoint genomes. (A) Effective speedup includes</w:t>
      </w:r>
      <w:r>
        <w:t xml:space="preserve"> </w:t>
      </w:r>
      <w:r>
        <w:t xml:space="preserve">the complete one-time cache-build duration divided across the indicated cohort</w:t>
      </w:r>
      <w:r>
        <w:t xml:space="preserve"> </w:t>
      </w:r>
      <w:r>
        <w:t xml:space="preserve">size; circles mark empirical break-even. (B) Compute days returned after build</w:t>
      </w:r>
      <w:r>
        <w:t xml:space="preserve"> </w:t>
      </w:r>
      <w:r>
        <w:t xml:space="preserve">cost for cohorts of 10, 100 and 1,000 samples, using measured cohort-specific</w:t>
      </w:r>
      <w:r>
        <w:t xml:space="preserve"> </w:t>
      </w:r>
      <w:r>
        <w:t xml:space="preserve">median direct and cached VEP WGS runtimes. KPGP, Korean Personal Genome Project;</w:t>
      </w:r>
      <w:r>
        <w:t xml:space="preserve"> </w:t>
      </w:r>
      <w:r>
        <w:t xml:space="preserve">PGP, Personal Genome Project; SGDP, Simons Genome Diversity Project; VEP,</w:t>
      </w:r>
      <w:r>
        <w:t xml:space="preserve"> </w:t>
      </w:r>
      <w:r>
        <w:t xml:space="preserve">Variant Effect Predictor; WGS, whole-genome sequencing.</w:t>
      </w:r>
    </w:p>
    <w:p>
      <w:pPr>
        <w:pStyle w:val="BodyText"/>
      </w:pPr>
      <w:r>
        <w:t xml:space="preserve">All three cohort caches repaid their measured build cost after two subsequent</w:t>
      </w:r>
      <w:r>
        <w:t xml:space="preserve"> </w:t>
      </w:r>
      <w:r>
        <w:t xml:space="preserve">genomes; downloaded bundled caches require no local annotation build. At 100</w:t>
      </w:r>
      <w:r>
        <w:t xml:space="preserve"> </w:t>
      </w:r>
      <w:r>
        <w:t xml:space="preserve">genomes, the observed VEP rates corresponded to 8.5, 8.3 and 3.8 compute days</w:t>
      </w:r>
      <w:r>
        <w:t xml:space="preserve"> </w:t>
      </w:r>
      <w:r>
        <w:t xml:space="preserve">returned for KPGP, SGDP and PGP, respectively. At 1,000 genomes, these values</w:t>
      </w:r>
      <w:r>
        <w:t xml:space="preserve"> </w:t>
      </w:r>
      <w:r>
        <w:t xml:space="preserve">were 86.7, 84.7 and 39.1 days. The calculation includes the complete local</w:t>
      </w:r>
      <w:r>
        <w:t xml:space="preserve"> </w:t>
      </w:r>
      <w:r>
        <w:t xml:space="preserve">cache-build time and therefore distinguishes immediate public-cache use from</w:t>
      </w:r>
      <w:r>
        <w:t xml:space="preserve"> </w:t>
      </w:r>
      <w:r>
        <w:t xml:space="preserve">cohort-specific amortization.</w:t>
      </w:r>
    </w:p>
    <w:bookmarkEnd w:id="26"/>
    <w:bookmarkStart w:id="27" w:name="X16b32d3672d5e0881a58e5699fd903eadd7402b"/>
    <w:p>
      <w:pPr>
        <w:pStyle w:val="Heading2"/>
      </w:pPr>
      <w:r>
        <w:t xml:space="preserve">Caching complements efficient and parallel annotators</w:t>
      </w:r>
    </w:p>
    <w:p>
      <w:pPr>
        <w:pStyle w:val="FirstParagraph"/>
      </w:pPr>
      <w:r>
        <w:t xml:space="preserve">Increasing annotation load strengthened benefit without changing cache</w:t>
      </w:r>
      <w:r>
        <w:t xml:space="preserve"> </w:t>
      </w:r>
      <w:r>
        <w:t xml:space="preserve">membership. On the same GRCh37 genomes, extending SnpEff from core consequence</w:t>
      </w:r>
      <w:r>
        <w:t xml:space="preserve"> </w:t>
      </w:r>
      <w:r>
        <w:t xml:space="preserve">annotation to a clinical ClinVar and gnomAD recipe increased median speedup</w:t>
      </w:r>
      <w:r>
        <w:t xml:space="preserve"> </w:t>
      </w:r>
      <w:r>
        <w:t xml:space="preserve">from 1.16- to 3.62-fold for WES and from 4.46- to 12.31-fold for WGS</w:t>
      </w:r>
      <w:r>
        <w:t xml:space="preserve"> </w:t>
      </w:r>
      <w:r>
        <w:t xml:space="preserve">(Supplementary Figure 3 and Supplementary Table 1).</w:t>
      </w:r>
    </w:p>
    <w:p>
      <w:pPr>
        <w:pStyle w:val="BodyText"/>
      </w:pPr>
      <w:r>
        <w:t xml:space="preserve">An independent engineering experiment asked whether more CPUs eliminate reuse</w:t>
      </w:r>
      <w:r>
        <w:t xml:space="preserve"> </w:t>
      </w:r>
      <w:r>
        <w:t xml:space="preserve">benefit for fast native annotation. A dense ten-database fastVEP recipe</w:t>
      </w:r>
      <w:r>
        <w:t xml:space="preserve"> </w:t>
      </w:r>
      <w:r>
        <w:t xml:space="preserve">saturated between process-wide limits of 10 and 32 CPUs (706.2 versus 691.4 s</w:t>
      </w:r>
      <w:r>
        <w:t xml:space="preserve"> </w:t>
      </w:r>
      <w:r>
        <w:t xml:space="preserve">direct) but retained 3.07- and 3.37-fold speedups at approximately 90% cache</w:t>
      </w:r>
      <w:r>
        <w:t xml:space="preserve"> </w:t>
      </w:r>
      <w:r>
        <w:t xml:space="preserve">hits. At 10 CPUs, caching returned 7.9 minutes per genome (Supplementary Figure</w:t>
      </w:r>
      <w:r>
        <w:t xml:space="preserve"> </w:t>
      </w:r>
      <w:r>
        <w:t xml:space="preserve">2). Parallelism and reuse therefore reduce different components of runtime.</w:t>
      </w:r>
    </w:p>
    <w:bookmarkEnd w:id="27"/>
    <w:bookmarkStart w:id="28" w:name="X59ac8dfed41acc73df8789514b5a8ee63ee1f44"/>
    <w:p>
      <w:pPr>
        <w:pStyle w:val="Heading2"/>
      </w:pPr>
      <w:r>
        <w:t xml:space="preserve">Correctness was assessed outside timed cells</w:t>
      </w:r>
    </w:p>
    <w:p>
      <w:pPr>
        <w:pStyle w:val="FirstParagraph"/>
      </w:pPr>
      <w:r>
        <w:t xml:space="preserve">All 156 VEP and 156 fastVEP whole-genome pairs passed annotator-specific</w:t>
      </w:r>
      <w:r>
        <w:t xml:space="preserve"> </w:t>
      </w:r>
      <w:r>
        <w:t xml:space="preserve">semantic comparison. For VEP, 8,898 of 734,582,949 records (0.0012%) differed</w:t>
      </w:r>
      <w:r>
        <w:t xml:space="preserve"> </w:t>
      </w:r>
      <w:r>
        <w:t xml:space="preserve">only in</w:t>
      </w:r>
      <w:r>
        <w:t xml:space="preserve"> </w:t>
      </w:r>
      <w:r>
        <w:rPr>
          <w:rStyle w:val="VerbatimChar"/>
        </w:rPr>
        <w:t xml:space="preserve">HGNC_ID</w:t>
      </w:r>
      <w:r>
        <w:t xml:space="preserve">, a documented VEP 115.2 batching effect</w:t>
      </w:r>
      <w:r>
        <w:t xml:space="preserve"> </w:t>
      </w:r>
      <w:r>
        <w:t xml:space="preserve">[</w:t>
      </w:r>
      <w:hyperlink w:anchor="ref-vep_issue_1959">
        <w:r>
          <w:rPr>
            <w:rStyle w:val="Hyperlink"/>
          </w:rPr>
          <w:t xml:space="preserve">11</w:t>
        </w:r>
      </w:hyperlink>
      <w:r>
        <w:t xml:space="preserve">]</w:t>
      </w:r>
      <w:r>
        <w:t xml:space="preserve">;</w:t>
      </w:r>
      <w:r>
        <w:t xml:space="preserve"> </w:t>
      </w:r>
      <w:r>
        <w:t xml:space="preserve">the field was reported but excluded from pass/fail. fastVEP comparison covered</w:t>
      </w:r>
      <w:r>
        <w:t xml:space="preserve"> </w:t>
      </w:r>
      <w:r>
        <w:t xml:space="preserve">all INFO, FORMAT and relevant header values, canonicalizing order only.</w:t>
      </w:r>
    </w:p>
    <w:p>
      <w:pPr>
        <w:pStyle w:val="BodyText"/>
      </w:pPr>
      <w:r>
        <w:t xml:space="preserve">In the final clinical campaign, all 176 eligible direct/cached pairs were</w:t>
      </w:r>
      <w:r>
        <w:t xml:space="preserve"> </w:t>
      </w:r>
      <w:r>
        <w:t xml:space="preserve">semantically concordant (Supplementary Figure 3). Four of 180 SnpEff pairs</w:t>
      </w:r>
      <w:r>
        <w:t xml:space="preserve"> </w:t>
      </w:r>
      <w:r>
        <w:t xml:space="preserve">were excluded before inference because one GRCh37 allele differed only by</w:t>
      </w:r>
      <w:r>
        <w:t xml:space="preserve"> </w:t>
      </w:r>
      <w:r>
        <w:rPr>
          <w:rStyle w:val="VerbatimChar"/>
        </w:rPr>
        <w:t xml:space="preserve">WARNING_TRANSCRIPT_MULTIPLE_STOP_CODONS</w:t>
      </w:r>
      <w:r>
        <w:t xml:space="preserve">; consequence, transcript, HGVS,</w:t>
      </w:r>
      <w:r>
        <w:t xml:space="preserve"> </w:t>
      </w:r>
      <w:r>
        <w:t xml:space="preserve">ClinVar, gnomAD, genotype and record counts agreed. A direct-SnpEff reproducer</w:t>
      </w:r>
      <w:r>
        <w:t xml:space="preserve"> </w:t>
      </w:r>
      <w:r>
        <w:t xml:space="preserve">showed that the warning changed when two adjacent input records were reversed,</w:t>
      </w:r>
      <w:r>
        <w:t xml:space="preserve"> </w:t>
      </w:r>
      <w:r>
        <w:t xml:space="preserve">without VCFcache involvement. We therefore documented the annotator-order</w:t>
      </w:r>
      <w:r>
        <w:t xml:space="preserve"> </w:t>
      </w:r>
      <w:r>
        <w:t xml:space="preserve">effect rather than adding warning-specific normalization. These results</w:t>
      </w:r>
      <w:r>
        <w:t xml:space="preserve"> </w:t>
      </w:r>
      <w:r>
        <w:t xml:space="preserve">support equivalence under a fixed tool, version, reference and recipe, not byte</w:t>
      </w:r>
      <w:r>
        <w:t xml:space="preserve"> </w:t>
      </w:r>
      <w:r>
        <w:t xml:space="preserve">identity or equivalence between annotators.</w:t>
      </w:r>
    </w:p>
    <w:bookmarkEnd w:id="28"/>
    <w:bookmarkStart w:id="29" w:name="Xaf2386a47ab5367f924c473ee1436c91069ee8c"/>
    <w:p>
      <w:pPr>
        <w:pStyle w:val="Heading2"/>
      </w:pPr>
      <w:r>
        <w:t xml:space="preserve">Scope and relationship to existing approaches</w:t>
      </w:r>
    </w:p>
    <w:p>
      <w:pPr>
        <w:pStyle w:val="FirstParagraph"/>
      </w:pPr>
      <w:r>
        <w:t xml:space="preserve">The contribution is recipe-specific incremental execution: an indexed payload</w:t>
      </w:r>
      <w:r>
        <w:t xml:space="preserve"> </w:t>
      </w:r>
      <w:r>
        <w:t xml:space="preserve">cache, automatic execution of the same recipe for misses, and assembly of one</w:t>
      </w:r>
      <w:r>
        <w:t xml:space="preserve"> </w:t>
      </w:r>
      <w:r>
        <w:t xml:space="preserve">sample-level result. vcfanno and echtvar address efficient joins of supplied</w:t>
      </w:r>
      <w:r>
        <w:t xml:space="preserve"> </w:t>
      </w:r>
      <w:r>
        <w:t xml:space="preserve">annotation fields, and VarNote accelerates access to large functional resources</w:t>
      </w:r>
      <w:r>
        <w:t xml:space="preserve"> </w:t>
      </w:r>
      <w:r>
        <w:t xml:space="preserve">[</w:t>
      </w:r>
      <w:hyperlink w:anchor="ref-vcfanno2016">
        <w:r>
          <w:rPr>
            <w:rStyle w:val="Hyperlink"/>
          </w:rPr>
          <w:t xml:space="preserve">3</w:t>
        </w:r>
      </w:hyperlink>
      <w:r>
        <w:t xml:space="preserve">,</w:t>
      </w:r>
      <w:hyperlink w:anchor="ref-pedersen2023echtvar">
        <w:r>
          <w:rPr>
            <w:rStyle w:val="Hyperlink"/>
          </w:rPr>
          <w:t xml:space="preserve">4</w:t>
        </w:r>
      </w:hyperlink>
      <w:r>
        <w:t xml:space="preserve">,</w:t>
      </w:r>
      <w:hyperlink w:anchor="ref-huang2020varnote">
        <w:r>
          <w:rPr>
            <w:rStyle w:val="Hyperlink"/>
          </w:rPr>
          <w:t xml:space="preserve">12</w:t>
        </w:r>
      </w:hyperlink>
      <w:r>
        <w:t xml:space="preserve">]</w:t>
      </w:r>
      <w:r>
        <w:t xml:space="preserve">. GEMINI persists cohort</w:t>
      </w:r>
      <w:r>
        <w:t xml:space="preserve"> </w:t>
      </w:r>
      <w:r>
        <w:t xml:space="preserve">variants, genotypes and annotations for downstream query</w:t>
      </w:r>
      <w:r>
        <w:t xml:space="preserve"> </w:t>
      </w:r>
      <w:r>
        <w:t xml:space="preserve">[</w:t>
      </w:r>
      <w:hyperlink w:anchor="ref-paila2013gemini">
        <w:r>
          <w:rPr>
            <w:rStyle w:val="Hyperlink"/>
          </w:rPr>
          <w:t xml:space="preserve">13</w:t>
        </w:r>
      </w:hyperlink>
      <w:r>
        <w:t xml:space="preserve">]</w:t>
      </w:r>
      <w:r>
        <w:t xml:space="preserve">.</w:t>
      </w:r>
      <w:r>
        <w:t xml:space="preserve"> </w:t>
      </w:r>
      <w:r>
        <w:t xml:space="preserve">These approaches establish that annotation reuse and fast lookup are not new</w:t>
      </w:r>
      <w:r>
        <w:t xml:space="preserve"> </w:t>
      </w:r>
      <w:r>
        <w:t xml:space="preserve">in themselves; VCFcache makes reuse part of executing an existing recipe on</w:t>
      </w:r>
      <w:r>
        <w:t xml:space="preserve"> </w:t>
      </w:r>
      <w:r>
        <w:t xml:space="preserve">successive samples. Faster lookup can further reduce its processing cost.</w:t>
      </w:r>
    </w:p>
    <w:p>
      <w:pPr>
        <w:pStyle w:val="BodyText"/>
      </w:pPr>
      <w:r>
        <w:t xml:space="preserve">Reuse is appropriate for allele-local INFO annotations stable under the frozen</w:t>
      </w:r>
      <w:r>
        <w:t xml:space="preserve"> </w:t>
      </w:r>
      <w:r>
        <w:t xml:space="preserve">recipe. Genotype-dependent, haplotype-dependent or processing-order-dependent</w:t>
      </w:r>
      <w:r>
        <w:t xml:space="preserve"> </w:t>
      </w:r>
      <w:r>
        <w:t xml:space="preserve">output requires separate validation; arbitrary FORMAT changes and changes to</w:t>
      </w:r>
      <w:r>
        <w:t xml:space="preserve"> </w:t>
      </w:r>
      <w:r>
        <w:t xml:space="preserve">the record set are outside the demonstrated contract. The observed VEP and</w:t>
      </w:r>
      <w:r>
        <w:t xml:space="preserve"> </w:t>
      </w:r>
      <w:r>
        <w:t xml:space="preserve">SnpEff differences therefore delimit the equivalence claim. Within the tested</w:t>
      </w:r>
      <w:r>
        <w:t xml:space="preserve"> </w:t>
      </w:r>
      <w:r>
        <w:t xml:space="preserve">scope, reusable public and cohort caches turn recurrent alleles into saved</w:t>
      </w:r>
      <w:r>
        <w:t xml:space="preserve"> </w:t>
      </w:r>
      <w:r>
        <w:t xml:space="preserve">annotation work, including around a fast parallel annotator.</w:t>
      </w:r>
    </w:p>
    <w:bookmarkEnd w:id="29"/>
    <w:bookmarkEnd w:id="30"/>
    <w:bookmarkStart w:id="38" w:name="methods"/>
    <w:p>
      <w:pPr>
        <w:pStyle w:val="Heading1"/>
      </w:pPr>
      <w:r>
        <w:t xml:space="preserve">Methods</w:t>
      </w:r>
    </w:p>
    <w:bookmarkStart w:id="31" w:name="software-and-cache-design"/>
    <w:p>
      <w:pPr>
        <w:pStyle w:val="Heading2"/>
      </w:pPr>
      <w:r>
        <w:t xml:space="preserve">Software and cache design</w:t>
      </w:r>
    </w:p>
    <w:p>
      <w:pPr>
        <w:pStyle w:val="FirstParagraph"/>
      </w:pPr>
      <w:r>
        <w:t xml:space="preserve">VCFcache is implemented in Python and delegates normalized BCF processing and</w:t>
      </w:r>
      <w:r>
        <w:t xml:space="preserve"> </w:t>
      </w:r>
      <w:r>
        <w:t xml:space="preserve">indexing to bcftools/htslib</w:t>
      </w:r>
      <w:r>
        <w:t xml:space="preserve"> </w:t>
      </w:r>
      <w:r>
        <w:t xml:space="preserve">[</w:t>
      </w:r>
      <w:hyperlink w:anchor="ref-danecek2021bcftools">
        <w:r>
          <w:rPr>
            <w:rStyle w:val="Hyperlink"/>
          </w:rPr>
          <w:t xml:space="preserve">14</w:t>
        </w:r>
      </w:hyperlink>
      <w:r>
        <w:t xml:space="preserve">]</w:t>
      </w:r>
      <w:r>
        <w:t xml:space="preserve">. A blueprint is a</w:t>
      </w:r>
      <w:r>
        <w:t xml:space="preserve"> </w:t>
      </w:r>
      <w:r>
        <w:t xml:space="preserve">genotype-free set of normalized alleles. Cache construction applies one frozen</w:t>
      </w:r>
      <w:r>
        <w:t xml:space="preserve"> </w:t>
      </w:r>
      <w:r>
        <w:t xml:space="preserve">annotation command to the blueprint and stores its output with immutable recipe</w:t>
      </w:r>
      <w:r>
        <w:t xml:space="preserve"> </w:t>
      </w:r>
      <w:r>
        <w:t xml:space="preserve">and parameter snapshots. Sample annotation splits records into cache hits and</w:t>
      </w:r>
      <w:r>
        <w:t xml:space="preserve"> </w:t>
      </w:r>
      <w:r>
        <w:t xml:space="preserve">misses, applies the same command to misses, and produces a coordinate-sorted,</w:t>
      </w:r>
      <w:r>
        <w:t xml:space="preserve"> </w:t>
      </w:r>
      <w:r>
        <w:t xml:space="preserve">indexed BCF. Semantic comparison was performed afterward and was never timed.</w:t>
      </w:r>
    </w:p>
    <w:p>
      <w:pPr>
        <w:pStyle w:val="BodyText"/>
      </w:pPr>
      <w:r>
        <w:t xml:space="preserve">Cache matching uses CHROM, POS, REF and ALT within an assembly-specific</w:t>
      </w:r>
      <w:r>
        <w:t xml:space="preserve"> </w:t>
      </w:r>
      <w:r>
        <w:t xml:space="preserve">namespace, rather than a position-only or genotype key. Equivalent alleles can</w:t>
      </w:r>
      <w:r>
        <w:t xml:space="preserve"> </w:t>
      </w:r>
      <w:r>
        <w:t xml:space="preserve">have different VCF encodings</w:t>
      </w:r>
      <w:r>
        <w:t xml:space="preserve"> </w:t>
      </w:r>
      <w:r>
        <w:t xml:space="preserve">[</w:t>
      </w:r>
      <w:hyperlink w:anchor="ref-tan2015unified">
        <w:r>
          <w:rPr>
            <w:rStyle w:val="Hyperlink"/>
          </w:rPr>
          <w:t xml:space="preserve">5</w:t>
        </w:r>
      </w:hyperlink>
      <w:r>
        <w:t xml:space="preserve">]</w:t>
      </w:r>
      <w:r>
        <w:t xml:space="preserve">. Sample preprocessing decomposes</w:t>
      </w:r>
      <w:r>
        <w:t xml:space="preserve"> </w:t>
      </w:r>
      <w:r>
        <w:t xml:space="preserve">multiallelic records with</w:t>
      </w:r>
      <w:r>
        <w:t xml:space="preserve"> </w:t>
      </w:r>
      <w:r>
        <w:rPr>
          <w:rStyle w:val="VerbatimChar"/>
        </w:rPr>
        <w:t xml:space="preserve">bcftools norm -m-</w:t>
      </w:r>
      <w:r>
        <w:t xml:space="preserve"> </w:t>
      </w:r>
      <w:r>
        <w:t xml:space="preserve">and removes spanning-deletion</w:t>
      </w:r>
      <w:r>
        <w:t xml:space="preserve"> </w:t>
      </w:r>
      <w:r>
        <w:rPr>
          <w:rStyle w:val="VerbatimChar"/>
        </w:rPr>
        <w:t xml:space="preserve">ALT=*</w:t>
      </w:r>
      <w:r>
        <w:t xml:space="preserve"> </w:t>
      </w:r>
      <w:r>
        <w:t xml:space="preserve">alleles; it does not recombine the split records. This command does not</w:t>
      </w:r>
      <w:r>
        <w:t xml:space="preserve"> </w:t>
      </w:r>
      <w:r>
        <w:t xml:space="preserve">perform reference-based left alignment. Input and cache must share allele</w:t>
      </w:r>
      <w:r>
        <w:t xml:space="preserve"> </w:t>
      </w:r>
      <w:r>
        <w:t xml:space="preserve">representation and contig naming for matching; reference-based left alignment</w:t>
      </w:r>
      <w:r>
        <w:t xml:space="preserve"> </w:t>
      </w:r>
      <w:r>
        <w:t xml:space="preserve">and minimal representation can establish consistent keys and, when applied,</w:t>
      </w:r>
      <w:r>
        <w:t xml:space="preserve"> </w:t>
      </w:r>
      <w:r>
        <w:t xml:space="preserve">must use the same reference sequence upstream.</w:t>
      </w:r>
      <w:r>
        <w:t xml:space="preserve"> </w:t>
      </w:r>
      <w:r>
        <w:t xml:space="preserve">Assembly and contig-name compatibility checks do not establish biological</w:t>
      </w:r>
      <w:r>
        <w:t xml:space="preserve"> </w:t>
      </w:r>
      <w:r>
        <w:t xml:space="preserve">equivalence between differently represented indels. Tested inputs contained</w:t>
      </w:r>
      <w:r>
        <w:t xml:space="preserve"> </w:t>
      </w:r>
      <w:r>
        <w:t xml:space="preserve">biallelic autosomal SNPs and short indels; this study does not validate arbitrary</w:t>
      </w:r>
      <w:r>
        <w:t xml:space="preserve"> </w:t>
      </w:r>
      <w:r>
        <w:t xml:space="preserve">structural variants or record-changing recipes.</w:t>
      </w:r>
    </w:p>
    <w:p>
      <w:pPr>
        <w:pStyle w:val="BodyText"/>
      </w:pPr>
      <w:r>
        <w:t xml:space="preserve">The cache stores INFO payloads, while sample genotypes remain attached to the</w:t>
      </w:r>
      <w:r>
        <w:t xml:space="preserve"> </w:t>
      </w:r>
      <w:r>
        <w:t xml:space="preserve">input records. The recipe’s required INFO tag identifies annotated records and</w:t>
      </w:r>
      <w:r>
        <w:t xml:space="preserve"> </w:t>
      </w:r>
      <w:r>
        <w:t xml:space="preserve">must be populated for records intended to count as annotated hits. By default,</w:t>
      </w:r>
      <w:r>
        <w:t xml:space="preserve"> </w:t>
      </w:r>
      <w:r>
        <w:t xml:space="preserve">records still lacking that tag after annotation are filtered; the</w:t>
      </w:r>
      <w:r>
        <w:t xml:space="preserve"> </w:t>
      </w:r>
      <w:r>
        <w:rPr>
          <w:rStyle w:val="VerbatimChar"/>
        </w:rPr>
        <w:t xml:space="preserve">--preserve-unannotated</w:t>
      </w:r>
      <w:r>
        <w:t xml:space="preserve"> </w:t>
      </w:r>
      <w:r>
        <w:t xml:space="preserve">option retains them. Recipe and parameter</w:t>
      </w:r>
      <w:r>
        <w:t xml:space="preserve"> </w:t>
      </w:r>
      <w:r>
        <w:t xml:space="preserve">snapshots record the command and resource paths; a YAML checksum alone cannot</w:t>
      </w:r>
      <w:r>
        <w:t xml:space="preserve"> </w:t>
      </w:r>
      <w:r>
        <w:t xml:space="preserve">detect a changed binary or database at an unchanged path. The benchmark adds</w:t>
      </w:r>
      <w:r>
        <w:t xml:space="preserve"> </w:t>
      </w:r>
      <w:r>
        <w:t xml:space="preserve">tool versions, binary/reference/database hashes and frozen wrapper scripts in</w:t>
      </w:r>
      <w:r>
        <w:t xml:space="preserve"> </w:t>
      </w:r>
      <w:r>
        <w:t xml:space="preserve">its provenance manifests. Annotator, option, plugin, reference, resource or</w:t>
      </w:r>
      <w:r>
        <w:t xml:space="preserve"> </w:t>
      </w:r>
      <w:r>
        <w:t xml:space="preserve">output-schema changes require a separately built cache. The archived resource</w:t>
      </w:r>
      <w:r>
        <w:t xml:space="preserve"> </w:t>
      </w:r>
      <w:r>
        <w:t xml:space="preserve">checksums, rather than automatic hashing of every external dependency by the</w:t>
      </w:r>
      <w:r>
        <w:t xml:space="preserve"> </w:t>
      </w:r>
      <w:r>
        <w:t xml:space="preserve">CLI, define the benchmark’s frozen execution environment.</w:t>
      </w:r>
    </w:p>
    <w:bookmarkEnd w:id="31"/>
    <w:bookmarkStart w:id="32" w:name="samples-and-cache-strategies"/>
    <w:p>
      <w:pPr>
        <w:pStyle w:val="Heading2"/>
      </w:pPr>
      <w:r>
        <w:t xml:space="preserve">Samples and cache strategies</w:t>
      </w:r>
    </w:p>
    <w:p>
      <w:pPr>
        <w:pStyle w:val="FirstParagraph"/>
      </w:pPr>
      <w:r>
        <w:t xml:space="preserve">The external WGS benchmark used open KPGP and SGDP GRCh38 genomes and Harvard</w:t>
      </w:r>
      <w:r>
        <w:t xml:space="preserve"> </w:t>
      </w:r>
      <w:r>
        <w:t xml:space="preserve">PGP GRCh37 genomes. Inputs were restricted to carried, biallelic autosomal SNPs</w:t>
      </w:r>
      <w:r>
        <w:t xml:space="preserve"> </w:t>
      </w:r>
      <w:r>
        <w:t xml:space="preserve">and short indels and checked for compression, index readability, coordinate</w:t>
      </w:r>
      <w:r>
        <w:t xml:space="preserve"> </w:t>
      </w:r>
      <w:r>
        <w:t xml:space="preserve">order, contigs, sample identity and completeness. Three genomes per provider</w:t>
      </w:r>
      <w:r>
        <w:t xml:space="preserve"> </w:t>
      </w:r>
      <w:r>
        <w:t xml:space="preserve">were reserved for cache construction; evaluation comprised 20 KPGP, 20 SGDP</w:t>
      </w:r>
      <w:r>
        <w:t xml:space="preserve"> </w:t>
      </w:r>
      <w:r>
        <w:t xml:space="preserve">and 12 PGP genomes. PLINK2 KING screening at kinship 0.0884 excluded a</w:t>
      </w:r>
      <w:r>
        <w:t xml:space="preserve"> </w:t>
      </w:r>
      <w:r>
        <w:t xml:space="preserve">second-degree-or-closer relationship across the construction/evaluation</w:t>
      </w:r>
      <w:r>
        <w:t xml:space="preserve"> </w:t>
      </w:r>
      <w:r>
        <w:t xml:space="preserve">boundary.</w:t>
      </w:r>
    </w:p>
    <w:p>
      <w:pPr>
        <w:pStyle w:val="BodyText"/>
      </w:pPr>
      <w:r>
        <w:t xml:space="preserve">Matched-assay experiments used six KPGP and six SGDP GRCh38 evaluation genomes,</w:t>
      </w:r>
      <w:r>
        <w:t xml:space="preserve"> </w:t>
      </w:r>
      <w:r>
        <w:t xml:space="preserve">subset to Twist Human Core Exome intervals padded by 125 bp and ACMG SF v3.3</w:t>
      </w:r>
      <w:r>
        <w:t xml:space="preserve"> </w:t>
      </w:r>
      <w:r>
        <w:t xml:space="preserve">MANE Select coding intervals padded by 20 bp. The principal matched comparison</w:t>
      </w:r>
      <w:r>
        <w:t xml:space="preserve"> </w:t>
      </w:r>
      <w:r>
        <w:t xml:space="preserve">combined VEP</w:t>
      </w:r>
      <w:r>
        <w:t xml:space="preserve"> </w:t>
      </w:r>
      <w:r>
        <w:rPr>
          <w:rStyle w:val="VerbatimChar"/>
        </w:rPr>
        <w:t xml:space="preserve">--everything</w:t>
      </w:r>
      <w:r>
        <w:t xml:space="preserve">, clinical fastVEP and clinical SnpEff measurements</w:t>
      </w:r>
      <w:r>
        <w:t xml:space="preserve"> </w:t>
      </w:r>
      <w:r>
        <w:t xml:space="preserve">on these identical 12 inputs and the same gnomAD AF ≥1% cache membership,</w:t>
      </w:r>
      <w:r>
        <w:t xml:space="preserve"> </w:t>
      </w:r>
      <w:r>
        <w:t xml:space="preserve">yielding 108 direct/cached sample-tool-assay pairs. The wider final clinical</w:t>
      </w:r>
      <w:r>
        <w:t xml:space="preserve"> </w:t>
      </w:r>
      <w:r>
        <w:t xml:space="preserve">campaign used 12 genomes per assembly across Panel, WES and WGS; frozen sample</w:t>
      </w:r>
      <w:r>
        <w:t xml:space="preserve"> </w:t>
      </w:r>
      <w:r>
        <w:t xml:space="preserve">membership is provided with its reproducer.</w:t>
      </w:r>
    </w:p>
    <w:p>
      <w:pPr>
        <w:pStyle w:val="BodyText"/>
      </w:pPr>
      <w:r>
        <w:t xml:space="preserve">Public strategies were assembly-matched VCFcache gnomAD v4.1 joint</w:t>
      </w:r>
      <w:r>
        <w:t xml:space="preserve"> </w:t>
      </w:r>
      <w:r>
        <w:t xml:space="preserve">exome/genome caches containing sites reaching AF ≥10% or AF ≥1% in any</w:t>
      </w:r>
      <w:r>
        <w:t xml:space="preserve"> </w:t>
      </w:r>
      <w:r>
        <w:t xml:space="preserve">frequency stratum. Production Zenodo archives were checksum-verified before</w:t>
      </w:r>
      <w:r>
        <w:t xml:space="preserve"> </w:t>
      </w:r>
      <w:r>
        <w:t xml:space="preserve">use. Provider-specific cohort blueprints contained alleles from the three</w:t>
      </w:r>
      <w:r>
        <w:t xml:space="preserve"> </w:t>
      </w:r>
      <w:r>
        <w:t xml:space="preserve">reserved genomes; annotations were built independently for every tool and</w:t>
      </w:r>
      <w:r>
        <w:t xml:space="preserve"> </w:t>
      </w:r>
      <w:r>
        <w:t xml:space="preserve">recipe.</w:t>
      </w:r>
      <w:r>
        <w:t xml:space="preserve"> </w:t>
      </w:r>
      <w:r>
        <w:t xml:space="preserve">No documented overlap between evaluation cohorts and gnomAD was identified,</w:t>
      </w:r>
      <w:r>
        <w:t xml:space="preserve"> </w:t>
      </w:r>
      <w:r>
        <w:t xml:space="preserve">although undisclosed sample-level overlap cannot be excluded.</w:t>
      </w:r>
      <w:r>
        <w:t xml:space="preserve"> </w:t>
      </w:r>
      <w:r>
        <w:t xml:space="preserve">The gnomAD resource citation and v4.1 release identify the source population</w:t>
      </w:r>
      <w:r>
        <w:t xml:space="preserve"> </w:t>
      </w:r>
      <w:r>
        <w:t xml:space="preserve">data; the AF ≥10% and AF ≥1% GRCh38 VEP cache DOIs identify the downloadable</w:t>
      </w:r>
      <w:r>
        <w:t xml:space="preserve"> </w:t>
      </w:r>
      <w:r>
        <w:t xml:space="preserve">artifacts</w:t>
      </w:r>
      <w:r>
        <w:t xml:space="preserve"> </w:t>
      </w:r>
      <w:r>
        <w:t xml:space="preserve">[</w:t>
      </w:r>
      <w:hyperlink w:anchor="ref-gnomad2024release">
        <w:r>
          <w:rPr>
            <w:rStyle w:val="Hyperlink"/>
          </w:rPr>
          <w:t xml:space="preserve">9</w:t>
        </w:r>
      </w:hyperlink>
      <w:r>
        <w:t xml:space="preserve">,</w:t>
      </w:r>
      <w:hyperlink w:anchor="ref-karczewski2020gnomad">
        <w:r>
          <w:rPr>
            <w:rStyle w:val="Hyperlink"/>
          </w:rPr>
          <w:t xml:space="preserve">10</w:t>
        </w:r>
      </w:hyperlink>
      <w:r>
        <w:t xml:space="preserve">,</w:t>
      </w:r>
      <w:hyperlink w:anchor="ref-vcfcache_af10_cache">
        <w:r>
          <w:rPr>
            <w:rStyle w:val="Hyperlink"/>
          </w:rPr>
          <w:t xml:space="preserve">15</w:t>
        </w:r>
      </w:hyperlink>
      <w:r>
        <w:t xml:space="preserve">,</w:t>
      </w:r>
      <w:hyperlink w:anchor="ref-vcfcache_af1_cache">
        <w:r>
          <w:rPr>
            <w:rStyle w:val="Hyperlink"/>
          </w:rPr>
          <w:t xml:space="preserve">16</w:t>
        </w:r>
      </w:hyperlink>
      <w:r>
        <w:t xml:space="preserve">]</w:t>
      </w:r>
      <w:r>
        <w:t xml:space="preserve">. fastVEP and SnpEff caches were</w:t>
      </w:r>
      <w:r>
        <w:t xml:space="preserve"> </w:t>
      </w:r>
      <w:r>
        <w:t xml:space="preserve">annotated locally from the corresponding allele sets.</w:t>
      </w:r>
    </w:p>
    <w:bookmarkEnd w:id="32"/>
    <w:bookmarkStart w:id="33" w:name="annotation-recipes-and-execution"/>
    <w:p>
      <w:pPr>
        <w:pStyle w:val="Heading2"/>
      </w:pPr>
      <w:r>
        <w:t xml:space="preserve">Annotation recipes and execution</w:t>
      </w:r>
    </w:p>
    <w:p>
      <w:pPr>
        <w:pStyle w:val="FirstParagraph"/>
      </w:pPr>
      <w:r>
        <w:t xml:space="preserve">VEP 115.2 ran offline with the assembly-matched Ensembl cache,</w:t>
      </w:r>
      <w:r>
        <w:t xml:space="preserve"> </w:t>
      </w:r>
      <w:r>
        <w:rPr>
          <w:rStyle w:val="VerbatimChar"/>
        </w:rPr>
        <w:t xml:space="preserve">--everything</w:t>
      </w:r>
      <w:r>
        <w:t xml:space="preserve">,</w:t>
      </w:r>
      <w:r>
        <w:t xml:space="preserve"> </w:t>
      </w:r>
      <w:r>
        <w:rPr>
          <w:rStyle w:val="VerbatimChar"/>
        </w:rPr>
        <w:t xml:space="preserve">--hgvsg</w:t>
      </w:r>
      <w:r>
        <w:t xml:space="preserve">, buffer size 500,000 and eight forks. fastVEP 0.3.0 used frozen</w:t>
      </w:r>
      <w:r>
        <w:t xml:space="preserve"> </w:t>
      </w:r>
      <w:r>
        <w:t xml:space="preserve">release binaries, assembly-matched FASTA and transcript caches. Its core recipe</w:t>
      </w:r>
      <w:r>
        <w:t xml:space="preserve"> </w:t>
      </w:r>
      <w:r>
        <w:t xml:space="preserve">reported consequences and HGVS; clinical and engineering recipes added the</w:t>
      </w:r>
      <w:r>
        <w:t xml:space="preserve"> </w:t>
      </w:r>
      <w:r>
        <w:t xml:space="preserve">specified supplementary databases. SnpEff 5.4c used</w:t>
      </w:r>
      <w:r>
        <w:t xml:space="preserve"> </w:t>
      </w:r>
      <w:r>
        <w:rPr>
          <w:rStyle w:val="VerbatimChar"/>
        </w:rPr>
        <w:t xml:space="preserve">GRCh38.115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GRCh37.75</w:t>
      </w:r>
      <w:r>
        <w:t xml:space="preserve">; the core recipe emitted ANN consequences, whereas the clinical</w:t>
      </w:r>
      <w:r>
        <w:t xml:space="preserve"> </w:t>
      </w:r>
      <w:r>
        <w:t xml:space="preserve">recipe subsequently used SnpSift to add ClinVar and gnomAD exome AF/AC/AN</w:t>
      </w:r>
      <w:r>
        <w:t xml:space="preserve"> </w:t>
      </w:r>
      <w:r>
        <w:t xml:space="preserve">fields</w:t>
      </w:r>
      <w:r>
        <w:t xml:space="preserve"> </w:t>
      </w:r>
      <w:r>
        <w:t xml:space="preserve">[</w:t>
      </w:r>
      <w:hyperlink w:anchor="ref-cingolani2012snpeff">
        <w:r>
          <w:rPr>
            <w:rStyle w:val="Hyperlink"/>
          </w:rPr>
          <w:t xml:space="preserve">2</w:t>
        </w:r>
      </w:hyperlink>
      <w:r>
        <w:t xml:space="preserve">]</w:t>
      </w:r>
      <w:r>
        <w:t xml:space="preserve">. Binary, reference, database and recipe hashes are</w:t>
      </w:r>
      <w:r>
        <w:t xml:space="preserve"> </w:t>
      </w:r>
      <w:r>
        <w:t xml:space="preserve">archived. These native configurations intentionally represent realistic</w:t>
      </w:r>
      <w:r>
        <w:t xml:space="preserve"> </w:t>
      </w:r>
      <w:r>
        <w:t xml:space="preserve">within-tool loads; they do not produce identical annotation fields and were not</w:t>
      </w:r>
      <w:r>
        <w:t xml:space="preserve"> </w:t>
      </w:r>
      <w:r>
        <w:t xml:space="preserve">used for cross-tool performance ranking.</w:t>
      </w:r>
    </w:p>
    <w:p>
      <w:pPr>
        <w:pStyle w:val="BodyText"/>
      </w:pPr>
      <w:r>
        <w:t xml:space="preserve">Each unique sample, annotator, recipe, assay and cache condition contributed</w:t>
      </w:r>
      <w:r>
        <w:t xml:space="preserve"> </w:t>
      </w:r>
      <w:r>
        <w:t xml:space="preserve">one direct and one cached observation; samples, not technical repeats, were the</w:t>
      </w:r>
      <w:r>
        <w:t xml:space="preserve"> </w:t>
      </w:r>
      <w:r>
        <w:t xml:space="preserve">inferential units. Direct and cached arms used identical inputs, recipes,</w:t>
      </w:r>
      <w:r>
        <w:t xml:space="preserve"> </w:t>
      </w:r>
      <w:r>
        <w:t xml:space="preserve">databases, storage and CPU allocations and ran in separate Slurm job steps.</w:t>
      </w:r>
      <w:r>
        <w:t xml:space="preserve"> </w:t>
      </w:r>
      <w:r>
        <w:t xml:space="preserve">End-to-end wall time included normalization, lookup, annotation, output</w:t>
      </w:r>
      <w:r>
        <w:t xml:space="preserve"> </w:t>
      </w:r>
      <w:r>
        <w:t xml:space="preserve">assembly, compression and indexing, but excluded cache construction and</w:t>
      </w:r>
      <w:r>
        <w:t xml:space="preserve"> </w:t>
      </w:r>
      <w:r>
        <w:t xml:space="preserve">semantic comparison. Short Panel/WES tasks used an untimed, separate</w:t>
      </w:r>
      <w:r>
        <w:t xml:space="preserve"> </w:t>
      </w:r>
      <w:r>
        <w:t xml:space="preserve">calibration input before either retained condition to standardize warm state.</w:t>
      </w:r>
    </w:p>
    <w:bookmarkEnd w:id="33"/>
    <w:bookmarkStart w:id="34" w:name="correctness-comparison"/>
    <w:p>
      <w:pPr>
        <w:pStyle w:val="Heading2"/>
      </w:pPr>
      <w:r>
        <w:t xml:space="preserve">Correctness comparison</w:t>
      </w:r>
    </w:p>
    <w:p>
      <w:pPr>
        <w:pStyle w:val="FirstParagraph"/>
      </w:pPr>
      <w:r>
        <w:t xml:space="preserve">The VEP comparator checked variant keys, retained input fields, genotype, the</w:t>
      </w:r>
      <w:r>
        <w:t xml:space="preserve"> </w:t>
      </w:r>
      <w:r>
        <w:t xml:space="preserve">CSQ definition and all CSQ entries; it canonicalized CSQ and same-locus record</w:t>
      </w:r>
      <w:r>
        <w:t xml:space="preserve"> </w:t>
      </w:r>
      <w:r>
        <w:t xml:space="preserve">ordering.</w:t>
      </w:r>
      <w:r>
        <w:t xml:space="preserve"> </w:t>
      </w:r>
      <w:r>
        <w:rPr>
          <w:rStyle w:val="VerbatimChar"/>
        </w:rPr>
        <w:t xml:space="preserve">HGNC_ID</w:t>
      </w:r>
      <w:r>
        <w:t xml:space="preserve">-only differences were counted but excluded from pass/fail</w:t>
      </w:r>
      <w:r>
        <w:t xml:space="preserve"> </w:t>
      </w:r>
      <w:r>
        <w:t xml:space="preserve">because VEP 115.2 varies this field with batching</w:t>
      </w:r>
      <w:r>
        <w:t xml:space="preserve"> </w:t>
      </w:r>
      <w:r>
        <w:t xml:space="preserve">[</w:t>
      </w:r>
      <w:hyperlink w:anchor="ref-vep_issue_1959">
        <w:r>
          <w:rPr>
            <w:rStyle w:val="Hyperlink"/>
          </w:rPr>
          <w:t xml:space="preserve">11</w:t>
        </w:r>
      </w:hyperlink>
      <w:r>
        <w:t xml:space="preserve">]</w:t>
      </w:r>
      <w:r>
        <w:t xml:space="preserve">. The</w:t>
      </w:r>
      <w:r>
        <w:t xml:space="preserve"> </w:t>
      </w:r>
      <w:r>
        <w:t xml:space="preserve">fastVEP comparator checked every INFO and FORMAT value and relevant header,</w:t>
      </w:r>
      <w:r>
        <w:t xml:space="preserve"> </w:t>
      </w:r>
      <w:r>
        <w:t xml:space="preserve">canonicalizing only representational ordering. The SnpEff comparator checked</w:t>
      </w:r>
      <w:r>
        <w:t xml:space="preserve"> </w:t>
      </w:r>
      <w:r>
        <w:t xml:space="preserve">the complete tested annotation level, including ANN, ClinVar and gnomAD fields,</w:t>
      </w:r>
      <w:r>
        <w:t xml:space="preserve"> </w:t>
      </w:r>
      <w:r>
        <w:t xml:space="preserve">while canonicalizing same-position record and ANN-entry order.</w:t>
      </w:r>
    </w:p>
    <w:p>
      <w:pPr>
        <w:pStyle w:val="BodyText"/>
      </w:pPr>
      <w:r>
        <w:t xml:space="preserve">Four SnpEff cells with one warning-only difference were excluded before</w:t>
      </w:r>
      <w:r>
        <w:t xml:space="preserve"> </w:t>
      </w:r>
      <w:r>
        <w:t xml:space="preserve">summary statistics. Diagnosis used direct SnpEff 5.4c outside all timing: the</w:t>
      </w:r>
      <w:r>
        <w:t xml:space="preserve"> </w:t>
      </w:r>
      <w:r>
        <w:t xml:space="preserve">target alone, an adjacent insertion followed by the target, and the reversed</w:t>
      </w:r>
      <w:r>
        <w:t xml:space="preserve"> </w:t>
      </w:r>
      <w:r>
        <w:t xml:space="preserve">pair. No VCFcache process was involved. Exact inputs, outputs and checksums are</w:t>
      </w:r>
      <w:r>
        <w:t xml:space="preserve"> </w:t>
      </w:r>
      <w:r>
        <w:t xml:space="preserve">archived with the final campaign.</w:t>
      </w:r>
      <w:r>
        <w:t xml:space="preserve"> </w:t>
      </w:r>
      <w:r>
        <w:t xml:space="preserve">These four cells failed the original equivalence gate and remain reported as</w:t>
      </w:r>
      <w:r>
        <w:t xml:space="preserve"> </w:t>
      </w:r>
      <w:r>
        <w:t xml:space="preserve">such; their upstream explanation does not turn them into concordant results.</w:t>
      </w:r>
      <w:r>
        <w:t xml:space="preserve"> </w:t>
      </w:r>
      <w:r>
        <w:t xml:space="preserve">Likewise, the VEP pass criterion does not establish equality of</w:t>
      </w:r>
      <w:r>
        <w:t xml:space="preserve"> </w:t>
      </w:r>
      <w:r>
        <w:rPr>
          <w:rStyle w:val="VerbatimChar"/>
        </w:rPr>
        <w:t xml:space="preserve">HGNC_ID</w:t>
      </w:r>
      <w:r>
        <w:t xml:space="preserve">.</w:t>
      </w:r>
    </w:p>
    <w:bookmarkEnd w:id="34"/>
    <w:bookmarkStart w:id="35" w:name="controlled-annotation-load-experiments"/>
    <w:p>
      <w:pPr>
        <w:pStyle w:val="Heading2"/>
      </w:pPr>
      <w:r>
        <w:t xml:space="preserve">Controlled annotation-load experiments</w:t>
      </w:r>
    </w:p>
    <w:p>
      <w:pPr>
        <w:pStyle w:val="FirstParagraph"/>
      </w:pPr>
      <w:r>
        <w:t xml:space="preserve">Pipeline scaling used held-out GRCh38 sample KPGP-00319 (4,795,706 variants)</w:t>
      </w:r>
      <w:r>
        <w:t xml:space="preserve"> </w:t>
      </w:r>
      <w:r>
        <w:t xml:space="preserve">and bundled caches with observed hit rates of 80.23% and 90.26%. Six VEP</w:t>
      </w:r>
      <w:r>
        <w:t xml:space="preserve"> </w:t>
      </w:r>
      <w:r>
        <w:rPr>
          <w:rStyle w:val="VerbatimChar"/>
        </w:rPr>
        <w:t xml:space="preserve">--everything</w:t>
      </w:r>
      <w:r>
        <w:t xml:space="preserve"> </w:t>
      </w:r>
      <w:r>
        <w:t xml:space="preserve">recipes added 0.5, 1, 2, 4, 7 or 10 ms per transcript consequence</w:t>
      </w:r>
      <w:r>
        <w:t xml:space="preserve"> </w:t>
      </w:r>
      <w:r>
        <w:t xml:space="preserve">through a plugin that emitted no field. Each load had one direct observation</w:t>
      </w:r>
      <w:r>
        <w:t xml:space="preserve"> </w:t>
      </w:r>
      <w:r>
        <w:t xml:space="preserve">and one cached observation per cache depth.</w:t>
      </w:r>
    </w:p>
    <w:p>
      <w:pPr>
        <w:pStyle w:val="BodyText"/>
      </w:pPr>
      <w:r>
        <w:t xml:space="preserve">A separate fastVEP experiment compared core and dense ten-database recipes on</w:t>
      </w:r>
      <w:r>
        <w:t xml:space="preserve"> </w:t>
      </w:r>
      <w:r>
        <w:t xml:space="preserve">the same held-out WGS under</w:t>
      </w:r>
      <w:r>
        <w:t xml:space="preserve"> </w:t>
      </w:r>
      <w:r>
        <w:rPr>
          <w:rStyle w:val="VerbatimChar"/>
        </w:rPr>
        <w:t xml:space="preserve">taskset</w:t>
      </w:r>
      <w:r>
        <w:t xml:space="preserve"> </w:t>
      </w:r>
      <w:r>
        <w:t xml:space="preserve">limits of 1, 10 or 32 CPUs. The dense</w:t>
      </w:r>
      <w:r>
        <w:t xml:space="preserve"> </w:t>
      </w:r>
      <w:r>
        <w:t xml:space="preserve">one-CPU exploratory cell was stopped for impractically low throughput and was</w:t>
      </w:r>
      <w:r>
        <w:t xml:space="preserve"> </w:t>
      </w:r>
      <w:r>
        <w:t xml:space="preserve">not analysed. This controlled cache fixed coverage near 90% to isolate the</w:t>
      </w:r>
      <w:r>
        <w:t xml:space="preserve"> </w:t>
      </w:r>
      <w:r>
        <w:t xml:space="preserve">interaction between CPU availability and annotation load rather than estimate</w:t>
      </w:r>
      <w:r>
        <w:t xml:space="preserve"> </w:t>
      </w:r>
      <w:r>
        <w:t xml:space="preserve">biological coverage.</w:t>
      </w:r>
    </w:p>
    <w:bookmarkEnd w:id="35"/>
    <w:bookmarkStart w:id="36" w:name="cache-construction-and-amortization"/>
    <w:p>
      <w:pPr>
        <w:pStyle w:val="Heading2"/>
      </w:pPr>
      <w:r>
        <w:t xml:space="preserve">Cache construction and amortization</w:t>
      </w:r>
    </w:p>
    <w:p>
      <w:pPr>
        <w:pStyle w:val="FirstParagraph"/>
      </w:pPr>
      <w:r>
        <w:t xml:space="preserve">Cache construction was excluded from per-sample timing and recorded separately.</w:t>
      </w:r>
      <w:r>
        <w:t xml:space="preserve"> </w:t>
      </w:r>
      <w:r>
        <w:t xml:space="preserve">For each cohort cache, the measured build duration was divided by paired median</w:t>
      </w:r>
      <w:r>
        <w:t xml:space="preserve"> </w:t>
      </w:r>
      <w:r>
        <w:t xml:space="preserve">time saved to obtain the number of subsequent genomes required for break-even.</w:t>
      </w:r>
      <w:r>
        <w:t xml:space="preserve"> </w:t>
      </w:r>
      <w:r>
        <w:t xml:space="preserve">Effective per-sample time after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uses was calculated as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. Public Zenodo caches have no local</w:t>
      </w:r>
      <w:r>
        <w:t xml:space="preserve"> </w:t>
      </w:r>
      <w:r>
        <w:t xml:space="preserve">annotation-build cost. Cache allele counts, archive and extracted sizes, peak</w:t>
      </w:r>
      <w:r>
        <w:t xml:space="preserve"> </w:t>
      </w:r>
      <w:r>
        <w:t xml:space="preserve">resident memory and transient disk use were taken from indexed artefacts and</w:t>
      </w:r>
      <w:r>
        <w:t xml:space="preserve"> </w:t>
      </w:r>
      <w:r>
        <w:t xml:space="preserve">instrumented builds rather than inferred from input size.</w:t>
      </w:r>
    </w:p>
    <w:bookmarkEnd w:id="36"/>
    <w:bookmarkStart w:id="37" w:name="outcomes-and-analysis"/>
    <w:p>
      <w:pPr>
        <w:pStyle w:val="Heading2"/>
      </w:pPr>
      <w:r>
        <w:t xml:space="preserve">Outcomes and analysis</w:t>
      </w:r>
    </w:p>
    <w:p>
      <w:pPr>
        <w:pStyle w:val="FirstParagraph"/>
      </w:pPr>
      <w:r>
        <w:t xml:space="preserve">The primary outcome was speedup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</m:oMath>
      <w:r>
        <w:t xml:space="preserve">; secondary outcomes were relative</w:t>
      </w:r>
      <w:r>
        <w:t xml:space="preserve"> </w:t>
      </w:r>
      <w:r>
        <w:t xml:space="preserve">runtime, paired time saved, hit rate and cache-build amortization. Serial</w:t>
      </w:r>
      <w:r>
        <w:t xml:space="preserve"> </w:t>
      </w:r>
      <w:r>
        <w:t xml:space="preserve">throughput was reported descriptively as 86,400 s divided by median wall time.</w:t>
      </w:r>
      <w:r>
        <w:t xml:space="preserve"> </w:t>
      </w:r>
      <w:r>
        <w:t xml:space="preserve">Cumulative cohort time returned was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and was</w:t>
      </w:r>
      <w:r>
        <w:t xml:space="preserve"> </w:t>
      </w:r>
      <w:r>
        <w:t xml:space="preserve">converted to compute days. Medians were calculated across genomes. Pooled</w:t>
      </w:r>
      <w:r>
        <w:t xml:space="preserve"> </w:t>
      </w:r>
      <w:r>
        <w:t xml:space="preserve">confidence intervals used 10,000 sample-level bootstrap resamples stratified</w:t>
      </w:r>
      <w:r>
        <w:t xml:space="preserve"> </w:t>
      </w:r>
      <w:r>
        <w:t xml:space="preserve">by provider cohort while preserving paired conditions. Modelled and measured</w:t>
      </w:r>
      <w:r>
        <w:t xml:space="preserve"> </w:t>
      </w:r>
      <w:r>
        <w:t xml:space="preserve">values were labelled separately. Figures were generated in R with ggplot2,</w:t>
      </w:r>
      <w:r>
        <w:t xml:space="preserve"> </w:t>
      </w:r>
      <w:r>
        <w:t xml:space="preserve">assembled with patchwork, and exported as SVG, PDF and 600-dpi PNG with frozen</w:t>
      </w:r>
      <w:r>
        <w:t xml:space="preserve"> </w:t>
      </w:r>
      <w:r>
        <w:t xml:space="preserve">source tables and session information.</w:t>
      </w:r>
    </w:p>
    <w:bookmarkEnd w:id="37"/>
    <w:bookmarkEnd w:id="38"/>
    <w:bookmarkStart w:id="39" w:name="X837ff33b29e10a3699433a9f144d395efa07e71"/>
    <w:p>
      <w:pPr>
        <w:pStyle w:val="Heading1"/>
      </w:pPr>
      <w:r>
        <w:t xml:space="preserve">Availability of supporting source code and requirements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name:</w:t>
      </w:r>
      <w:r>
        <w:t xml:space="preserve"> </w:t>
      </w:r>
      <w:r>
        <w:t xml:space="preserve">VCFcache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home page:</w:t>
      </w:r>
      <w:r>
        <w:t xml:space="preserve"> </w:t>
      </w:r>
      <w:r>
        <w:t xml:space="preserve">https://github.com/julius-muller/vcfcache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Archived version:</w:t>
      </w:r>
      <w:r>
        <w:t xml:space="preserve"> </w:t>
      </w:r>
      <w:r>
        <w:t xml:space="preserve">v0.5.5, https://doi.org/10.5281/zenodo.22019326</w:t>
      </w:r>
      <w:r>
        <w:t xml:space="preserve"> </w:t>
      </w:r>
      <w:r>
        <w:t xml:space="preserve">(concept DOI https://doi.org/10.5281/zenodo.17943997 resolves to the most</w:t>
      </w:r>
      <w:r>
        <w:t xml:space="preserve"> </w:t>
      </w:r>
      <w:r>
        <w:t xml:space="preserve">recent release)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Operating systems:</w:t>
      </w:r>
      <w:r>
        <w:t xml:space="preserve"> </w:t>
      </w:r>
      <w:r>
        <w:t xml:space="preserve">Linux; container images are provided for portable</w:t>
      </w:r>
      <w:r>
        <w:t xml:space="preserve"> </w:t>
      </w:r>
      <w:r>
        <w:t xml:space="preserve">execution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Programming language:</w:t>
      </w:r>
      <w:r>
        <w:t xml:space="preserve"> </w:t>
      </w:r>
      <w:r>
        <w:t xml:space="preserve">Python 3.11 or later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Other requirements:</w:t>
      </w:r>
      <w:r>
        <w:t xml:space="preserve"> </w:t>
      </w:r>
      <w:r>
        <w:t xml:space="preserve">bcftools 1.20 or later; an external annotation</w:t>
      </w:r>
      <w:r>
        <w:t xml:space="preserve"> </w:t>
      </w:r>
      <w:r>
        <w:t xml:space="preserve">command and its reference assets are required to build or use an annotation</w:t>
      </w:r>
      <w:r>
        <w:t xml:space="preserve"> </w:t>
      </w:r>
      <w:r>
        <w:t xml:space="preserve">cache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License:</w:t>
      </w:r>
      <w:r>
        <w:t xml:space="preserve"> </w:t>
      </w:r>
      <w:r>
        <w:t xml:space="preserve">GNU General Public License v3.0 only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RRID:</w:t>
      </w:r>
      <w:r>
        <w:t xml:space="preserve"> </w:t>
      </w:r>
      <w:r>
        <w:t xml:space="preserve">[RRID TO COMPLETE, IF APPLICABLE]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bio.tools identifier:</w:t>
      </w:r>
      <w:r>
        <w:t xml:space="preserve"> </w:t>
      </w:r>
      <w:r>
        <w:t xml:space="preserve">[BIO.TOOLS IDENTIFIER TO COMPLETE]</w:t>
      </w:r>
    </w:p>
    <w:p>
      <w:pPr>
        <w:pStyle w:val="FirstParagraph"/>
      </w:pPr>
      <w:r>
        <w:t xml:space="preserve">The source repository includes automated tests, example configurations,</w:t>
      </w:r>
      <w:r>
        <w:t xml:space="preserve"> </w:t>
      </w:r>
      <w:r>
        <w:t xml:space="preserve">Docker definitions, cache manifests and the complete benchmark preparation and</w:t>
      </w:r>
      <w:r>
        <w:t xml:space="preserve"> </w:t>
      </w:r>
      <w:r>
        <w:t xml:space="preserve">analysis workflow. Public cache aliases resolve to archives distributed</w:t>
      </w:r>
      <w:r>
        <w:t xml:space="preserve"> </w:t>
      </w:r>
      <w:r>
        <w:t xml:space="preserve">through Zenodo.</w:t>
      </w:r>
    </w:p>
    <w:bookmarkEnd w:id="39"/>
    <w:bookmarkStart w:id="40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The datasets supporting the benchmark results are available from</w:t>
      </w:r>
      <w:r>
        <w:t xml:space="preserve"> </w:t>
      </w:r>
      <w:r>
        <w:t xml:space="preserve">https://doi.org/10.5281/zenodo.22018995. The deposit will include frozen</w:t>
      </w:r>
      <w:r>
        <w:t xml:space="preserve"> </w:t>
      </w:r>
      <w:r>
        <w:t xml:space="preserve">source tables, cohort-selection and QC manifests, commands, semantic-comparison</w:t>
      </w:r>
      <w:r>
        <w:t xml:space="preserve"> </w:t>
      </w:r>
      <w:r>
        <w:t xml:space="preserve">summaries, figure-rendering code, R session records, and a compact test input</w:t>
      </w:r>
      <w:r>
        <w:t xml:space="preserve"> </w:t>
      </w:r>
      <w:r>
        <w:t xml:space="preserve">with expected cached and direct outputs.</w:t>
      </w:r>
    </w:p>
    <w:p>
      <w:pPr>
        <w:pStyle w:val="BodyText"/>
      </w:pPr>
      <w:r>
        <w:t xml:space="preserve">A self-contained executable example is distributed with the software itself and</w:t>
      </w:r>
      <w:r>
        <w:t xml:space="preserve"> </w:t>
      </w:r>
      <w:r>
        <w:t xml:space="preserve">requires no download, no reference data and no external annotation tool. The</w:t>
      </w:r>
      <w:r>
        <w:t xml:space="preserve"> </w:t>
      </w:r>
      <w:r>
        <w:t xml:space="preserve">command</w:t>
      </w:r>
      <w:r>
        <w:t xml:space="preserve"> </w:t>
      </w:r>
      <w:r>
        <w:rPr>
          <w:rStyle w:val="VerbatimChar"/>
        </w:rPr>
        <w:t xml:space="preserve">vcfcache demo</w:t>
      </w:r>
      <w:r>
        <w:t xml:space="preserve"> </w:t>
      </w:r>
      <w:r>
        <w:t xml:space="preserve">runs the complete workflow — blueprint creation,</w:t>
      </w:r>
      <w:r>
        <w:t xml:space="preserve"> </w:t>
      </w:r>
      <w:r>
        <w:t xml:space="preserve">blueprint extension, cache construction and cached annotation — against bundled</w:t>
      </w:r>
      <w:r>
        <w:t xml:space="preserve"> </w:t>
      </w:r>
      <w:r>
        <w:t xml:space="preserve">test data using a self-describing annotation recipe, then asserts that the</w:t>
      </w:r>
      <w:r>
        <w:t xml:space="preserve"> </w:t>
      </w:r>
      <w:r>
        <w:t xml:space="preserve">cached and directly annotated outputs are identical. It completes in</w:t>
      </w:r>
      <w:r>
        <w:t xml:space="preserve"> </w:t>
      </w:r>
      <w:r>
        <w:t xml:space="preserve">approximately one second and its peak resident memory is 42.6 MB, so editors,</w:t>
      </w:r>
      <w:r>
        <w:t xml:space="preserve"> </w:t>
      </w:r>
      <w:r>
        <w:t xml:space="preserve">reviewers and users can verify the central correctness claim on any machine</w:t>
      </w:r>
      <w:r>
        <w:t xml:space="preserve"> </w:t>
      </w:r>
      <w:r>
        <w:t xml:space="preserve">that satisfies the stated requirements. This example is the recommended entry</w:t>
      </w:r>
      <w:r>
        <w:t xml:space="preserve"> </w:t>
      </w:r>
      <w:r>
        <w:t xml:space="preserve">point for reproducing the workflow; the archived benchmark deposit reproduces</w:t>
      </w:r>
      <w:r>
        <w:t xml:space="preserve"> </w:t>
      </w:r>
      <w:r>
        <w:t xml:space="preserve">the measurements. Raw public human genomic inputs will</w:t>
      </w:r>
      <w:r>
        <w:t xml:space="preserve"> </w:t>
      </w:r>
      <w:r>
        <w:t xml:space="preserve">be referenced through their provider accessions and terms rather than</w:t>
      </w:r>
      <w:r>
        <w:t xml:space="preserve"> </w:t>
      </w:r>
      <w:r>
        <w:t xml:space="preserve">redistributed when redistribution is not appropriate.</w:t>
      </w:r>
    </w:p>
    <w:p>
      <w:pPr>
        <w:pStyle w:val="BodyText"/>
      </w:pPr>
      <w:r>
        <w:t xml:space="preserve">The bundled GRCh38 VEP cache with any-stratum AF ≥10% is archived at</w:t>
      </w:r>
      <w:r>
        <w:t xml:space="preserve"> </w:t>
      </w:r>
      <w:r>
        <w:t xml:space="preserve">https://doi.org/10.5281/zenodo.18189447, and the AF ≥1% cache at</w:t>
      </w:r>
      <w:r>
        <w:t xml:space="preserve"> </w:t>
      </w:r>
      <w:r>
        <w:t xml:space="preserve">https://doi.org/10.5281/zenodo.18190046. The corresponding GRCh37 caches are</w:t>
      </w:r>
      <w:r>
        <w:t xml:space="preserve"> </w:t>
      </w:r>
      <w:r>
        <w:t xml:space="preserve">archived at https://doi.org/10.5281/zenodo.18189051 and</w:t>
      </w:r>
      <w:r>
        <w:t xml:space="preserve"> </w:t>
      </w:r>
      <w:r>
        <w:t xml:space="preserve">https://doi.org/10.5281/zenodo.18189348. Source software will be cited by</w:t>
      </w:r>
      <w:r>
        <w:t xml:space="preserve"> </w:t>
      </w:r>
      <w:r>
        <w:t xml:space="preserve">release and persistent archive identifier in the final manuscript.</w:t>
      </w:r>
    </w:p>
    <w:bookmarkEnd w:id="40"/>
    <w:bookmarkStart w:id="41" w:name="list-of-abbreviations"/>
    <w:p>
      <w:pPr>
        <w:pStyle w:val="Heading1"/>
      </w:pPr>
      <w:r>
        <w:t xml:space="preserve">List of abbreviations</w:t>
      </w:r>
    </w:p>
    <w:p>
      <w:pPr>
        <w:pStyle w:val="FirstParagraph"/>
      </w:pPr>
      <w:r>
        <w:rPr>
          <w:b/>
          <w:bCs/>
        </w:rPr>
        <w:t xml:space="preserve">AF:</w:t>
      </w:r>
      <w:r>
        <w:t xml:space="preserve"> </w:t>
      </w:r>
      <w:r>
        <w:t xml:space="preserve">allele frequency;</w:t>
      </w:r>
      <w:r>
        <w:t xml:space="preserve"> </w:t>
      </w:r>
      <w:r>
        <w:rPr>
          <w:b/>
          <w:bCs/>
        </w:rPr>
        <w:t xml:space="preserve">BCF:</w:t>
      </w:r>
      <w:r>
        <w:t xml:space="preserve"> </w:t>
      </w:r>
      <w:r>
        <w:t xml:space="preserve">binary variant call format;</w:t>
      </w:r>
      <w:r>
        <w:t xml:space="preserve"> </w:t>
      </w:r>
      <w:r>
        <w:rPr>
          <w:b/>
          <w:bCs/>
        </w:rPr>
        <w:t xml:space="preserve">BGZF:</w:t>
      </w:r>
      <w:r>
        <w:t xml:space="preserve"> </w:t>
      </w:r>
      <w:r>
        <w:t xml:space="preserve">blocked</w:t>
      </w:r>
      <w:r>
        <w:t xml:space="preserve"> </w:t>
      </w:r>
      <w:r>
        <w:t xml:space="preserve">GNU Zip Format;</w:t>
      </w:r>
      <w:r>
        <w:t xml:space="preserve"> </w:t>
      </w:r>
      <w:r>
        <w:rPr>
          <w:b/>
          <w:bCs/>
        </w:rPr>
        <w:t xml:space="preserve">CSQ:</w:t>
      </w:r>
      <w:r>
        <w:t xml:space="preserve"> </w:t>
      </w:r>
      <w:r>
        <w:t xml:space="preserve">consequence annotation field;</w:t>
      </w:r>
      <w:r>
        <w:t xml:space="preserve"> </w:t>
      </w:r>
      <w:r>
        <w:rPr>
          <w:b/>
          <w:bCs/>
        </w:rPr>
        <w:t xml:space="preserve">GRCh:</w:t>
      </w:r>
      <w:r>
        <w:t xml:space="preserve"> </w:t>
      </w:r>
      <w:r>
        <w:t xml:space="preserve">Genome</w:t>
      </w:r>
      <w:r>
        <w:t xml:space="preserve"> </w:t>
      </w:r>
      <w:r>
        <w:t xml:space="preserve">Reference Consortium human assembly;</w:t>
      </w:r>
      <w:r>
        <w:t xml:space="preserve"> </w:t>
      </w:r>
      <w:r>
        <w:rPr>
          <w:b/>
          <w:bCs/>
        </w:rPr>
        <w:t xml:space="preserve">KPGP:</w:t>
      </w:r>
      <w:r>
        <w:t xml:space="preserve"> </w:t>
      </w:r>
      <w:r>
        <w:t xml:space="preserve">Korean Personal Genome Project;</w:t>
      </w:r>
      <w:r>
        <w:t xml:space="preserve"> </w:t>
      </w:r>
      <w:r>
        <w:rPr>
          <w:b/>
          <w:bCs/>
        </w:rPr>
        <w:t xml:space="preserve">PGP:</w:t>
      </w:r>
      <w:r>
        <w:t xml:space="preserve"> </w:t>
      </w:r>
      <w:r>
        <w:t xml:space="preserve">Personal Genome Project;</w:t>
      </w:r>
      <w:r>
        <w:t xml:space="preserve"> </w:t>
      </w:r>
      <w:r>
        <w:rPr>
          <w:b/>
          <w:bCs/>
        </w:rPr>
        <w:t xml:space="preserve">SGDP:</w:t>
      </w:r>
      <w:r>
        <w:t xml:space="preserve"> </w:t>
      </w:r>
      <w:r>
        <w:t xml:space="preserve">Simons Genome Diversity Project;</w:t>
      </w:r>
      <w:r>
        <w:t xml:space="preserve"> </w:t>
      </w:r>
      <w:r>
        <w:rPr>
          <w:b/>
          <w:bCs/>
        </w:rPr>
        <w:t xml:space="preserve">VCF:</w:t>
      </w:r>
      <w:r>
        <w:t xml:space="preserve"> </w:t>
      </w:r>
      <w:r>
        <w:t xml:space="preserve">variant call format;</w:t>
      </w:r>
      <w:r>
        <w:t xml:space="preserve"> </w:t>
      </w:r>
      <w:r>
        <w:rPr>
          <w:b/>
          <w:bCs/>
        </w:rPr>
        <w:t xml:space="preserve">VEP:</w:t>
      </w:r>
      <w:r>
        <w:t xml:space="preserve"> </w:t>
      </w:r>
      <w:r>
        <w:t xml:space="preserve">Ensembl Variant Effect Predictor;</w:t>
      </w:r>
      <w:r>
        <w:t xml:space="preserve"> </w:t>
      </w:r>
      <w:r>
        <w:rPr>
          <w:b/>
          <w:bCs/>
        </w:rPr>
        <w:t xml:space="preserve">WGS:</w:t>
      </w:r>
      <w:r>
        <w:t xml:space="preserve"> </w:t>
      </w:r>
      <w:r>
        <w:t xml:space="preserve">whole-genome sequencing.</w:t>
      </w:r>
    </w:p>
    <w:bookmarkEnd w:id="41"/>
    <w:bookmarkStart w:id="48" w:name="declarations"/>
    <w:p>
      <w:pPr>
        <w:pStyle w:val="Heading1"/>
      </w:pPr>
      <w:r>
        <w:t xml:space="preserve">Declarations</w:t>
      </w:r>
    </w:p>
    <w:bookmarkStart w:id="42" w:name="Xd182db0490b2de20bd2b4e4cc8698599182035f"/>
    <w:p>
      <w:pPr>
        <w:pStyle w:val="Heading2"/>
      </w:pPr>
      <w:r>
        <w:t xml:space="preserve">Ethics approval and consent to participate</w:t>
      </w:r>
    </w:p>
    <w:p>
      <w:pPr>
        <w:pStyle w:val="FirstParagraph"/>
      </w:pPr>
      <w:r>
        <w:t xml:space="preserve">This study used only openly accessible, de-identified public genomic resources</w:t>
      </w:r>
      <w:r>
        <w:t xml:space="preserve"> </w:t>
      </w:r>
      <w:r>
        <w:t xml:space="preserve">and did not recruit participants or attempt re-identification.</w:t>
      </w:r>
      <w:r>
        <w:t xml:space="preserve"> </w:t>
      </w:r>
      <w:r>
        <w:t xml:space="preserve">[INSTITUTIONAL ETHICS DETERMINATION OR WAIVER WORDING TO COMPLETE]</w:t>
      </w:r>
    </w:p>
    <w:bookmarkEnd w:id="42"/>
    <w:bookmarkStart w:id="43" w:name="consent-for-publication"/>
    <w:p>
      <w:pPr>
        <w:pStyle w:val="Heading2"/>
      </w:pPr>
      <w:r>
        <w:t xml:space="preserve">Consent for publication</w:t>
      </w:r>
    </w:p>
    <w:p>
      <w:pPr>
        <w:pStyle w:val="FirstParagraph"/>
      </w:pPr>
      <w:r>
        <w:t xml:space="preserve">Not applicable; the manuscript contains no directly identifying participant</w:t>
      </w:r>
      <w:r>
        <w:t xml:space="preserve"> </w:t>
      </w:r>
      <w:r>
        <w:t xml:space="preserve">information.</w:t>
      </w:r>
    </w:p>
    <w:bookmarkEnd w:id="43"/>
    <w:bookmarkStart w:id="44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[COMPETING-INTEREST DECLARATION TO COMPLETE]</w:t>
      </w:r>
    </w:p>
    <w:bookmarkEnd w:id="44"/>
    <w:bookmarkStart w:id="45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[FUNDING SOURCES, GRANT NUMBERS AND FUNDER ROLES TO COMPLETE]</w:t>
      </w:r>
    </w:p>
    <w:bookmarkEnd w:id="45"/>
    <w:bookmarkStart w:id="46" w:name="authors-contributions"/>
    <w:p>
      <w:pPr>
        <w:pStyle w:val="Heading2"/>
      </w:pPr>
      <w:r>
        <w:t xml:space="preserve">Authors’ contributions</w:t>
      </w:r>
    </w:p>
    <w:p>
      <w:pPr>
        <w:pStyle w:val="FirstParagraph"/>
      </w:pPr>
      <w:r>
        <w:t xml:space="preserve">[CRediT AUTHOR CONTRIBUTIONS TO COMPLETE]</w:t>
      </w:r>
    </w:p>
    <w:bookmarkEnd w:id="46"/>
    <w:bookmarkStart w:id="47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[ACKNOWLEDGEMENTS TO COMPLETE]</w:t>
      </w:r>
    </w:p>
    <w:bookmarkEnd w:id="47"/>
    <w:bookmarkEnd w:id="48"/>
    <w:bookmarkStart w:id="49" w:name="disclosure-of-use-of-ai-assisted-tools"/>
    <w:p>
      <w:pPr>
        <w:pStyle w:val="Heading1"/>
      </w:pPr>
      <w:r>
        <w:t xml:space="preserve">Disclosure of use of AI-assisted tools</w:t>
      </w:r>
    </w:p>
    <w:p>
      <w:pPr>
        <w:pStyle w:val="FirstParagraph"/>
      </w:pPr>
      <w:r>
        <w:t xml:space="preserve">OpenAI Codex using a GPT-5-family model was used on 17 August 2026 to organize</w:t>
      </w:r>
      <w:r>
        <w:t xml:space="preserve"> </w:t>
      </w:r>
      <w:r>
        <w:t xml:space="preserve">the manuscript workspace and to generate and edit an initial prose draft under</w:t>
      </w:r>
      <w:r>
        <w:t xml:space="preserve"> </w:t>
      </w:r>
      <w:r>
        <w:t xml:space="preserve">the direction of [DIRECTING AUTHOR NAME TO COMPLETE]. Quantitative statements</w:t>
      </w:r>
      <w:r>
        <w:t xml:space="preserve"> </w:t>
      </w:r>
      <w:r>
        <w:t xml:space="preserve">were checked against frozen repository tables and figure records. The authors</w:t>
      </w:r>
      <w:r>
        <w:t xml:space="preserve"> </w:t>
      </w:r>
      <w:r>
        <w:t xml:space="preserve">reviewed the scientific interpretation and remain responsible for all content.</w:t>
      </w:r>
    </w:p>
    <w:bookmarkEnd w:id="49"/>
    <w:bookmarkStart w:id="83" w:name="references"/>
    <w:p>
      <w:pPr>
        <w:pStyle w:val="Heading1"/>
      </w:pPr>
      <w:r>
        <w:t xml:space="preserve">References</w:t>
      </w:r>
    </w:p>
    <w:bookmarkStart w:id="82" w:name="refs"/>
    <w:bookmarkStart w:id="51" w:name="ref-mclaren2016vep"/>
    <w:p>
      <w:pPr>
        <w:pStyle w:val="Bibliography"/>
      </w:pPr>
      <w:r>
        <w:t xml:space="preserve">1. McLaren, W, Gil, L, Hunt, SE, Riat, HS, Ritchie, GRS, Thormann, A, et al. The ensembl variant effect predictor.</w:t>
      </w:r>
      <w:r>
        <w:t xml:space="preserve"> </w:t>
      </w:r>
      <w:r>
        <w:rPr>
          <w:i/>
          <w:iCs/>
        </w:rPr>
        <w:t xml:space="preserve">Genome Biology</w:t>
      </w:r>
      <w:r>
        <w:t xml:space="preserve"> </w:t>
      </w:r>
      <w:r>
        <w:t xml:space="preserve">2016; 17:122. doi:</w:t>
      </w:r>
      <w:hyperlink r:id="rId50">
        <w:r>
          <w:rPr>
            <w:rStyle w:val="Hyperlink"/>
          </w:rPr>
          <w:t xml:space="preserve">10.1186/s13059-016-0974-4</w:t>
        </w:r>
      </w:hyperlink>
      <w:r>
        <w:t xml:space="preserve">.</w:t>
      </w:r>
    </w:p>
    <w:bookmarkEnd w:id="51"/>
    <w:bookmarkStart w:id="53" w:name="ref-cingolani2012snpeff"/>
    <w:p>
      <w:pPr>
        <w:pStyle w:val="Bibliography"/>
      </w:pPr>
      <w:r>
        <w:t xml:space="preserve">2. Cingolani, P, Platts, A, Wang, LL, Coon, M, Nguyen, T, Wang, L, et al. A program for annotating and predicting the effects of single nucleotide polymorphisms, SnpEff.</w:t>
      </w:r>
      <w:r>
        <w:t xml:space="preserve"> </w:t>
      </w:r>
      <w:r>
        <w:rPr>
          <w:i/>
          <w:iCs/>
        </w:rPr>
        <w:t xml:space="preserve">Fly</w:t>
      </w:r>
      <w:r>
        <w:t xml:space="preserve"> </w:t>
      </w:r>
      <w:r>
        <w:t xml:space="preserve">2012; 6:80–92. doi:</w:t>
      </w:r>
      <w:hyperlink r:id="rId52">
        <w:r>
          <w:rPr>
            <w:rStyle w:val="Hyperlink"/>
          </w:rPr>
          <w:t xml:space="preserve">10.4161/fly.19695</w:t>
        </w:r>
      </w:hyperlink>
      <w:r>
        <w:t xml:space="preserve">.</w:t>
      </w:r>
    </w:p>
    <w:bookmarkEnd w:id="53"/>
    <w:bookmarkStart w:id="55" w:name="ref-vcfanno2016"/>
    <w:p>
      <w:pPr>
        <w:pStyle w:val="Bibliography"/>
      </w:pPr>
      <w:r>
        <w:t xml:space="preserve">3. Pedersen, BS, Layer, RM, Quinlan, AR. Vcfanno: Fast, flexible annotation of genetic variants.</w:t>
      </w:r>
      <w:r>
        <w:t xml:space="preserve"> </w:t>
      </w:r>
      <w:r>
        <w:rPr>
          <w:i/>
          <w:iCs/>
        </w:rPr>
        <w:t xml:space="preserve">Genome Biology</w:t>
      </w:r>
      <w:r>
        <w:t xml:space="preserve"> </w:t>
      </w:r>
      <w:r>
        <w:t xml:space="preserve">2016; 17:118. doi:</w:t>
      </w:r>
      <w:hyperlink r:id="rId54">
        <w:r>
          <w:rPr>
            <w:rStyle w:val="Hyperlink"/>
          </w:rPr>
          <w:t xml:space="preserve">10.1186/s13059-016-0973-5</w:t>
        </w:r>
      </w:hyperlink>
      <w:r>
        <w:t xml:space="preserve">.</w:t>
      </w:r>
    </w:p>
    <w:bookmarkEnd w:id="55"/>
    <w:bookmarkStart w:id="57" w:name="ref-pedersen2023echtvar"/>
    <w:p>
      <w:pPr>
        <w:pStyle w:val="Bibliography"/>
      </w:pPr>
      <w:r>
        <w:t xml:space="preserve">4. Pedersen, BS, Ridder, J de.</w:t>
      </w:r>
      <w:r>
        <w:t xml:space="preserve"> </w:t>
      </w:r>
      <w:r>
        <w:t xml:space="preserve">Echtvar</w:t>
      </w:r>
      <w:r>
        <w:t xml:space="preserve">: Compressed variant representation for rapid annotation and filtering of</w:t>
      </w:r>
      <w:r>
        <w:t xml:space="preserve"> </w:t>
      </w:r>
      <w:r>
        <w:t xml:space="preserve">SNPs</w:t>
      </w:r>
      <w:r>
        <w:t xml:space="preserve"> </w:t>
      </w:r>
      <w:r>
        <w:t xml:space="preserve">and indels.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 </w:t>
      </w:r>
      <w:r>
        <w:t xml:space="preserve">2023; 51:e3. doi:</w:t>
      </w:r>
      <w:hyperlink r:id="rId56">
        <w:r>
          <w:rPr>
            <w:rStyle w:val="Hyperlink"/>
          </w:rPr>
          <w:t xml:space="preserve">10.1093/nar/gkac931</w:t>
        </w:r>
      </w:hyperlink>
      <w:r>
        <w:t xml:space="preserve">.</w:t>
      </w:r>
    </w:p>
    <w:bookmarkEnd w:id="57"/>
    <w:bookmarkStart w:id="59" w:name="ref-tan2015unified"/>
    <w:p>
      <w:pPr>
        <w:pStyle w:val="Bibliography"/>
      </w:pPr>
      <w:r>
        <w:t xml:space="preserve">5. Tan, A, Abecasis, GR, Kang, HM. Unified representation of genetic variants.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 </w:t>
      </w:r>
      <w:r>
        <w:t xml:space="preserve">2015; 31:2202–2204. doi:</w:t>
      </w:r>
      <w:hyperlink r:id="rId58">
        <w:r>
          <w:rPr>
            <w:rStyle w:val="Hyperlink"/>
          </w:rPr>
          <w:t xml:space="preserve">10.1093/bioinformatics/btv112</w:t>
        </w:r>
      </w:hyperlink>
      <w:r>
        <w:t xml:space="preserve">.</w:t>
      </w:r>
    </w:p>
    <w:bookmarkEnd w:id="59"/>
    <w:bookmarkStart w:id="61" w:name="ref-kpgp_data"/>
    <w:p>
      <w:pPr>
        <w:pStyle w:val="Bibliography"/>
      </w:pPr>
      <w:r>
        <w:t xml:space="preserve">6. Korean Genome Project. Korean personal genome project. 2026;</w:t>
      </w:r>
      <w:r>
        <w:t xml:space="preserve"> </w:t>
      </w:r>
      <w:hyperlink r:id="rId60">
        <w:r>
          <w:rPr>
            <w:rStyle w:val="Hyperlink"/>
          </w:rPr>
          <w:t xml:space="preserve">https://koreangenome.org/Korean_Personal_Genome_Project</w:t>
        </w:r>
      </w:hyperlink>
      <w:r>
        <w:t xml:space="preserve">. Accessed 17 August 2026.</w:t>
      </w:r>
    </w:p>
    <w:bookmarkEnd w:id="61"/>
    <w:bookmarkStart w:id="63" w:name="ref-mallick2016sgdp"/>
    <w:p>
      <w:pPr>
        <w:pStyle w:val="Bibliography"/>
      </w:pPr>
      <w:r>
        <w:t xml:space="preserve">7. Mallick, S, Li, H, Lipson, M, et al. The simons genome diversity project: 300 genomes from 142 diverse populations.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2016; 538:201–206. doi:</w:t>
      </w:r>
      <w:hyperlink r:id="rId62">
        <w:r>
          <w:rPr>
            <w:rStyle w:val="Hyperlink"/>
          </w:rPr>
          <w:t xml:space="preserve">10.1038/nature18964</w:t>
        </w:r>
      </w:hyperlink>
      <w:r>
        <w:t xml:space="preserve">.</w:t>
      </w:r>
    </w:p>
    <w:bookmarkEnd w:id="63"/>
    <w:bookmarkStart w:id="65" w:name="ref-ball2012pgp"/>
    <w:p>
      <w:pPr>
        <w:pStyle w:val="Bibliography"/>
      </w:pPr>
      <w:r>
        <w:t xml:space="preserve">8. Ball, MP, Thakuria, JV, Zaranek, AW, et al. A public resource facilitating clinical use of genomes.</w:t>
      </w:r>
      <w:r>
        <w:t xml:space="preserve"> </w:t>
      </w:r>
      <w:r>
        <w:rPr>
          <w:i/>
          <w:iCs/>
        </w:rPr>
        <w:t xml:space="preserve">Proceedings of the National Academy of Sciences of the United States of America</w:t>
      </w:r>
      <w:r>
        <w:t xml:space="preserve"> </w:t>
      </w:r>
      <w:r>
        <w:t xml:space="preserve">2012; 109:11920–11927. doi:</w:t>
      </w:r>
      <w:hyperlink r:id="rId64">
        <w:r>
          <w:rPr>
            <w:rStyle w:val="Hyperlink"/>
          </w:rPr>
          <w:t xml:space="preserve">10.1073/pnas.1201904109</w:t>
        </w:r>
      </w:hyperlink>
      <w:r>
        <w:t xml:space="preserve">.</w:t>
      </w:r>
    </w:p>
    <w:bookmarkEnd w:id="65"/>
    <w:bookmarkStart w:id="67" w:name="ref-gnomad2024release"/>
    <w:p>
      <w:pPr>
        <w:pStyle w:val="Bibliography"/>
      </w:pPr>
      <w:r>
        <w:t xml:space="preserve">9. gnomAD Production Team. gnomAD v4.1: Joint frequency data and updated resources. 2024;</w:t>
      </w:r>
      <w:r>
        <w:t xml:space="preserve"> </w:t>
      </w:r>
      <w:hyperlink r:id="rId66">
        <w:r>
          <w:rPr>
            <w:rStyle w:val="Hyperlink"/>
          </w:rPr>
          <w:t xml:space="preserve">https://gnomad.broadinstitute.org/news/2024-04-gnomad-v4-1</w:t>
        </w:r>
      </w:hyperlink>
      <w:r>
        <w:t xml:space="preserve">. Accessed 17 August 2026.</w:t>
      </w:r>
    </w:p>
    <w:bookmarkEnd w:id="67"/>
    <w:bookmarkStart w:id="69" w:name="ref-karczewski2020gnomad"/>
    <w:p>
      <w:pPr>
        <w:pStyle w:val="Bibliography"/>
      </w:pPr>
      <w:r>
        <w:t xml:space="preserve">10. Karczewski, KJ, Francioli, LC, Tiao, G, et al. The mutational constraint spectrum quantified from variation in 141,456 humans.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2020; 581:434–443. doi:</w:t>
      </w:r>
      <w:hyperlink r:id="rId68">
        <w:r>
          <w:rPr>
            <w:rStyle w:val="Hyperlink"/>
          </w:rPr>
          <w:t xml:space="preserve">10.1038/s41586-020-2308-7</w:t>
        </w:r>
      </w:hyperlink>
      <w:r>
        <w:t xml:space="preserve">.</w:t>
      </w:r>
    </w:p>
    <w:bookmarkEnd w:id="69"/>
    <w:bookmarkStart w:id="71" w:name="ref-vep_issue_1959"/>
    <w:p>
      <w:pPr>
        <w:pStyle w:val="Bibliography"/>
      </w:pPr>
      <w:r>
        <w:t xml:space="preserve">11. Ensembl VEP developers. HGNC ID in VEP output is affected by buffering and batching. 2025;</w:t>
      </w:r>
      <w:r>
        <w:t xml:space="preserve"> </w:t>
      </w:r>
      <w:hyperlink r:id="rId70">
        <w:r>
          <w:rPr>
            <w:rStyle w:val="Hyperlink"/>
          </w:rPr>
          <w:t xml:space="preserve">https://github.com/Ensembl/ensembl-vep/issues/1959</w:t>
        </w:r>
      </w:hyperlink>
      <w:r>
        <w:t xml:space="preserve">. GitHub issue 1959; accessed 17 August 2026.</w:t>
      </w:r>
    </w:p>
    <w:bookmarkEnd w:id="71"/>
    <w:bookmarkStart w:id="73" w:name="ref-huang2020varnote"/>
    <w:p>
      <w:pPr>
        <w:pStyle w:val="Bibliography"/>
      </w:pPr>
      <w:r>
        <w:t xml:space="preserve">12. Huang, D, Yi, X, Zhou, Y, et al. Ultrafast and scalable variant annotation and prioritization with big functional genomics data.</w:t>
      </w:r>
      <w:r>
        <w:t xml:space="preserve"> </w:t>
      </w:r>
      <w:r>
        <w:rPr>
          <w:i/>
          <w:iCs/>
        </w:rPr>
        <w:t xml:space="preserve">Genome Research</w:t>
      </w:r>
      <w:r>
        <w:t xml:space="preserve"> </w:t>
      </w:r>
      <w:r>
        <w:t xml:space="preserve">2020; 30:1789–1801. doi:</w:t>
      </w:r>
      <w:hyperlink r:id="rId72">
        <w:r>
          <w:rPr>
            <w:rStyle w:val="Hyperlink"/>
          </w:rPr>
          <w:t xml:space="preserve">10.1101/gr.267997.120</w:t>
        </w:r>
      </w:hyperlink>
      <w:r>
        <w:t xml:space="preserve">.</w:t>
      </w:r>
    </w:p>
    <w:bookmarkEnd w:id="73"/>
    <w:bookmarkStart w:id="75" w:name="ref-paila2013gemini"/>
    <w:p>
      <w:pPr>
        <w:pStyle w:val="Bibliography"/>
      </w:pPr>
      <w:r>
        <w:t xml:space="preserve">13. Paila, U, Chapman, BA, Kirchner, R, Quinlan, AR.</w:t>
      </w:r>
      <w:r>
        <w:t xml:space="preserve"> </w:t>
      </w:r>
      <w:r>
        <w:t xml:space="preserve">GEMINI</w:t>
      </w:r>
      <w:r>
        <w:t xml:space="preserve">: Integrative exploration of genetic variation and genome annotations.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2013; 9:e1003153. doi:</w:t>
      </w:r>
      <w:hyperlink r:id="rId74">
        <w:r>
          <w:rPr>
            <w:rStyle w:val="Hyperlink"/>
          </w:rPr>
          <w:t xml:space="preserve">10.1371/journal.pcbi.1003153</w:t>
        </w:r>
      </w:hyperlink>
      <w:r>
        <w:t xml:space="preserve">.</w:t>
      </w:r>
    </w:p>
    <w:bookmarkEnd w:id="75"/>
    <w:bookmarkStart w:id="77" w:name="ref-danecek2021bcftools"/>
    <w:p>
      <w:pPr>
        <w:pStyle w:val="Bibliography"/>
      </w:pPr>
      <w:r>
        <w:t xml:space="preserve">14. Danecek, P, Bonfield, JK, Liddle, J, Marshall, J, Ohan, V, Pollard, MO, et al. Twelve years of SAMtools and BCFtools.</w:t>
      </w:r>
      <w:r>
        <w:t xml:space="preserve"> </w:t>
      </w:r>
      <w:r>
        <w:rPr>
          <w:i/>
          <w:iCs/>
        </w:rPr>
        <w:t xml:space="preserve">GigaScience</w:t>
      </w:r>
      <w:r>
        <w:t xml:space="preserve"> </w:t>
      </w:r>
      <w:r>
        <w:t xml:space="preserve">2021; 10. doi:</w:t>
      </w:r>
      <w:hyperlink r:id="rId76">
        <w:r>
          <w:rPr>
            <w:rStyle w:val="Hyperlink"/>
          </w:rPr>
          <w:t xml:space="preserve">10.1093/gigascience/giab008</w:t>
        </w:r>
      </w:hyperlink>
      <w:r>
        <w:t xml:space="preserve">.</w:t>
      </w:r>
    </w:p>
    <w:bookmarkEnd w:id="77"/>
    <w:bookmarkStart w:id="79" w:name="ref-vcfcache_af10_cache"/>
    <w:p>
      <w:pPr>
        <w:pStyle w:val="Bibliography"/>
      </w:pPr>
      <w:r>
        <w:t xml:space="preserve">15. Müller, J. VCFcache gnomAD v4.1 GRCh38 any-stratum AF at least 10 percent VEP 115.2 cache. 2026; doi:</w:t>
      </w:r>
      <w:hyperlink r:id="rId78">
        <w:r>
          <w:rPr>
            <w:rStyle w:val="Hyperlink"/>
          </w:rPr>
          <w:t xml:space="preserve">10.5281/zenodo.18189447</w:t>
        </w:r>
      </w:hyperlink>
      <w:r>
        <w:t xml:space="preserve">.</w:t>
      </w:r>
    </w:p>
    <w:bookmarkEnd w:id="79"/>
    <w:bookmarkStart w:id="81" w:name="ref-vcfcache_af1_cache"/>
    <w:p>
      <w:pPr>
        <w:pStyle w:val="Bibliography"/>
      </w:pPr>
      <w:r>
        <w:t xml:space="preserve">16. Müller, J. VCFcache gnomAD v4.1 GRCh38 any-stratum AF at least 1 percent VEP 115.2 cache. 2026; doi:</w:t>
      </w:r>
      <w:hyperlink r:id="rId80">
        <w:r>
          <w:rPr>
            <w:rStyle w:val="Hyperlink"/>
          </w:rPr>
          <w:t xml:space="preserve">10.5281/zenodo.18190046</w:t>
        </w:r>
      </w:hyperlink>
      <w:r>
        <w:t xml:space="preserve">.</w:t>
      </w:r>
    </w:p>
    <w:bookmarkEnd w:id="81"/>
    <w:bookmarkEnd w:id="82"/>
    <w:p>
      <w:r>
        <w:br w:type="page"/>
      </w:r>
    </w:p>
    <w:bookmarkEnd w:id="83"/>
    <w:bookmarkStart w:id="84" w:name="supplementary-information"/>
    <w:p>
      <w:pPr>
        <w:pStyle w:val="Heading1"/>
      </w:pPr>
      <w:r>
        <w:t xml:space="preserve">Supplementary Information</w:t>
      </w:r>
    </w:p>
    <w:p>
      <w:pPr>
        <w:pStyle w:val="FirstParagraph"/>
      </w:pPr>
      <w:r>
        <w:t xml:space="preserve">This document contains the supplementary methods, results and figures for the</w:t>
      </w:r>
      <w:r>
        <w:t xml:space="preserve"> </w:t>
      </w:r>
      <w:r>
        <w:t xml:space="preserve">VCFcache GigaScience Technical Note.</w:t>
      </w:r>
    </w:p>
    <w:bookmarkEnd w:id="84"/>
    <w:bookmarkStart w:id="92" w:name="supplementary-methods"/>
    <w:p>
      <w:pPr>
        <w:pStyle w:val="Heading1"/>
      </w:pPr>
      <w:r>
        <w:t xml:space="preserve">Supplementary Methods</w:t>
      </w:r>
    </w:p>
    <w:bookmarkStart w:id="85" w:name="Xa497f0c8802db69114c149215073e9594767df1"/>
    <w:p>
      <w:pPr>
        <w:pStyle w:val="Heading2"/>
      </w:pPr>
      <w:r>
        <w:t xml:space="preserve">External WGS selection and quality control</w:t>
      </w:r>
    </w:p>
    <w:p>
      <w:pPr>
        <w:pStyle w:val="FirstParagraph"/>
      </w:pPr>
      <w:r>
        <w:t xml:space="preserve">KPGP and SGDP inputs were selected from the DDBJ/NIG public-human-genomes</w:t>
      </w:r>
      <w:r>
        <w:t xml:space="preserve"> </w:t>
      </w:r>
      <w:r>
        <w:t xml:space="preserve">autosomal reanalysis, and PGP inputs from participant-contributed public VCFs.</w:t>
      </w:r>
      <w:r>
        <w:t xml:space="preserve"> </w:t>
      </w:r>
      <w:r>
        <w:t xml:space="preserve">Candidate catalogues recorded provider identifier, source URL, assembly,</w:t>
      </w:r>
      <w:r>
        <w:t xml:space="preserve"> </w:t>
      </w:r>
      <w:r>
        <w:t xml:space="preserve">declared sample identifier and file metadata before download. All preparation</w:t>
      </w:r>
      <w:r>
        <w:t xml:space="preserve"> </w:t>
      </w:r>
      <w:r>
        <w:t xml:space="preserve">steps were resumable and emitted machine-readable manifests.</w:t>
      </w:r>
    </w:p>
    <w:p>
      <w:pPr>
        <w:pStyle w:val="BodyText"/>
      </w:pPr>
      <w:r>
        <w:t xml:space="preserve">Selection was deterministic and performed before timing results were examined.</w:t>
      </w:r>
      <w:r>
        <w:t xml:space="preserve"> </w:t>
      </w:r>
      <w:r>
        <w:t xml:space="preserve">Three provider-specific genomes were assigned to cache construction. The</w:t>
      </w:r>
      <w:r>
        <w:t xml:space="preserve"> </w:t>
      </w:r>
      <w:r>
        <w:t xml:space="preserve">evaluation sets contained 20 KPGP, 20 SGDP and 12 PGP genomes. Training and</w:t>
      </w:r>
      <w:r>
        <w:t xml:space="preserve"> </w:t>
      </w:r>
      <w:r>
        <w:t xml:space="preserve">evaluation membership did not overlap. KPGP and SGDP remained in GRCh38;</w:t>
      </w:r>
      <w:r>
        <w:t xml:space="preserve"> </w:t>
      </w:r>
      <w:r>
        <w:t xml:space="preserve">PGP remained in GRCh37. No liftover was applied.</w:t>
      </w:r>
    </w:p>
    <w:p>
      <w:pPr>
        <w:pStyle w:val="BodyText"/>
      </w:pPr>
      <w:r>
        <w:t xml:space="preserve">Prepared inputs were single-sample, carried-allele VCFs restricted to</w:t>
      </w:r>
      <w:r>
        <w:t xml:space="preserve"> </w:t>
      </w:r>
      <w:r>
        <w:t xml:space="preserve">biallelic autosomal SNPs and short indels. Quality control tested compression,</w:t>
      </w:r>
      <w:r>
        <w:t xml:space="preserve"> </w:t>
      </w:r>
      <w:r>
        <w:t xml:space="preserve">index readability, coordinate order, contigs, sample identity, record count</w:t>
      </w:r>
      <w:r>
        <w:t xml:space="preserve"> </w:t>
      </w:r>
      <w:r>
        <w:t xml:space="preserve">and file integrity. Stable provider identifiers were retained separately from</w:t>
      </w:r>
      <w:r>
        <w:t xml:space="preserve"> </w:t>
      </w:r>
      <w:r>
        <w:t xml:space="preserve">potentially non-unique VCF sample labels.</w:t>
      </w:r>
    </w:p>
    <w:p>
      <w:pPr>
        <w:pStyle w:val="BodyText"/>
      </w:pPr>
      <w:r>
        <w:t xml:space="preserve">Relatedness screening was stratified by assembly. Common SNPs were pruned and</w:t>
      </w:r>
      <w:r>
        <w:t xml:space="preserve"> </w:t>
      </w:r>
      <w:r>
        <w:t xml:space="preserve">PLINK2 KING robust kinship was evaluated at 0.0884. The design prohibited a</w:t>
      </w:r>
      <w:r>
        <w:t xml:space="preserve"> </w:t>
      </w:r>
      <w:r>
        <w:t xml:space="preserve">second-degree-or-closer relationship across the cache-training/evaluation</w:t>
      </w:r>
      <w:r>
        <w:t xml:space="preserve"> </w:t>
      </w:r>
      <w:r>
        <w:t xml:space="preserve">boundary. One related KPGP pair within the evaluation set was retained and</w:t>
      </w:r>
      <w:r>
        <w:t xml:space="preserve"> </w:t>
      </w:r>
      <w:r>
        <w:t xml:space="preserve">reported because such structure is realistic in an applied cohort.</w:t>
      </w:r>
    </w:p>
    <w:bookmarkEnd w:id="85"/>
    <w:bookmarkStart w:id="86" w:name="matched-assay-extension"/>
    <w:p>
      <w:pPr>
        <w:pStyle w:val="Heading2"/>
      </w:pPr>
      <w:r>
        <w:t xml:space="preserve">Matched assay extension</w:t>
      </w:r>
    </w:p>
    <w:p>
      <w:pPr>
        <w:pStyle w:val="FirstParagraph"/>
      </w:pPr>
      <w:r>
        <w:t xml:space="preserve">The assay-by-annotator extension used 12 genomes selected deterministically</w:t>
      </w:r>
      <w:r>
        <w:t xml:space="preserve"> </w:t>
      </w:r>
      <w:r>
        <w:t xml:space="preserve">from the independent GRCh38 evaluation set before assay timing: six KPGP and</w:t>
      </w:r>
      <w:r>
        <w:t xml:space="preserve"> </w:t>
      </w:r>
      <w:r>
        <w:t xml:space="preserve">six SGDP. PGP was not included because its GRCh37 configuration would prevent</w:t>
      </w:r>
      <w:r>
        <w:t xml:space="preserve"> </w:t>
      </w:r>
      <w:r>
        <w:t xml:space="preserve">a matched assembly comparison. Each selected WGS was subset to Twist Human</w:t>
      </w:r>
      <w:r>
        <w:t xml:space="preserve"> </w:t>
      </w:r>
      <w:r>
        <w:t xml:space="preserve">Core Exome capture intervals padded by 125 bp and to ACMG SF v3.3 MANE Select</w:t>
      </w:r>
      <w:r>
        <w:t xml:space="preserve"> </w:t>
      </w:r>
      <w:r>
        <w:t xml:space="preserve">coding intervals padded by 20 bp. The resulting WES and Panel inputs therefore</w:t>
      </w:r>
      <w:r>
        <w:t xml:space="preserve"> </w:t>
      </w:r>
      <w:r>
        <w:t xml:space="preserve">retained the providers and variant-calling pipelines of the independent WGS</w:t>
      </w:r>
      <w:r>
        <w:t xml:space="preserve"> </w:t>
      </w:r>
      <w:r>
        <w:t xml:space="preserve">cohorts and did not introduce 1000 Genomes-derived performance samples.</w:t>
      </w:r>
    </w:p>
    <w:p>
      <w:pPr>
        <w:pStyle w:val="BodyText"/>
      </w:pPr>
      <w:r>
        <w:t xml:space="preserve">Each input was processed once with VEP 115.2</w:t>
      </w:r>
      <w:r>
        <w:t xml:space="preserve"> </w:t>
      </w:r>
      <w:r>
        <w:rPr>
          <w:rStyle w:val="VerbatimChar"/>
        </w:rPr>
        <w:t xml:space="preserve">--everything</w:t>
      </w:r>
      <w:r>
        <w:t xml:space="preserve">, clinical fastVEP</w:t>
      </w:r>
      <w:r>
        <w:t xml:space="preserve"> </w:t>
      </w:r>
      <w:r>
        <w:t xml:space="preserve">0.3.0 and clinical SnpEff 5.4c, directly and through recipe-specific caches</w:t>
      </w:r>
      <w:r>
        <w:t xml:space="preserve"> </w:t>
      </w:r>
      <w:r>
        <w:t xml:space="preserve">built on the same gnomAD AF ≥1% blueprint. The VEP observations came from the</w:t>
      </w:r>
      <w:r>
        <w:t xml:space="preserve"> </w:t>
      </w:r>
      <w:r>
        <w:t xml:space="preserve">matched assay extension and the clinical fastVEP/SnpEff observations from the</w:t>
      </w:r>
      <w:r>
        <w:t xml:space="preserve"> </w:t>
      </w:r>
      <w:r>
        <w:t xml:space="preserve">final native annotation campaign; sample identity, assay definition and cache</w:t>
      </w:r>
      <w:r>
        <w:t xml:space="preserve"> </w:t>
      </w:r>
      <w:r>
        <w:t xml:space="preserve">membership were held fixed. All cached outputs were subjected to their</w:t>
      </w:r>
      <w:r>
        <w:t xml:space="preserve"> </w:t>
      </w:r>
      <w:r>
        <w:t xml:space="preserve">annotator-specific external semantic comparators. The 108 paired observations</w:t>
      </w:r>
      <w:r>
        <w:t xml:space="preserve"> </w:t>
      </w:r>
      <w:r>
        <w:t xml:space="preserve">were designed to identify where fixed cache-workflow costs are recovered, not</w:t>
      </w:r>
      <w:r>
        <w:t xml:space="preserve"> </w:t>
      </w:r>
      <w:r>
        <w:t xml:space="preserve">to imply that every assay benefits or that the three native recipes have equal</w:t>
      </w:r>
      <w:r>
        <w:t xml:space="preserve"> </w:t>
      </w:r>
      <w:r>
        <w:t xml:space="preserve">annotation content.</w:t>
      </w:r>
    </w:p>
    <w:bookmarkEnd w:id="86"/>
    <w:bookmarkStart w:id="87" w:name="public-cache-provenance"/>
    <w:p>
      <w:pPr>
        <w:pStyle w:val="Heading2"/>
      </w:pPr>
      <w:r>
        <w:t xml:space="preserve">Public-cache provenance</w:t>
      </w:r>
    </w:p>
    <w:p>
      <w:pPr>
        <w:pStyle w:val="FirstParagraph"/>
      </w:pPr>
      <w:r>
        <w:t xml:space="preserve">Only VCFcache caches distributed from production Zenodo were used for the</w:t>
      </w:r>
      <w:r>
        <w:t xml:space="preserve"> </w:t>
      </w:r>
      <w:r>
        <w:t xml:space="preserve">ready-made public-cache comparison. The GRCh38 VEP 115.2 AF ≥10% and AF ≥1%</w:t>
      </w:r>
      <w:r>
        <w:t xml:space="preserve"> </w:t>
      </w:r>
      <w:r>
        <w:t xml:space="preserve">archives had DOIs 10.5281/zenodo.18189447 and 10.5281/zenodo.18190046. Their</w:t>
      </w:r>
      <w:r>
        <w:t xml:space="preserve"> </w:t>
      </w:r>
      <w:r>
        <w:t xml:space="preserve">GRCh37 counterparts had DOIs 10.5281/zenodo.18189051 and</w:t>
      </w:r>
      <w:r>
        <w:t xml:space="preserve"> </w:t>
      </w:r>
      <w:r>
        <w:t xml:space="preserve">10.5281/zenodo.18189348. Downloads were checked against frozen archive MD5</w:t>
      </w:r>
      <w:r>
        <w:t xml:space="preserve"> </w:t>
      </w:r>
      <w:r>
        <w:t xml:space="preserve">values before extraction.</w:t>
      </w:r>
    </w:p>
    <w:p>
      <w:pPr>
        <w:pStyle w:val="BodyText"/>
      </w:pPr>
      <w:r>
        <w:t xml:space="preserve">The frequency thresholds are any-stratum thresholds: a site entered the</w:t>
      </w:r>
      <w:r>
        <w:t xml:space="preserve"> </w:t>
      </w:r>
      <w:r>
        <w:t xml:space="preserve">blueprint when at least one reported gnomAD frequency stratum met the cutoff.</w:t>
      </w:r>
      <w:r>
        <w:t xml:space="preserve"> </w:t>
      </w:r>
      <w:r>
        <w:t xml:space="preserve">The labels therefore do not mean combined-population AF thresholds.</w:t>
      </w:r>
    </w:p>
    <w:bookmarkEnd w:id="87"/>
    <w:bookmarkStart w:id="88" w:name="Xd4d262bb7319dbb3505d52259c4d06ced83d96d"/>
    <w:p>
      <w:pPr>
        <w:pStyle w:val="Heading2"/>
      </w:pPr>
      <w:r>
        <w:t xml:space="preserve">Benchmark execution and statistical analysis</w:t>
      </w:r>
    </w:p>
    <w:p>
      <w:pPr>
        <w:pStyle w:val="FirstParagraph"/>
      </w:pPr>
      <w:r>
        <w:t xml:space="preserve">The Slurm cluster comprised one head node and six workers with identical</w:t>
      </w:r>
      <w:r>
        <w:t xml:space="preserve"> </w:t>
      </w:r>
      <w:r>
        <w:t xml:space="preserve">software and worker-local benchmark inputs, caches and annotator assets. A</w:t>
      </w:r>
      <w:r>
        <w:t xml:space="preserve"> </w:t>
      </w:r>
      <w:r>
        <w:t xml:space="preserve">shared results export was mounted read-only or append-only as appropriate.</w:t>
      </w:r>
      <w:r>
        <w:t xml:space="preserve"> </w:t>
      </w:r>
      <w:r>
        <w:t xml:space="preserve">Each sample task executed its direct and cached conditions in separate Slurm</w:t>
      </w:r>
      <w:r>
        <w:t xml:space="preserve"> </w:t>
      </w:r>
      <w:r>
        <w:t xml:space="preserve">job steps. This prevented an earlier condition’s cgroup memory peak from being</w:t>
      </w:r>
      <w:r>
        <w:t xml:space="preserve"> </w:t>
      </w:r>
      <w:r>
        <w:t xml:space="preserve">reported for a later condition.</w:t>
      </w:r>
    </w:p>
    <w:p>
      <w:pPr>
        <w:pStyle w:val="BodyText"/>
      </w:pPr>
      <w:r>
        <w:t xml:space="preserve">The final campaigns used one observation for each unique</w:t>
      </w:r>
      <w:r>
        <w:t xml:space="preserve"> </w:t>
      </w:r>
      <w:r>
        <w:t xml:space="preserve">sample/annotator/cache combination. Samples provide biological and pipeline</w:t>
      </w:r>
      <w:r>
        <w:t xml:space="preserve"> </w:t>
      </w:r>
      <w:r>
        <w:t xml:space="preserve">heterogeneity; repeated executions of the same technical cell were not treated</w:t>
      </w:r>
      <w:r>
        <w:t xml:space="preserve"> </w:t>
      </w:r>
      <w:r>
        <w:t xml:space="preserve">as independent observations. A small repeatability control showed sub-percent</w:t>
      </w:r>
      <w:r>
        <w:t xml:space="preserve"> </w:t>
      </w:r>
      <w:r>
        <w:t xml:space="preserve">differences and was not pooled with the 52-genome analysis.</w:t>
      </w:r>
    </w:p>
    <w:p>
      <w:pPr>
        <w:pStyle w:val="BodyText"/>
      </w:pPr>
      <w:r>
        <w:t xml:space="preserve">The external semantic comparator ran after timing and was excluded from all</w:t>
      </w:r>
      <w:r>
        <w:t xml:space="preserve"> </w:t>
      </w:r>
      <w:r>
        <w:t xml:space="preserve">reported wall times. No observation was calibrated or rescaled.</w:t>
      </w:r>
    </w:p>
    <w:p>
      <w:pPr>
        <w:pStyle w:val="BodyText"/>
      </w:pPr>
      <w:r>
        <w:t xml:space="preserve">For the short matched Panel/WES extension, one separate KPGP-00319 assay subset</w:t>
      </w:r>
      <w:r>
        <w:t xml:space="preserve"> </w:t>
      </w:r>
      <w:r>
        <w:t xml:space="preserve">was processed before either timed condition in every task. This untimed step</w:t>
      </w:r>
      <w:r>
        <w:t xml:space="preserve"> </w:t>
      </w:r>
      <w:r>
        <w:t xml:space="preserve">loaded annotator, transcript and cache-lookup assets consistently; it was not</w:t>
      </w:r>
      <w:r>
        <w:t xml:space="preserve"> </w:t>
      </w:r>
      <w:r>
        <w:t xml:space="preserve">an evaluation-sample replicate and was excluded from all summaries. The need</w:t>
      </w:r>
      <w:r>
        <w:t xml:space="preserve"> </w:t>
      </w:r>
      <w:r>
        <w:t xml:space="preserve">for this control was established before retaining extension timings, when a</w:t>
      </w:r>
      <w:r>
        <w:t xml:space="preserve"> </w:t>
      </w:r>
      <w:r>
        <w:t xml:space="preserve">discarded pilot showed that cold-state condition order dominated short cells.</w:t>
      </w:r>
    </w:p>
    <w:p>
      <w:pPr>
        <w:pStyle w:val="BodyText"/>
      </w:pPr>
      <w:r>
        <w:t xml:space="preserve">The final clinical campaign used 12 independent genomes per assembly and five</w:t>
      </w:r>
      <w:r>
        <w:t xml:space="preserve"> </w:t>
      </w:r>
      <w:r>
        <w:t xml:space="preserve">tool/recipe/assembly arms: clinical fastVEP on GRCh38 and GRCh37, clinical</w:t>
      </w:r>
      <w:r>
        <w:t xml:space="preserve"> </w:t>
      </w:r>
      <w:r>
        <w:t xml:space="preserve">SnpEff on both assemblies, and core SnpEff on GRCh37. Panel, WES and WGS cells</w:t>
      </w:r>
      <w:r>
        <w:t xml:space="preserve"> </w:t>
      </w:r>
      <w:r>
        <w:t xml:space="preserve">each contained one direct and one cached run. The gnomAD AF ≥1% blueprint set</w:t>
      </w:r>
      <w:r>
        <w:t xml:space="preserve"> </w:t>
      </w:r>
      <w:r>
        <w:t xml:space="preserve">cache membership; every cache was annotated locally with its own frozen recipe.</w:t>
      </w:r>
      <w:r>
        <w:t xml:space="preserve"> </w:t>
      </w:r>
      <w:r>
        <w:t xml:space="preserve">No cache annotation was transferred between tools.</w:t>
      </w:r>
    </w:p>
    <w:p>
      <w:pPr>
        <w:pStyle w:val="BodyText"/>
      </w:pPr>
      <w:r>
        <w:t xml:space="preserve">Medians summarize sample-level speedups. Stratified bootstrap intervals used</w:t>
      </w:r>
      <w:r>
        <w:t xml:space="preserve"> </w:t>
      </w:r>
      <w:r>
        <w:t xml:space="preserve">10,000 resamples within KPGP, SGDP and PGP while preserving a sampled genome’s</w:t>
      </w:r>
      <w:r>
        <w:t xml:space="preserve"> </w:t>
      </w:r>
      <w:r>
        <w:t xml:space="preserve">paired conditions. This respects the deliberately heterogeneous 20/20/12</w:t>
      </w:r>
      <w:r>
        <w:t xml:space="preserve"> </w:t>
      </w:r>
      <w:r>
        <w:t xml:space="preserve">cohort allocation.</w:t>
      </w:r>
    </w:p>
    <w:p>
      <w:pPr>
        <w:pStyle w:val="BodyText"/>
      </w:pPr>
      <w:r>
        <w:t xml:space="preserve">Relative speedup was interpreted within each assembly and annotator recipe.</w:t>
      </w:r>
      <w:r>
        <w:t xml:space="preserve"> </w:t>
      </w:r>
      <w:r>
        <w:t xml:space="preserve">In particular, the GRCh37 PGP configuration had a substantially faster direct</w:t>
      </w:r>
      <w:r>
        <w:t xml:space="preserve"> </w:t>
      </w:r>
      <w:r>
        <w:t xml:space="preserve">fastVEP baseline than the two GRCh38 configurations, whereas parsing, lookup</w:t>
      </w:r>
      <w:r>
        <w:t xml:space="preserve"> </w:t>
      </w:r>
      <w:r>
        <w:t xml:space="preserve">and output construction did not decrease in the same proportion. Its smaller</w:t>
      </w:r>
      <w:r>
        <w:t xml:space="preserve"> </w:t>
      </w:r>
      <w:r>
        <w:t xml:space="preserve">relative fastVEP speedup therefore reflects the larger fixed-cost fraction and</w:t>
      </w:r>
      <w:r>
        <w:t xml:space="preserve"> </w:t>
      </w:r>
      <w:r>
        <w:t xml:space="preserve">must not be interpreted as evidence of poorer biological cache coverage.</w:t>
      </w:r>
    </w:p>
    <w:bookmarkEnd w:id="88"/>
    <w:bookmarkStart w:id="90" w:name="runtime-model-and-limiting-cases"/>
    <w:p>
      <w:pPr>
        <w:pStyle w:val="Heading2"/>
      </w:pPr>
      <w:r>
        <w:t xml:space="preserve">Runtime model and limiting cases</w:t>
      </w:r>
    </w:p>
    <w:p>
      <w:pPr>
        <w:pStyle w:val="FirstParagraph"/>
      </w:pPr>
      <w:r>
        <w:t xml:space="preserve">The main-text model separates non-annotation work in direct and cached paths</w:t>
      </w:r>
      <w:r>
        <w:t xml:space="preserve"> </w:t>
      </w:r>
      <w:r>
        <w:t xml:space="preserve">and starts the native annotator only if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Its general break-even</w:t>
      </w:r>
      <w:r>
        <w:t xml:space="preserve"> </w:t>
      </w:r>
      <w:r>
        <w:t xml:space="preserve">condition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f</m:t>
          </m:r>
          <m: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rPr>
                  <m:sty m:val="b"/>
                </m:rPr>
                <m:t>1</m:t>
              </m:r>
            </m:e>
            <m:sub>
              <m:r>
                <m:t>M</m:t>
              </m:r>
              <m:r>
                <m:rPr>
                  <m:sty m:val="p"/>
                </m:rPr>
                <m:t>&gt;</m:t>
              </m:r>
              <m:r>
                <m:t>0</m:t>
              </m:r>
            </m:sub>
          </m:sSub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B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native startup,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average per-allele annotation time and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additional processing cost. Perfect coverage removes startup</w:t>
      </w:r>
      <w:r>
        <w:t xml:space="preserve"> </w:t>
      </w:r>
      <w:r>
        <w:t xml:space="preserve">as well as per-allele work. With at least one miss and dominant annotation</w:t>
      </w:r>
      <w:r>
        <w:t xml:space="preserve"> </w:t>
      </w:r>
      <w:r>
        <w:t xml:space="preserve">cost, relative runtime approaches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and speedup approaches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, the remaining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prevents infinite throughput.</w:t>
      </w:r>
    </w:p>
    <w:p>
      <w:pPr>
        <w:pStyle w:val="BodyText"/>
      </w:pPr>
      <w:r>
        <w:t xml:space="preserve">The common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approximation. If hits and misses differ in their</w:t>
      </w:r>
      <w:r>
        <w:t xml:space="preserve"> </w:t>
      </w:r>
      <w:r>
        <w:t xml:space="preserve">transcript overlap, variant types or supplementary-database matches, the</w:t>
      </w:r>
      <w:r>
        <w:t xml:space="preserve"> </w:t>
      </w:r>
      <w:r>
        <w:t xml:space="preserve">recoverable work is the sum of annotation costs over hits, not necessarily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times the total. Similarly, processing costs can depend on cache size,</w:t>
      </w:r>
      <w:r>
        <w:t xml:space="preserve"> </w:t>
      </w:r>
      <w:r>
        <w:t xml:space="preserve">output payload, storage and thread allocation as well as input count.</w:t>
      </w:r>
      <w:r>
        <w:t xml:space="preserve"> </w:t>
      </w:r>
      <w:r>
        <w:t xml:space="preserve">The curves in Figure 3 are explanatory approximations; they do not estimate</w:t>
      </w:r>
      <w:r>
        <w:t xml:space="preserve"> </w:t>
      </w:r>
      <w:r>
        <w:t xml:space="preserve">every model parameter from independently timed stages.</w:t>
      </w:r>
    </w:p>
    <w:bookmarkStart w:id="89" w:name="X6b845f5853c9354c8fb2889b7e1a13a61ca3e3b"/>
    <w:p>
      <w:pPr>
        <w:pStyle w:val="Heading3"/>
      </w:pPr>
      <w:r>
        <w:t xml:space="preserve">Observed stage timings from an existing real-WGS run</w:t>
      </w:r>
    </w:p>
    <w:p>
      <w:pPr>
        <w:pStyle w:val="FirstParagraph"/>
      </w:pPr>
      <w:r>
        <w:t xml:space="preserve">The archived measured VEP run for SGDP genome</w:t>
      </w:r>
      <w:r>
        <w:t xml:space="preserve"> </w:t>
      </w:r>
      <w:r>
        <w:rPr>
          <w:rStyle w:val="VerbatimChar"/>
        </w:rPr>
        <w:t xml:space="preserve">LP6005519-DNA_B04</w:t>
      </w:r>
      <w:r>
        <w:t xml:space="preserve"> </w:t>
      </w:r>
      <w:r>
        <w:t xml:space="preserve">with the</w:t>
      </w:r>
      <w:r>
        <w:t xml:space="preserve"> </w:t>
      </w:r>
      <w:r>
        <w:t xml:space="preserve">gnomAD AF ≥1% cache contains 4,876,494 input alleles and 342,007 misses</w:t>
      </w:r>
      <w:r>
        <w:t xml:space="preserve"> </w:t>
      </w:r>
      <w:r>
        <w:t xml:space="preserve">(92.99% hits). Its command durations provide the following breakdown without</w:t>
      </w:r>
      <w:r>
        <w:t xml:space="preserve"> </w:t>
      </w:r>
      <w:r>
        <w:t xml:space="preserve">rerunning the sample.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Wall time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Multiallelic splitting and input filtering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annotation lookup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102.368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 extraction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44.556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VEP on misses, including input/output conversion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911.632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annotations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52.822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filtering and output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59.591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end-to-end overhead (difference)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cached runtime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1,207.280</w:t>
            </w:r>
          </w:p>
        </w:tc>
      </w:tr>
    </w:tbl>
    <w:p>
      <w:pPr>
        <w:pStyle w:val="BodyText"/>
      </w:pPr>
      <w:r>
        <w:t xml:space="preserve">Each command includes its own output processing, compression and inline index</w:t>
      </w:r>
      <w:r>
        <w:t xml:space="preserve"> </w:t>
      </w:r>
      <w:r>
        <w:t xml:space="preserve">creation where specified. The six sequential command durations sum to</w:t>
      </w:r>
      <w:r>
        <w:t xml:space="preserve"> </w:t>
      </w:r>
      <w:r>
        <w:t xml:space="preserve">1,205.378 s. The residual is calculated against the recorded end-to-end time,</w:t>
      </w:r>
      <w:r>
        <w:t xml:space="preserve"> </w:t>
      </w:r>
      <w:r>
        <w:t xml:space="preserve">not attributed to a separately measured component. Direct annotation took</w:t>
      </w:r>
      <w:r>
        <w:t xml:space="preserve"> </w:t>
      </w:r>
      <w:r>
        <w:t xml:space="preserve">11,467.473 s; the retained pair passed its VEP semantic gate and achieved</w:t>
      </w:r>
      <w:r>
        <w:t xml:space="preserve"> </w:t>
      </w:r>
      <w:r>
        <w:t xml:space="preserve">9.499-fold speedup. Thus real-sample stage timing already exists; only</w:t>
      </w:r>
      <w:r>
        <w:t xml:space="preserve"> </w:t>
      </w:r>
      <w:r>
        <w:t xml:space="preserve">separation of internal costs such as compression versus lookup would require</w:t>
      </w:r>
      <w:r>
        <w:t xml:space="preserve"> </w:t>
      </w:r>
      <w:r>
        <w:t xml:space="preserve">additional instrumentation.</w:t>
      </w:r>
    </w:p>
    <w:p>
      <w:pPr>
        <w:pStyle w:val="BodyText"/>
      </w:pPr>
      <w:r>
        <w:t xml:space="preserve">Evidence:</w:t>
      </w:r>
      <w:r>
        <w:t xml:space="preserve"> </w:t>
      </w:r>
      <w:r>
        <w:rPr>
          <w:rStyle w:val="VerbatimChar"/>
        </w:rPr>
        <w:t xml:space="preserve">figures/source_data/external_wgs_metrics.tsv</w:t>
      </w:r>
      <w:r>
        <w:t xml:space="preserve">, VEP/sample/AF ≥1% row,</w:t>
      </w:r>
      <w:r>
        <w:t xml:space="preserve"> </w:t>
      </w:r>
      <w:r>
        <w:t xml:space="preserve">and the archived</w:t>
      </w:r>
      <w:r>
        <w:t xml:space="preserve"> </w:t>
      </w:r>
      <w:r>
        <w:rPr>
          <w:rStyle w:val="VerbatimChar"/>
        </w:rPr>
        <w:t xml:space="preserve">workflow.log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benchmarks/results/raw/campaigns/external-vep-light-full52-bbef41d7db8e/measured/tasks/task-23/runs/gnomad_af_0.01/pilot/LP6005519-DNA_B04/bbef41d7db8e/cached_r01/stats/LP6005519-DNA_B04_vcstats/</w:t>
      </w:r>
      <w:r>
        <w:t xml:space="preserve">.</w:t>
      </w:r>
      <w:r>
        <w:t xml:space="preserve"> </w:t>
      </w:r>
      <w:r>
        <w:t xml:space="preserve">The final native campaign’s 180 cached cells contain no zero-miss observation;</w:t>
      </w:r>
      <w:r>
        <w:t xml:space="preserve"> </w:t>
      </w:r>
      <w:r>
        <w:t xml:space="preserve">the perfect-hit case discussed in the model and early engineering pilot is a</w:t>
      </w:r>
      <w:r>
        <w:t xml:space="preserve"> </w:t>
      </w:r>
      <w:r>
        <w:t xml:space="preserve">separate controlled condition.</w:t>
      </w:r>
    </w:p>
    <w:bookmarkEnd w:id="89"/>
    <w:bookmarkEnd w:id="90"/>
    <w:bookmarkStart w:id="91" w:name="semantic-validation-details"/>
    <w:p>
      <w:pPr>
        <w:pStyle w:val="Heading2"/>
      </w:pPr>
      <w:r>
        <w:t xml:space="preserve">Semantic validation details</w:t>
      </w:r>
    </w:p>
    <w:p>
      <w:pPr>
        <w:pStyle w:val="FirstParagraph"/>
      </w:pPr>
      <w:r>
        <w:t xml:space="preserve">Correctness was a gate, not a secondary timing outcome. A cached result could</w:t>
      </w:r>
      <w:r>
        <w:t xml:space="preserve"> </w:t>
      </w:r>
      <w:r>
        <w:t xml:space="preserve">not contribute to a performance figure unless it passed the comparator defined</w:t>
      </w:r>
      <w:r>
        <w:t xml:space="preserve"> </w:t>
      </w:r>
      <w:r>
        <w:t xml:space="preserve">for its annotator.</w:t>
      </w:r>
    </w:p>
    <w:p>
      <w:pPr>
        <w:pStyle w:val="BodyText"/>
      </w:pPr>
      <w:r>
        <w:t xml:space="preserve">For VEP, variant keys, retained input INFO, genotype, CSQ header and all CSQ</w:t>
      </w:r>
      <w:r>
        <w:t xml:space="preserve"> </w:t>
      </w:r>
      <w:r>
        <w:t xml:space="preserve">entries were compared. CSQ-entry order and complete-record order within a</w:t>
      </w:r>
      <w:r>
        <w:t xml:space="preserve"> </w:t>
      </w:r>
      <w:r>
        <w:t xml:space="preserve">shared locus were canonicalized. HGNC_ID-only differences were counted but</w:t>
      </w:r>
      <w:r>
        <w:t xml:space="preserve"> </w:t>
      </w:r>
      <w:r>
        <w:t xml:space="preserve">excluded from pass/fail because VEP 115.2 exhibits a documented batching</w:t>
      </w:r>
      <w:r>
        <w:t xml:space="preserve"> </w:t>
      </w:r>
      <w:r>
        <w:t xml:space="preserve">dependency. This exception was not generalized to other fields or annotators.</w:t>
      </w:r>
    </w:p>
    <w:p>
      <w:pPr>
        <w:pStyle w:val="BodyText"/>
      </w:pPr>
      <w:r>
        <w:t xml:space="preserve">For fastVEP, every INFO and FORMAT value and every relevant header definition</w:t>
      </w:r>
      <w:r>
        <w:t xml:space="preserve"> </w:t>
      </w:r>
      <w:r>
        <w:t xml:space="preserve">was compared. INFO-tag order, CSQ-entry order and complete-record order within</w:t>
      </w:r>
      <w:r>
        <w:t xml:space="preserve"> </w:t>
      </w:r>
      <w:r>
        <w:t xml:space="preserve">identical loci were canonicalized; no annotation field was ignored. This</w:t>
      </w:r>
      <w:r>
        <w:t xml:space="preserve"> </w:t>
      </w:r>
      <w:r>
        <w:t xml:space="preserve">included fastVEP supplementary fields such as FV_CLINVAR, FV_GNOMAD, FV_1KG</w:t>
      </w:r>
      <w:r>
        <w:t xml:space="preserve"> </w:t>
      </w:r>
      <w:r>
        <w:t xml:space="preserve">and FV_TOPMED when present.</w:t>
      </w:r>
    </w:p>
    <w:p>
      <w:pPr>
        <w:pStyle w:val="BodyText"/>
      </w:pPr>
      <w:r>
        <w:t xml:space="preserve">For SnpEff, the comparator checked variant keys, genotype and the complete INFO</w:t>
      </w:r>
      <w:r>
        <w:t xml:space="preserve"> </w:t>
      </w:r>
      <w:r>
        <w:t xml:space="preserve">content defining the tested recipe. ANN entries and same-position records were</w:t>
      </w:r>
      <w:r>
        <w:t xml:space="preserve"> </w:t>
      </w:r>
      <w:r>
        <w:t xml:space="preserve">canonicalized for ordering; warning tokens, ClinVar and gnomAD values were not</w:t>
      </w:r>
      <w:r>
        <w:t xml:space="preserve"> </w:t>
      </w:r>
      <w:r>
        <w:t xml:space="preserve">ignored. Of 180 final-campaign pairs, 176 passed. Four cells from GRCh37 sample</w:t>
      </w:r>
      <w:r>
        <w:t xml:space="preserve"> </w:t>
      </w:r>
      <w:r>
        <w:rPr>
          <w:rStyle w:val="VerbatimChar"/>
        </w:rPr>
        <w:t xml:space="preserve">hu6664F3</w:t>
      </w:r>
      <w:r>
        <w:t xml:space="preserve"> </w:t>
      </w:r>
      <w:r>
        <w:t xml:space="preserve">were excluded before inference because one allele carried a</w:t>
      </w:r>
      <w:r>
        <w:t xml:space="preserve"> </w:t>
      </w:r>
      <w:r>
        <w:rPr>
          <w:rStyle w:val="VerbatimChar"/>
        </w:rPr>
        <w:t xml:space="preserve">WARNING_TRANSCRIPT_MULTIPLE_STOP_CODONS</w:t>
      </w:r>
      <w:r>
        <w:t xml:space="preserve"> </w:t>
      </w:r>
      <w:r>
        <w:t xml:space="preserve">token only in the cached arm. All</w:t>
      </w:r>
      <w:r>
        <w:t xml:space="preserve"> </w:t>
      </w:r>
      <w:r>
        <w:t xml:space="preserve">consequence, transcript, HGVS, ClinVar, gnomAD, genotype and record-count values</w:t>
      </w:r>
      <w:r>
        <w:t xml:space="preserve"> </w:t>
      </w:r>
      <w:r>
        <w:t xml:space="preserve">otherwise agreed.</w:t>
      </w:r>
    </w:p>
    <w:p>
      <w:pPr>
        <w:pStyle w:val="BodyText"/>
      </w:pPr>
      <w:r>
        <w:t xml:space="preserve">A direct-SnpEff-only diagnostic reduced the difference to two input records.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chr2:11273459 C&gt;T</w:t>
      </w:r>
      <w:r>
        <w:t xml:space="preserve">, the warning was absent when the allele was processed</w:t>
      </w:r>
      <w:r>
        <w:t xml:space="preserve"> </w:t>
      </w:r>
      <w:r>
        <w:t xml:space="preserve">alone, present after</w:t>
      </w:r>
      <w:r>
        <w:t xml:space="preserve"> </w:t>
      </w:r>
      <w:r>
        <w:rPr>
          <w:rStyle w:val="VerbatimChar"/>
        </w:rPr>
        <w:t xml:space="preserve">chr2:11273458 A&gt;AC</w:t>
      </w:r>
      <w:r>
        <w:t xml:space="preserve">, and absent when the same two records</w:t>
      </w:r>
      <w:r>
        <w:t xml:space="preserve"> </w:t>
      </w:r>
      <w:r>
        <w:t xml:space="preserve">were reversed. The target’s warning-free ANN digest was identical in both</w:t>
      </w:r>
      <w:r>
        <w:t xml:space="preserve"> </w:t>
      </w:r>
      <w:r>
        <w:t xml:space="preserve">controls. This demonstrates processing-order-dependent SnpEff 5.4c diagnostic</w:t>
      </w:r>
      <w:r>
        <w:t xml:space="preserve"> </w:t>
      </w:r>
      <w:r>
        <w:t xml:space="preserve">state rather than a VCFcache lookup or merge error. The warning was neither</w:t>
      </w:r>
      <w:r>
        <w:t xml:space="preserve"> </w:t>
      </w:r>
      <w:r>
        <w:t xml:space="preserve">suppressed nor added to a general exception; exact VCFs and output checksums are</w:t>
      </w:r>
      <w:r>
        <w:t xml:space="preserve"> </w:t>
      </w:r>
      <w:r>
        <w:t xml:space="preserve">included in the archived diagnostic.</w:t>
      </w:r>
    </w:p>
    <w:p>
      <w:pPr>
        <w:pStyle w:val="BodyText"/>
      </w:pPr>
      <w:r>
        <w:t xml:space="preserve">All 156 VEP and 156 fastVEP cached external-WGS outputs passed. The documented</w:t>
      </w:r>
      <w:r>
        <w:t xml:space="preserve"> </w:t>
      </w:r>
      <w:r>
        <w:t xml:space="preserve">VEP exception comprised 8,898 HGNC_ID-only record differences among</w:t>
      </w:r>
      <w:r>
        <w:t xml:space="preserve"> </w:t>
      </w:r>
      <w:r>
        <w:t xml:space="preserve">734,582,949 compared records (0.0012%); the maximum was 495 records in one</w:t>
      </w:r>
      <w:r>
        <w:t xml:space="preserve"> </w:t>
      </w:r>
      <w:r>
        <w:t xml:space="preserve">4.84-million-variant comparison. A separate 89-output technical validation set</w:t>
      </w:r>
      <w:r>
        <w:t xml:space="preserve"> </w:t>
      </w:r>
      <w:r>
        <w:t xml:space="preserve">contained 265 HGNC_ID-only differences and no unexpected annotation mismatch.</w:t>
      </w:r>
      <w:r>
        <w:t xml:space="preserve"> </w:t>
      </w:r>
      <w:r>
        <w:t xml:space="preserve">The 12 cached pipeline-complexity outputs also passed their specified gates.</w:t>
      </w:r>
      <w:r>
        <w:t xml:space="preserve"> </w:t>
      </w:r>
      <w:r>
        <w:t xml:space="preserve">These results support equivalence within a fixed annotator and recipe, not</w:t>
      </w:r>
      <w:r>
        <w:t xml:space="preserve"> </w:t>
      </w:r>
      <w:r>
        <w:t xml:space="preserve">between annotators or arbitrary annotation configurations.</w:t>
      </w:r>
    </w:p>
    <w:bookmarkEnd w:id="91"/>
    <w:bookmarkEnd w:id="92"/>
    <w:bookmarkStart w:id="95" w:name="supplementary-results"/>
    <w:p>
      <w:pPr>
        <w:pStyle w:val="Heading1"/>
      </w:pPr>
      <w:r>
        <w:t xml:space="preserve">Supplementary Results</w:t>
      </w:r>
    </w:p>
    <w:bookmarkStart w:id="93" w:name="fastvep-engineering-pilots"/>
    <w:p>
      <w:pPr>
        <w:pStyle w:val="Heading2"/>
      </w:pPr>
      <w:r>
        <w:t xml:space="preserve">fastVEP engineering pilots</w:t>
      </w:r>
    </w:p>
    <w:p>
      <w:pPr>
        <w:pStyle w:val="FirstParagraph"/>
      </w:pPr>
      <w:r>
        <w:t xml:space="preserve">An exploratory pilot on one 4,329,621-variant WGS profiled the fixed work that</w:t>
      </w:r>
      <w:r>
        <w:t xml:space="preserve"> </w:t>
      </w:r>
      <w:r>
        <w:t xml:space="preserve">remains when cache hits approach 100%. With the original core fastVEP recipe,</w:t>
      </w:r>
      <w:r>
        <w:t xml:space="preserve"> </w:t>
      </w:r>
      <w:r>
        <w:t xml:space="preserve">VCFcache achieved 1.86-fold, 2.11-fold and 2.84-fold speedups at approximately</w:t>
      </w:r>
      <w:r>
        <w:t xml:space="preserve"> </w:t>
      </w:r>
      <w:r>
        <w:t xml:space="preserve">80%, 90% and 100% hits. Complete output comparison passed after canonicalizing</w:t>
      </w:r>
      <w:r>
        <w:t xml:space="preserve"> </w:t>
      </w:r>
      <w:r>
        <w:t xml:space="preserve">only INFO-tag and CSQ-entry order. This engineering pilot is not combined with</w:t>
      </w:r>
      <w:r>
        <w:t xml:space="preserve"> </w:t>
      </w:r>
      <w:r>
        <w:t xml:space="preserve">the primary external-WGS campaign.</w:t>
      </w:r>
    </w:p>
    <w:p>
      <w:pPr>
        <w:pStyle w:val="BodyText"/>
      </w:pPr>
      <w:r>
        <w:t xml:space="preserve">A dense supplementary-database stress configuration used six custom fastSA</w:t>
      </w:r>
      <w:r>
        <w:t xml:space="preserve"> </w:t>
      </w:r>
      <w:r>
        <w:t xml:space="preserve">sources, three population-style sources and ClinVar. It was rerun on the</w:t>
      </w:r>
      <w:r>
        <w:t xml:space="preserve"> </w:t>
      </w:r>
      <w:r>
        <w:t xml:space="preserve">held-out KPGP-00319 genome under process-wide CPU affinity. At 10 CPUs, direct</w:t>
      </w:r>
      <w:r>
        <w:t xml:space="preserve"> </w:t>
      </w:r>
      <w:r>
        <w:t xml:space="preserve">and 90%-cached annotation took 706.2 and 230.0 seconds (3.07-fold speedup); at</w:t>
      </w:r>
      <w:r>
        <w:t xml:space="preserve"> </w:t>
      </w:r>
      <w:r>
        <w:t xml:space="preserve">32 CPUs, they took 691.4 and 205.4 seconds (3.37-fold). Increasing the limit</w:t>
      </w:r>
      <w:r>
        <w:t xml:space="preserve"> </w:t>
      </w:r>
      <w:r>
        <w:t xml:space="preserve">from 10 to 32 CPUs therefore changed direct runtime by only 2.1%, while</w:t>
      </w:r>
      <w:r>
        <w:t xml:space="preserve"> </w:t>
      </w:r>
      <w:r>
        <w:t xml:space="preserve">caching returned approximately eight minutes per genome at both limits. All</w:t>
      </w:r>
      <w:r>
        <w:t xml:space="preserve"> </w:t>
      </w:r>
      <w:r>
        <w:t xml:space="preserve">four retained outputs passed complete-record equality. This configuration</w:t>
      </w:r>
      <w:r>
        <w:t xml:space="preserve"> </w:t>
      </w:r>
      <w:r>
        <w:t xml:space="preserve">demonstrates that cache reuse remains valuable after fastVEP saturates its CPU</w:t>
      </w:r>
      <w:r>
        <w:t xml:space="preserve"> </w:t>
      </w:r>
      <w:r>
        <w:t xml:space="preserve">scaling, but its database density is deliberately an upper-bound stress test.</w:t>
      </w:r>
    </w:p>
    <w:p>
      <w:pPr>
        <w:pStyle w:val="BodyText"/>
      </w:pPr>
      <w:r>
        <w:t xml:space="preserve">The matched core recipe took 868.4, 463.8 and 379.1 seconds directly at 1, 10</w:t>
      </w:r>
      <w:r>
        <w:t xml:space="preserve"> </w:t>
      </w:r>
      <w:r>
        <w:t xml:space="preserve">and 32 CPUs, and 576.5, 180.3 and 148.8 seconds with the controlled cache. The</w:t>
      </w:r>
      <w:r>
        <w:t xml:space="preserve"> </w:t>
      </w:r>
      <w:r>
        <w:t xml:space="preserve">corresponding speedups were 1.51-fold, 2.57-fold and 2.55-fold. Thus ten CPUs</w:t>
      </w:r>
      <w:r>
        <w:t xml:space="preserve"> </w:t>
      </w:r>
      <w:r>
        <w:t xml:space="preserve">made the dense direct recipe faster than the one-CPU core recipe (706.2 versus</w:t>
      </w:r>
      <w:r>
        <w:t xml:space="preserve"> </w:t>
      </w:r>
      <w:r>
        <w:t xml:space="preserve">868.4 seconds), but did not make complexity free: at the same 10-CPU allocation</w:t>
      </w:r>
      <w:r>
        <w:t xml:space="preserve"> </w:t>
      </w:r>
      <w:r>
        <w:t xml:space="preserve">the dense recipe was 52.2% slower than the core recipe. VCFcache returned 7.9</w:t>
      </w:r>
      <w:r>
        <w:t xml:space="preserve"> </w:t>
      </w:r>
      <w:r>
        <w:t xml:space="preserve">minutes from the dense 10-CPU run and increased its speedup from 2.57-fold for</w:t>
      </w:r>
      <w:r>
        <w:t xml:space="preserve"> </w:t>
      </w:r>
      <w:r>
        <w:t xml:space="preserve">the core recipe to 3.07-fold for the dense recipe. Additional CPUs and reuse</w:t>
      </w:r>
      <w:r>
        <w:t xml:space="preserve"> </w:t>
      </w:r>
      <w:r>
        <w:t xml:space="preserve">therefore addressed different components of runtime.</w:t>
      </w:r>
    </w:p>
    <w:p>
      <w:pPr>
        <w:pStyle w:val="BodyText"/>
      </w:pPr>
      <w:r>
        <w:t xml:space="preserve">Profiling at 100% hits attributed material wall time to cache lookup, the</w:t>
      </w:r>
      <w:r>
        <w:t xml:space="preserve"> </w:t>
      </w:r>
      <w:r>
        <w:t xml:space="preserve">guaranteed-empty miss scan and final output construction; subprocess startup</w:t>
      </w:r>
      <w:r>
        <w:t xml:space="preserve"> </w:t>
      </w:r>
      <w:r>
        <w:t xml:space="preserve">was negligible. The original heavy pilot’s diagnostic commands took 4.0 s for</w:t>
      </w:r>
      <w:r>
        <w:t xml:space="preserve"> </w:t>
      </w:r>
      <w:r>
        <w:t xml:space="preserve">input filtering/BCF writing, 22.2 s for lookup with compressed output, 20.0 s</w:t>
      </w:r>
      <w:r>
        <w:t xml:space="preserve"> </w:t>
      </w:r>
      <w:r>
        <w:t xml:space="preserve">for the empty-miss scan and 18.3 s for final filtering/compressed output.</w:t>
      </w:r>
      <w:r>
        <w:t xml:space="preserve"> </w:t>
      </w:r>
      <w:r>
        <w:t xml:space="preserve">Standalone index construction took approximately 15 s; production commands</w:t>
      </w:r>
      <w:r>
        <w:t xml:space="preserve"> </w:t>
      </w:r>
      <w:r>
        <w:t xml:space="preserve">built indexes inline. These are diagnostic timings from separate commands,</w:t>
      </w:r>
      <w:r>
        <w:t xml:space="preserve"> </w:t>
      </w:r>
      <w:r>
        <w:t xml:space="preserve">not additive partitions of one end-to-end observation: compression and indexing</w:t>
      </w:r>
      <w:r>
        <w:t xml:space="preserve"> </w:t>
      </w:r>
      <w:r>
        <w:t xml:space="preserve">overlap other work. The 100% condition was a deliberately constructed pilot</w:t>
      </w:r>
      <w:r>
        <w:t xml:space="preserve"> </w:t>
      </w:r>
      <w:r>
        <w:t xml:space="preserve">cache, not an observed perfect hit rate in the final biological campaign.</w:t>
      </w:r>
      <w:r>
        <w:t xml:space="preserve"> </w:t>
      </w:r>
      <w:r>
        <w:t xml:space="preserve">Archived runs with misses also contain stage timings, including the real-WGS</w:t>
      </w:r>
      <w:r>
        <w:t xml:space="preserve"> </w:t>
      </w:r>
      <w:r>
        <w:t xml:space="preserve">example in the Supplementary runtime model. That command-level breakdown</w:t>
      </w:r>
      <w:r>
        <w:t xml:space="preserve"> </w:t>
      </w:r>
      <w:r>
        <w:t xml:space="preserve">includes compression and indexing within each stage; it does not separately</w:t>
      </w:r>
      <w:r>
        <w:t xml:space="preserve"> </w:t>
      </w:r>
      <w:r>
        <w:t xml:space="preserve">identify every internal operation or fit all model parameters.</w:t>
      </w:r>
    </w:p>
    <w:p>
      <w:pPr>
        <w:pStyle w:val="BodyText"/>
      </w:pPr>
      <w:r>
        <w:t xml:space="preserve">In the affinity-controlled experiment, both direct fastVEP and</w:t>
      </w:r>
      <w:r>
        <w:t xml:space="preserve"> </w:t>
      </w:r>
      <w:r>
        <w:t xml:space="preserve">VCFcache were restricted using</w:t>
      </w:r>
      <w:r>
        <w:t xml:space="preserve"> </w:t>
      </w:r>
      <w:r>
        <w:rPr>
          <w:rStyle w:val="VerbatimChar"/>
        </w:rPr>
        <w:t xml:space="preserve">taskset</w:t>
      </w:r>
      <w:r>
        <w:t xml:space="preserve">; the plotted axis therefore denotes</w:t>
      </w:r>
      <w:r>
        <w:t xml:space="preserve"> </w:t>
      </w:r>
      <w:r>
        <w:t xml:space="preserve">CPUs available to the process rather than only a configured thread count. An</w:t>
      </w:r>
      <w:r>
        <w:t xml:space="preserve"> </w:t>
      </w:r>
      <w:r>
        <w:t xml:space="preserve">exploratory dense one-CPU cell was stopped after sustained, impractically low</w:t>
      </w:r>
      <w:r>
        <w:t xml:space="preserve"> </w:t>
      </w:r>
      <w:r>
        <w:t xml:space="preserve">throughput and was not treated as a completed observation. It was unnecessary</w:t>
      </w:r>
      <w:r>
        <w:t xml:space="preserve"> </w:t>
      </w:r>
      <w:r>
        <w:t xml:space="preserve">for the prespecified comparison between the dense recipe at 10 CPUs and the</w:t>
      </w:r>
      <w:r>
        <w:t xml:space="preserve"> </w:t>
      </w:r>
      <w:r>
        <w:t xml:space="preserve">core recipe at one CPU.</w:t>
      </w:r>
    </w:p>
    <w:p>
      <w:pPr>
        <w:pStyle w:val="BodyText"/>
      </w:pPr>
      <w:r>
        <w:t xml:space="preserve">The pilots motivate a future streaming engine that performs lookup, miss</w:t>
      </w:r>
      <w:r>
        <w:t xml:space="preserve"> </w:t>
      </w:r>
      <w:r>
        <w:t xml:space="preserve">selection and output construction with fewer complete-file passes. They do not</w:t>
      </w:r>
      <w:r>
        <w:t xml:space="preserve"> </w:t>
      </w:r>
      <w:r>
        <w:t xml:space="preserve">alter the current publication claim that VCFcache already reduces end-to-end</w:t>
      </w:r>
      <w:r>
        <w:t xml:space="preserve"> </w:t>
      </w:r>
      <w:r>
        <w:t xml:space="preserve">runtime around fastVEP.</w:t>
      </w:r>
    </w:p>
    <w:bookmarkEnd w:id="93"/>
    <w:bookmarkStart w:id="94" w:name="native-clinical-annotation-campaign"/>
    <w:p>
      <w:pPr>
        <w:pStyle w:val="Heading2"/>
      </w:pPr>
      <w:r>
        <w:t xml:space="preserve">Native clinical annotation campaign</w:t>
      </w:r>
    </w:p>
    <w:p>
      <w:pPr>
        <w:pStyle w:val="FirstParagraph"/>
      </w:pPr>
      <w:r>
        <w:t xml:space="preserve">The final campaign extended the assay-scale design to SnpEff and to clinical</w:t>
      </w:r>
      <w:r>
        <w:t xml:space="preserve"> </w:t>
      </w:r>
      <w:r>
        <w:t xml:space="preserve">fastVEP recipes on both assemblies. Recipes were compared only with their own</w:t>
      </w:r>
      <w:r>
        <w:t xml:space="preserve"> </w:t>
      </w:r>
      <w:r>
        <w:t xml:space="preserve">direct baseline because VEP</w:t>
      </w:r>
      <w:r>
        <w:t xml:space="preserve"> </w:t>
      </w:r>
      <w:r>
        <w:rPr>
          <w:rStyle w:val="VerbatimChar"/>
        </w:rPr>
        <w:t xml:space="preserve">--everything</w:t>
      </w:r>
      <w:r>
        <w:t xml:space="preserve">, fastVEP and SnpEff expose different</w:t>
      </w:r>
      <w:r>
        <w:t xml:space="preserve"> </w:t>
      </w:r>
      <w:r>
        <w:t xml:space="preserve">annotation content. The clinical SnpEff recipe comprised SnpEff ANN consequence</w:t>
      </w:r>
      <w:r>
        <w:t xml:space="preserve"> </w:t>
      </w:r>
      <w:r>
        <w:t xml:space="preserve">prediction followed by SnpSift ClinVar and gnomAD exome AF/AC/AN annotation.</w:t>
      </w:r>
      <w:r>
        <w:t xml:space="preserve"> </w:t>
      </w:r>
      <w:r>
        <w:t xml:space="preserve">The core-to-clinical SnpEff comparison on GRCh37 held samples and cache</w:t>
      </w:r>
      <w:r>
        <w:t xml:space="preserve"> </w:t>
      </w:r>
      <w:r>
        <w:t xml:space="preserve">membership fixed and therefore isolates additional per-variant annotation work.</w:t>
      </w:r>
    </w:p>
    <w:p>
      <w:pPr>
        <w:pStyle w:val="BodyText"/>
      </w:pPr>
      <w:r>
        <w:rPr>
          <w:b/>
          <w:bCs/>
        </w:rPr>
        <w:t xml:space="preserve">Supplementary Table 1: End-to-end speedup in the final native annotation</w:t>
      </w:r>
      <w:r>
        <w:rPr>
          <w:b/>
          <w:bCs/>
        </w:rPr>
        <w:t xml:space="preserve"> </w:t>
      </w:r>
      <w:r>
        <w:rPr>
          <w:b/>
          <w:bCs/>
        </w:rPr>
        <w:t xml:space="preserve">campaign.</w:t>
      </w:r>
      <w:r>
        <w:t xml:space="preserve"> </w:t>
      </w:r>
      <w:r>
        <w:t xml:space="preserve">Values are medians across concordant sample pairs. The four</w:t>
      </w:r>
      <w:r>
        <w:t xml:space="preserve"> </w:t>
      </w:r>
      <w:r>
        <w:t xml:space="preserve">warning-only SnpEff exclusions described above reduce two GRCh37 WES and two</w:t>
      </w:r>
      <w:r>
        <w:t xml:space="preserve"> </w:t>
      </w:r>
      <w:r>
        <w:t xml:space="preserve">GRCh37 WGS rows from 12 to 11 genomes. AF, allele frequency; WES, whole-exome</w:t>
      </w:r>
      <w:r>
        <w:t xml:space="preserve"> </w:t>
      </w:r>
      <w:r>
        <w:t xml:space="preserve">sequencing; WGS, whole-genome sequencing.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Recipe</w:t>
            </w:r>
          </w:p>
        </w:tc>
        <w:tc>
          <w:tcPr/>
          <w:p>
            <w:pPr>
              <w:pStyle w:val="Compact"/>
            </w:pPr>
            <w:r>
              <w:t xml:space="preserve">Assembly</w:t>
            </w:r>
          </w:p>
        </w:tc>
        <w:tc>
          <w:tcPr/>
          <w:p>
            <w:pPr>
              <w:pStyle w:val="Compact"/>
            </w:pPr>
            <w:r>
              <w:t xml:space="preserve">Assay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Genomes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hit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speedup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fastVEP</w:t>
            </w:r>
          </w:p>
        </w:tc>
        <w:tc>
          <w:tcPr/>
          <w:p>
            <w:pPr>
              <w:pStyle w:val="Compact"/>
            </w:pPr>
            <w:r>
              <w:t xml:space="preserve">clinical</w:t>
            </w:r>
          </w:p>
        </w:tc>
        <w:tc>
          <w:tcPr/>
          <w:p>
            <w:pPr>
              <w:pStyle w:val="Compact"/>
            </w:pPr>
            <w:r>
              <w:t xml:space="preserve">GRCh38</w:t>
            </w:r>
          </w:p>
        </w:tc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0.46-fold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fastVEP</w:t>
            </w:r>
          </w:p>
        </w:tc>
        <w:tc>
          <w:tcPr/>
          <w:p>
            <w:pPr>
              <w:pStyle w:val="Compact"/>
            </w:pPr>
            <w:r>
              <w:t xml:space="preserve">clinical</w:t>
            </w:r>
          </w:p>
        </w:tc>
        <w:tc>
          <w:tcPr/>
          <w:p>
            <w:pPr>
              <w:pStyle w:val="Compact"/>
            </w:pPr>
            <w:r>
              <w:t xml:space="preserve">GRCh38</w:t>
            </w:r>
          </w:p>
        </w:tc>
        <w:tc>
          <w:tcPr/>
          <w:p>
            <w:pPr>
              <w:pStyle w:val="Compact"/>
            </w:pPr>
            <w:r>
              <w:t xml:space="preserve">WES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0.93-fold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fastVEP</w:t>
            </w:r>
          </w:p>
        </w:tc>
        <w:tc>
          <w:tcPr/>
          <w:p>
            <w:pPr>
              <w:pStyle w:val="Compact"/>
            </w:pPr>
            <w:r>
              <w:t xml:space="preserve">clinical</w:t>
            </w:r>
          </w:p>
        </w:tc>
        <w:tc>
          <w:tcPr/>
          <w:p>
            <w:pPr>
              <w:pStyle w:val="Compact"/>
            </w:pPr>
            <w:r>
              <w:t xml:space="preserve">GRCh38</w:t>
            </w:r>
          </w:p>
        </w:tc>
        <w:tc>
          <w:tcPr/>
          <w:p>
            <w:pPr>
              <w:pStyle w:val="Compact"/>
            </w:pPr>
            <w:r>
              <w:t xml:space="preserve">WGS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2.54-fold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fastVEP</w:t>
            </w:r>
          </w:p>
        </w:tc>
        <w:tc>
          <w:tcPr/>
          <w:p>
            <w:pPr>
              <w:pStyle w:val="Compact"/>
            </w:pPr>
            <w:r>
              <w:t xml:space="preserve">clinical</w:t>
            </w:r>
          </w:p>
        </w:tc>
        <w:tc>
          <w:tcPr/>
          <w:p>
            <w:pPr>
              <w:pStyle w:val="Compact"/>
            </w:pPr>
            <w:r>
              <w:t xml:space="preserve">GRCh37</w:t>
            </w:r>
          </w:p>
        </w:tc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0.41-fold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fastVEP</w:t>
            </w:r>
          </w:p>
        </w:tc>
        <w:tc>
          <w:tcPr/>
          <w:p>
            <w:pPr>
              <w:pStyle w:val="Compact"/>
            </w:pPr>
            <w:r>
              <w:t xml:space="preserve">clinical</w:t>
            </w:r>
          </w:p>
        </w:tc>
        <w:tc>
          <w:tcPr/>
          <w:p>
            <w:pPr>
              <w:pStyle w:val="Compact"/>
            </w:pPr>
            <w:r>
              <w:t xml:space="preserve">GRCh37</w:t>
            </w:r>
          </w:p>
        </w:tc>
        <w:tc>
          <w:tcPr/>
          <w:p>
            <w:pPr>
              <w:pStyle w:val="Compact"/>
            </w:pPr>
            <w:r>
              <w:t xml:space="preserve">WES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1.02-fold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fastVEP</w:t>
            </w:r>
          </w:p>
        </w:tc>
        <w:tc>
          <w:tcPr/>
          <w:p>
            <w:pPr>
              <w:pStyle w:val="Compact"/>
            </w:pPr>
            <w:r>
              <w:t xml:space="preserve">clinical</w:t>
            </w:r>
          </w:p>
        </w:tc>
        <w:tc>
          <w:tcPr/>
          <w:p>
            <w:pPr>
              <w:pStyle w:val="Compact"/>
            </w:pPr>
            <w:r>
              <w:t xml:space="preserve">GRCh37</w:t>
            </w:r>
          </w:p>
        </w:tc>
        <w:tc>
          <w:tcPr/>
          <w:p>
            <w:pPr>
              <w:pStyle w:val="Compact"/>
            </w:pPr>
            <w:r>
              <w:t xml:space="preserve">WGS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1.70-fold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SnpEff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GRCh37</w:t>
            </w:r>
          </w:p>
        </w:tc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1.07-fold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SnpEff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GRCh37</w:t>
            </w:r>
          </w:p>
        </w:tc>
        <w:tc>
          <w:tcPr/>
          <w:p>
            <w:pPr>
              <w:pStyle w:val="Compact"/>
            </w:pPr>
            <w:r>
              <w:t xml:space="preserve">WES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1.16-fold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SnpEff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GRCh37</w:t>
            </w:r>
          </w:p>
        </w:tc>
        <w:tc>
          <w:tcPr/>
          <w:p>
            <w:pPr>
              <w:pStyle w:val="Compact"/>
            </w:pPr>
            <w:r>
              <w:t xml:space="preserve">WGS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4.46-fold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SnpEff</w:t>
            </w:r>
          </w:p>
        </w:tc>
        <w:tc>
          <w:tcPr/>
          <w:p>
            <w:pPr>
              <w:pStyle w:val="Compact"/>
            </w:pPr>
            <w:r>
              <w:t xml:space="preserve">clinical</w:t>
            </w:r>
          </w:p>
        </w:tc>
        <w:tc>
          <w:tcPr/>
          <w:p>
            <w:pPr>
              <w:pStyle w:val="Compact"/>
            </w:pPr>
            <w:r>
              <w:t xml:space="preserve">GRCh38</w:t>
            </w:r>
          </w:p>
        </w:tc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1.06-fold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SnpEff</w:t>
            </w:r>
          </w:p>
        </w:tc>
        <w:tc>
          <w:tcPr/>
          <w:p>
            <w:pPr>
              <w:pStyle w:val="Compact"/>
            </w:pPr>
            <w:r>
              <w:t xml:space="preserve">clinical</w:t>
            </w:r>
          </w:p>
        </w:tc>
        <w:tc>
          <w:tcPr/>
          <w:p>
            <w:pPr>
              <w:pStyle w:val="Compact"/>
            </w:pPr>
            <w:r>
              <w:t xml:space="preserve">GRCh38</w:t>
            </w:r>
          </w:p>
        </w:tc>
        <w:tc>
          <w:tcPr/>
          <w:p>
            <w:pPr>
              <w:pStyle w:val="Compact"/>
            </w:pPr>
            <w:r>
              <w:t xml:space="preserve">WES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2.66-fold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SnpEff</w:t>
            </w:r>
          </w:p>
        </w:tc>
        <w:tc>
          <w:tcPr/>
          <w:p>
            <w:pPr>
              <w:pStyle w:val="Compact"/>
            </w:pPr>
            <w:r>
              <w:t xml:space="preserve">clinical</w:t>
            </w:r>
          </w:p>
        </w:tc>
        <w:tc>
          <w:tcPr/>
          <w:p>
            <w:pPr>
              <w:pStyle w:val="Compact"/>
            </w:pPr>
            <w:r>
              <w:t xml:space="preserve">GRCh38</w:t>
            </w:r>
          </w:p>
        </w:tc>
        <w:tc>
          <w:tcPr/>
          <w:p>
            <w:pPr>
              <w:pStyle w:val="Compact"/>
            </w:pPr>
            <w:r>
              <w:t xml:space="preserve">WGS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10.78-fold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SnpEff</w:t>
            </w:r>
          </w:p>
        </w:tc>
        <w:tc>
          <w:tcPr/>
          <w:p>
            <w:pPr>
              <w:pStyle w:val="Compact"/>
            </w:pPr>
            <w:r>
              <w:t xml:space="preserve">clinical</w:t>
            </w:r>
          </w:p>
        </w:tc>
        <w:tc>
          <w:tcPr/>
          <w:p>
            <w:pPr>
              <w:pStyle w:val="Compact"/>
            </w:pPr>
            <w:r>
              <w:t xml:space="preserve">GRCh37</w:t>
            </w:r>
          </w:p>
        </w:tc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1.03-fold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SnpEff</w:t>
            </w:r>
          </w:p>
        </w:tc>
        <w:tc>
          <w:tcPr/>
          <w:p>
            <w:pPr>
              <w:pStyle w:val="Compact"/>
            </w:pPr>
            <w:r>
              <w:t xml:space="preserve">clinical</w:t>
            </w:r>
          </w:p>
        </w:tc>
        <w:tc>
          <w:tcPr/>
          <w:p>
            <w:pPr>
              <w:pStyle w:val="Compact"/>
            </w:pPr>
            <w:r>
              <w:t xml:space="preserve">GRCh37</w:t>
            </w:r>
          </w:p>
        </w:tc>
        <w:tc>
          <w:tcPr/>
          <w:p>
            <w:pPr>
              <w:pStyle w:val="Compact"/>
            </w:pPr>
            <w:r>
              <w:t xml:space="preserve">WES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3.62-fold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SnpEff</w:t>
            </w:r>
          </w:p>
        </w:tc>
        <w:tc>
          <w:tcPr/>
          <w:p>
            <w:pPr>
              <w:pStyle w:val="Compact"/>
            </w:pPr>
            <w:r>
              <w:t xml:space="preserve">clinical</w:t>
            </w:r>
          </w:p>
        </w:tc>
        <w:tc>
          <w:tcPr/>
          <w:p>
            <w:pPr>
              <w:pStyle w:val="Compact"/>
            </w:pPr>
            <w:r>
              <w:t xml:space="preserve">GRCh37</w:t>
            </w:r>
          </w:p>
        </w:tc>
        <w:tc>
          <w:tcPr/>
          <w:p>
            <w:pPr>
              <w:pStyle w:val="Compact"/>
            </w:pPr>
            <w:r>
              <w:t xml:space="preserve">WGS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12.31-fold</w:t>
            </w:r>
          </w:p>
        </w:tc>
      </w:tr>
    </w:tbl>
    <w:p>
      <w:pPr>
        <w:pStyle w:val="BodyText"/>
      </w:pPr>
      <w:r>
        <w:t xml:space="preserve">Panels were at or below practical break-even. Every whole-genome recipe</w:t>
      </w:r>
      <w:r>
        <w:t xml:space="preserve"> </w:t>
      </w:r>
      <w:r>
        <w:t xml:space="preserve">benefited, while clinical SnpEff also benefited materially for exomes. On the</w:t>
      </w:r>
      <w:r>
        <w:t xml:space="preserve"> </w:t>
      </w:r>
      <w:r>
        <w:t xml:space="preserve">same GRCh37 inputs, adding clinical lookups increased median speedup from 1.16-</w:t>
      </w:r>
      <w:r>
        <w:t xml:space="preserve"> </w:t>
      </w:r>
      <w:r>
        <w:t xml:space="preserve">to 3.62-fold for WES and from 4.46- to 12.31-fold for WGS. This supports the</w:t>
      </w:r>
      <w:r>
        <w:t xml:space="preserve"> </w:t>
      </w:r>
      <w:r>
        <w:t xml:space="preserve">runtime model’s central prediction: cache reuse becomes more valuable as the</w:t>
      </w:r>
      <w:r>
        <w:t xml:space="preserve"> </w:t>
      </w:r>
      <w:r>
        <w:t xml:space="preserve">recoverable work performed for each variant increases.</w:t>
      </w:r>
    </w:p>
    <w:bookmarkEnd w:id="94"/>
    <w:bookmarkEnd w:id="95"/>
    <w:bookmarkStart w:id="105" w:name="supplementary-figures"/>
    <w:p>
      <w:pPr>
        <w:pStyle w:val="Heading1"/>
      </w:pPr>
      <w:r>
        <w:t xml:space="preserve">Supplementary Figures</w:t>
      </w:r>
    </w:p>
    <w:p>
      <w:pPr>
        <w:pStyle w:val="FirstParagraph"/>
      </w:pPr>
      <w:r>
        <w:drawing>
          <wp:inline>
            <wp:extent cx="5334000" cy="5408083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supplement/figures/supplementary_figure1_external_wgs_v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8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Supplementary Figure 1: Cache coverage and wall time returned across 52</w:t>
      </w:r>
      <w:r>
        <w:rPr>
          <w:b/>
          <w:bCs/>
        </w:rPr>
        <w:t xml:space="preserve"> </w:t>
      </w:r>
      <w:r>
        <w:rPr>
          <w:b/>
          <w:bCs/>
        </w:rPr>
        <w:t xml:space="preserve">independent WGS samples.</w:t>
      </w:r>
      <w:r>
        <w:t xml:space="preserve"> </w:t>
      </w:r>
      <w:r>
        <w:t xml:space="preserve">Each symbol represents one evaluation genome; black</w:t>
      </w:r>
      <w:r>
        <w:t xml:space="preserve"> </w:t>
      </w:r>
      <w:r>
        <w:t xml:space="preserve">horizontal marks denote medians. Colour and shape both identify the provider</w:t>
      </w:r>
      <w:r>
        <w:t xml:space="preserve"> </w:t>
      </w:r>
      <w:r>
        <w:t xml:space="preserve">cohort. (A) Proportion of input variants found in each cache strategy. Cache</w:t>
      </w:r>
      <w:r>
        <w:t xml:space="preserve"> </w:t>
      </w:r>
      <w:r>
        <w:t xml:space="preserve">membership is annotator-independent, so each genome is shown once. (B)</w:t>
      </w:r>
      <w:r>
        <w:t xml:space="preserve"> </w:t>
      </w:r>
      <w:r>
        <w:t xml:space="preserve">Percentage of end-to-end wall time saved with VEP 115.2 and fastVEP 0.3.0.</w:t>
      </w:r>
      <w:r>
        <w:t xml:space="preserve"> </w:t>
      </w:r>
      <w:r>
        <w:t xml:space="preserve">Public caches were downloaded from Zenodo. Cohort caches were constructed from</w:t>
      </w:r>
      <w:r>
        <w:t xml:space="preserve"> </w:t>
      </w:r>
      <w:r>
        <w:t xml:space="preserve">three provider-specific genomes disjoint from evaluation. AF, allele</w:t>
      </w:r>
      <w:r>
        <w:t xml:space="preserve"> </w:t>
      </w:r>
      <w:r>
        <w:t xml:space="preserve">frequency; KPGP, Korean Personal Genome Project; PGP, Harvard Personal Genome</w:t>
      </w:r>
      <w:r>
        <w:t xml:space="preserve"> </w:t>
      </w:r>
      <w:r>
        <w:t xml:space="preserve">Project; SGDP, Simons Genome Diversity Project; VEP, Variant Effect Predictor;</w:t>
      </w:r>
      <w:r>
        <w:t xml:space="preserve"> </w:t>
      </w:r>
      <w:r>
        <w:t xml:space="preserve">WGS, whole-genome sequencing.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supplement/figures/supplementary_figure2_fastvep_cpu_complexity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Supplementary Figure 2: CPU availability does not eliminate annotation-reuse</w:t>
      </w:r>
      <w:r>
        <w:rPr>
          <w:b/>
          <w:bCs/>
        </w:rPr>
        <w:t xml:space="preserve"> </w:t>
      </w:r>
      <w:r>
        <w:rPr>
          <w:b/>
          <w:bCs/>
        </w:rPr>
        <w:t xml:space="preserve">benefit in fastVEP.</w:t>
      </w:r>
      <w:r>
        <w:t xml:space="preserve"> </w:t>
      </w:r>
      <w:r>
        <w:t xml:space="preserve">The same held-out 4.80-million-variant KPGP genome was</w:t>
      </w:r>
      <w:r>
        <w:t xml:space="preserve"> </w:t>
      </w:r>
      <w:r>
        <w:t xml:space="preserve">processed using the core consequence recipe and an engineering stress recipe</w:t>
      </w:r>
      <w:r>
        <w:t xml:space="preserve"> </w:t>
      </w:r>
      <w:r>
        <w:t xml:space="preserve">containing ten supplementary databases. A controlled cache constructed only</w:t>
      </w:r>
      <w:r>
        <w:t xml:space="preserve"> </w:t>
      </w:r>
      <w:r>
        <w:t xml:space="preserve">from the corresponding direct annotations fixed cache coverage at approximately</w:t>
      </w:r>
      <w:r>
        <w:t xml:space="preserve"> </w:t>
      </w:r>
      <w:r>
        <w:t xml:space="preserve">90%; it was used to isolate the interaction between annotation work and CPU</w:t>
      </w:r>
      <w:r>
        <w:t xml:space="preserve"> </w:t>
      </w:r>
      <w:r>
        <w:t xml:space="preserve">availability, not to estimate biological cache coverage. Process-wide CPU</w:t>
      </w:r>
      <w:r>
        <w:t xml:space="preserve"> </w:t>
      </w:r>
      <w:r>
        <w:t xml:space="preserve">affinity was restricted to 1, 10 or 32 CPUs for the core recipe and to 10 or</w:t>
      </w:r>
      <w:r>
        <w:t xml:space="preserve"> </w:t>
      </w:r>
      <w:r>
        <w:t xml:space="preserve">32 CPUs for the dense recipe, enabling direct comparison of dense fastVEP at</w:t>
      </w:r>
      <w:r>
        <w:t xml:space="preserve"> </w:t>
      </w:r>
      <w:r>
        <w:t xml:space="preserve">10 CPUs with core fastVEP at one CPU. (A) End-to-end runtime for direct</w:t>
      </w:r>
      <w:r>
        <w:t xml:space="preserve"> </w:t>
      </w:r>
      <w:r>
        <w:t xml:space="preserve">fastVEP and VCFcache. (B) Speedup over direct fastVEP at the same CPU limit.</w:t>
      </w:r>
      <w:r>
        <w:t xml:space="preserve"> </w:t>
      </w:r>
      <w:r>
        <w:t xml:space="preserve">Each retained cell was run once and each cached output passed strict</w:t>
      </w:r>
      <w:r>
        <w:t xml:space="preserve"> </w:t>
      </w:r>
      <w:r>
        <w:t xml:space="preserve">complete-record comparison with its direct counterpart. KPGP, Korean Personal</w:t>
      </w:r>
      <w:r>
        <w:t xml:space="preserve"> </w:t>
      </w:r>
      <w:r>
        <w:t xml:space="preserve">Genome Project; VCF, variant call format; VCFcache, cached annotation workflow;</w:t>
      </w:r>
      <w:r>
        <w:t xml:space="preserve"> </w:t>
      </w:r>
      <w:r>
        <w:t xml:space="preserve">WGS, whole-genome sequencing.</w:t>
      </w:r>
    </w:p>
    <w:p>
      <w:pPr>
        <w:pStyle w:val="BodyText"/>
      </w:pPr>
      <w:r>
        <w:drawing>
          <wp:inline>
            <wp:extent cx="5334000" cy="444500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supplement/figures/v4/supplementary_figure3_annotation_load_fidelity_v4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Supplementary Figure 3: Annotation load increases reuse benefit without a</w:t>
      </w:r>
      <w:r>
        <w:rPr>
          <w:b/>
          <w:bCs/>
        </w:rPr>
        <w:t xml:space="preserve"> </w:t>
      </w:r>
      <w:r>
        <w:rPr>
          <w:b/>
          <w:bCs/>
        </w:rPr>
        <w:t xml:space="preserve">cache-attributable change in output.</w:t>
      </w:r>
      <w:r>
        <w:t xml:space="preserve"> </w:t>
      </w:r>
      <w:r>
        <w:t xml:space="preserve">(A) Paired SnpEff speedups for core and</w:t>
      </w:r>
      <w:r>
        <w:t xml:space="preserve"> </w:t>
      </w:r>
      <w:r>
        <w:t xml:space="preserve">clinical recipes on the same GRCh37 PGP samples. Lines connect identical</w:t>
      </w:r>
      <w:r>
        <w:t xml:space="preserve"> </w:t>
      </w:r>
      <w:r>
        <w:t xml:space="preserve">samples; the dashed line marks equal runtime. The documented warning-only</w:t>
      </w:r>
      <w:r>
        <w:t xml:space="preserve"> </w:t>
      </w:r>
      <w:r>
        <w:t xml:space="preserve">sample was excluded before inference for WES and WGS. (B) Of 180 direct/cached</w:t>
      </w:r>
      <w:r>
        <w:t xml:space="preserve"> </w:t>
      </w:r>
      <w:r>
        <w:t xml:space="preserve">cells in the final clinical campaign, 176 were eligible and semantically</w:t>
      </w:r>
      <w:r>
        <w:t xml:space="preserve"> </w:t>
      </w:r>
      <w:r>
        <w:t xml:space="preserve">concordant. Four SnpEff cells were excluded because direct SnpEff itself changed</w:t>
      </w:r>
      <w:r>
        <w:t xml:space="preserve"> </w:t>
      </w:r>
      <w:r>
        <w:t xml:space="preserve">output with input order; these are not counted as evidence for or against</w:t>
      </w:r>
      <w:r>
        <w:t xml:space="preserve"> </w:t>
      </w:r>
      <w:r>
        <w:t xml:space="preserve">VCFcache. No eligible pair contained a cache-attributable mismatch. PGP,</w:t>
      </w:r>
      <w:r>
        <w:t xml:space="preserve"> </w:t>
      </w:r>
      <w:r>
        <w:t xml:space="preserve">Personal Genome Project; WES, whole-exome sequencing; WGS, whole-genome</w:t>
      </w:r>
      <w:r>
        <w:t xml:space="preserve"> </w:t>
      </w:r>
      <w:r>
        <w:t xml:space="preserve">sequencing.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jc w:val="both"/>
    </w:pPr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  <w:jc w:val="both"/>
    </w:pPr>
  </w:style>
  <w:style w:customStyle="1" w:styleId="FirstParagraph" w:type="paragraph">
    <w:pPr>
      <w:jc w:val="both"/>
    </w:pPr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jc w:val="both"/>
    </w:pPr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hyperlink" Id="rId62" Target="https://doi.org/10.1038/nature18964" TargetMode="External" /><Relationship Type="http://schemas.openxmlformats.org/officeDocument/2006/relationships/hyperlink" Id="rId68" Target="https://doi.org/10.1038/s41586-020-2308-7" TargetMode="External" /><Relationship Type="http://schemas.openxmlformats.org/officeDocument/2006/relationships/hyperlink" Id="rId64" Target="https://doi.org/10.1073/pnas.1201904109" TargetMode="External" /><Relationship Type="http://schemas.openxmlformats.org/officeDocument/2006/relationships/hyperlink" Id="rId58" Target="https://doi.org/10.1093/bioinformatics/btv112" TargetMode="External" /><Relationship Type="http://schemas.openxmlformats.org/officeDocument/2006/relationships/hyperlink" Id="rId76" Target="https://doi.org/10.1093/gigascience/giab008" TargetMode="External" /><Relationship Type="http://schemas.openxmlformats.org/officeDocument/2006/relationships/hyperlink" Id="rId56" Target="https://doi.org/10.1093/nar/gkac931" TargetMode="External" /><Relationship Type="http://schemas.openxmlformats.org/officeDocument/2006/relationships/hyperlink" Id="rId72" Target="https://doi.org/10.1101/gr.267997.120" TargetMode="External" /><Relationship Type="http://schemas.openxmlformats.org/officeDocument/2006/relationships/hyperlink" Id="rId54" Target="https://doi.org/10.1186/s13059-016-0973-5" TargetMode="External" /><Relationship Type="http://schemas.openxmlformats.org/officeDocument/2006/relationships/hyperlink" Id="rId50" Target="https://doi.org/10.1186/s13059-016-0974-4" TargetMode="External" /><Relationship Type="http://schemas.openxmlformats.org/officeDocument/2006/relationships/hyperlink" Id="rId74" Target="https://doi.org/10.1371/journal.pcbi.1003153" TargetMode="External" /><Relationship Type="http://schemas.openxmlformats.org/officeDocument/2006/relationships/hyperlink" Id="rId52" Target="https://doi.org/10.4161/fly.19695" TargetMode="External" /><Relationship Type="http://schemas.openxmlformats.org/officeDocument/2006/relationships/hyperlink" Id="rId78" Target="https://doi.org/10.5281/zenodo.18189447" TargetMode="External" /><Relationship Type="http://schemas.openxmlformats.org/officeDocument/2006/relationships/hyperlink" Id="rId80" Target="https://doi.org/10.5281/zenodo.18190046" TargetMode="External" /><Relationship Type="http://schemas.openxmlformats.org/officeDocument/2006/relationships/hyperlink" Id="rId70" Target="https://github.com/Ensembl/ensembl-vep/issues/1959" TargetMode="External" /><Relationship Type="http://schemas.openxmlformats.org/officeDocument/2006/relationships/hyperlink" Id="rId66" Target="https://gnomad.broadinstitute.org/news/2024-04-gnomad-v4-1" TargetMode="External" /><Relationship Type="http://schemas.openxmlformats.org/officeDocument/2006/relationships/hyperlink" Id="rId60" Target="https://koreangenome.org/Korean_Personal_Genome_Projec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doi.org/10.1038/nature18964" TargetMode="External" /><Relationship Type="http://schemas.openxmlformats.org/officeDocument/2006/relationships/hyperlink" Id="rId68" Target="https://doi.org/10.1038/s41586-020-2308-7" TargetMode="External" /><Relationship Type="http://schemas.openxmlformats.org/officeDocument/2006/relationships/hyperlink" Id="rId64" Target="https://doi.org/10.1073/pnas.1201904109" TargetMode="External" /><Relationship Type="http://schemas.openxmlformats.org/officeDocument/2006/relationships/hyperlink" Id="rId58" Target="https://doi.org/10.1093/bioinformatics/btv112" TargetMode="External" /><Relationship Type="http://schemas.openxmlformats.org/officeDocument/2006/relationships/hyperlink" Id="rId76" Target="https://doi.org/10.1093/gigascience/giab008" TargetMode="External" /><Relationship Type="http://schemas.openxmlformats.org/officeDocument/2006/relationships/hyperlink" Id="rId56" Target="https://doi.org/10.1093/nar/gkac931" TargetMode="External" /><Relationship Type="http://schemas.openxmlformats.org/officeDocument/2006/relationships/hyperlink" Id="rId72" Target="https://doi.org/10.1101/gr.267997.120" TargetMode="External" /><Relationship Type="http://schemas.openxmlformats.org/officeDocument/2006/relationships/hyperlink" Id="rId54" Target="https://doi.org/10.1186/s13059-016-0973-5" TargetMode="External" /><Relationship Type="http://schemas.openxmlformats.org/officeDocument/2006/relationships/hyperlink" Id="rId50" Target="https://doi.org/10.1186/s13059-016-0974-4" TargetMode="External" /><Relationship Type="http://schemas.openxmlformats.org/officeDocument/2006/relationships/hyperlink" Id="rId74" Target="https://doi.org/10.1371/journal.pcbi.1003153" TargetMode="External" /><Relationship Type="http://schemas.openxmlformats.org/officeDocument/2006/relationships/hyperlink" Id="rId52" Target="https://doi.org/10.4161/fly.19695" TargetMode="External" /><Relationship Type="http://schemas.openxmlformats.org/officeDocument/2006/relationships/hyperlink" Id="rId78" Target="https://doi.org/10.5281/zenodo.18189447" TargetMode="External" /><Relationship Type="http://schemas.openxmlformats.org/officeDocument/2006/relationships/hyperlink" Id="rId80" Target="https://doi.org/10.5281/zenodo.18190046" TargetMode="External" /><Relationship Type="http://schemas.openxmlformats.org/officeDocument/2006/relationships/hyperlink" Id="rId70" Target="https://github.com/Ensembl/ensembl-vep/issues/1959" TargetMode="External" /><Relationship Type="http://schemas.openxmlformats.org/officeDocument/2006/relationships/hyperlink" Id="rId66" Target="https://gnomad.broadinstitute.org/news/2024-04-gnomad-v4-1" TargetMode="External" /><Relationship Type="http://schemas.openxmlformats.org/officeDocument/2006/relationships/hyperlink" Id="rId60" Target="https://koreangenome.org/Korean_Personal_Genome_Projec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VCFcache reduces redundant computation in repeated variant annotation</dc:title>
  <dc:creator>[AUTHOR LIST TO COMPLETE]</dc:creator>
  <dc:language>en-GB</dc:language>
  <cp:keywords>variant annotation, VCF, caching, VEP, fastVEP, SnpEff, reproducible bioinformatics</cp:keywords>
  <dcterms:created xsi:type="dcterms:W3CDTF">2026-09-09T13:36:25Z</dcterms:created>
  <dcterms:modified xsi:type="dcterms:W3CDTF">2026-09-09T13:36:25Z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olorlinks">
    <vt:lpwstr>True</vt:lpwstr>
  </property>
  <property fmtid="{D5CDD505-2E9C-101B-9397-08002B2CF9AE}" pid="4" name="csl">
    <vt:lpwstr>styles/gigascience.csl</vt:lpwstr>
  </property>
  <property fmtid="{D5CDD505-2E9C-101B-9397-08002B2CF9AE}" pid="5" name="date">
    <vt:lpwstr>2026-09-09</vt:lpwstr>
  </property>
  <property fmtid="{D5CDD505-2E9C-101B-9397-08002B2CF9AE}" pid="6" name="fontsize">
    <vt:lpwstr>11pt</vt:lpwstr>
  </property>
  <property fmtid="{D5CDD505-2E9C-101B-9397-08002B2CF9AE}" pid="7" name="geometry">
    <vt:lpwstr>margin=25mm</vt:lpwstr>
  </property>
  <property fmtid="{D5CDD505-2E9C-101B-9397-08002B2CF9AE}" pid="8" name="link-citations">
    <vt:lpwstr>True</vt:lpwstr>
  </property>
  <property fmtid="{D5CDD505-2E9C-101B-9397-08002B2CF9AE}" pid="9" name="subtitle">
    <vt:lpwstr>Technical Note</vt:lpwstr>
  </property>
</Properties>
</file>