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A2F10" w14:textId="77777777" w:rsidR="00254999" w:rsidRDefault="00000000">
      <w:pPr>
        <w:spacing w:before="2800" w:after="400"/>
        <w:jc w:val="center"/>
      </w:pPr>
      <w:r>
        <w:rPr>
          <w:b/>
          <w:bCs/>
          <w:sz w:val="32"/>
          <w:szCs w:val="32"/>
        </w:rPr>
        <w:t>Marketing Analytics: Customer Segmentation,</w:t>
      </w:r>
    </w:p>
    <w:p w14:paraId="1C0C42B2" w14:textId="77777777" w:rsidR="00254999" w:rsidRDefault="00000000">
      <w:pPr>
        <w:spacing w:after="800"/>
        <w:jc w:val="center"/>
      </w:pPr>
      <w:r>
        <w:rPr>
          <w:b/>
          <w:bCs/>
          <w:sz w:val="32"/>
          <w:szCs w:val="32"/>
        </w:rPr>
        <w:t>Revenue Prediction, and Churn Analysis for Vibrent</w:t>
      </w:r>
    </w:p>
    <w:p w14:paraId="1D6774E4" w14:textId="77777777" w:rsidR="00254999" w:rsidRDefault="00000000">
      <w:pPr>
        <w:spacing w:after="400"/>
        <w:jc w:val="center"/>
      </w:pPr>
      <w:r>
        <w:rPr>
          <w:sz w:val="26"/>
          <w:szCs w:val="26"/>
        </w:rPr>
        <w:t>Semester Project</w:t>
      </w:r>
    </w:p>
    <w:p w14:paraId="24FC1A95" w14:textId="77777777" w:rsidR="00254999" w:rsidRDefault="00000000">
      <w:pPr>
        <w:spacing w:after="200"/>
        <w:jc w:val="center"/>
      </w:pPr>
      <w:r>
        <w:t>Technology Marketing</w:t>
      </w:r>
    </w:p>
    <w:p w14:paraId="7694921A" w14:textId="77777777" w:rsidR="00254999" w:rsidRDefault="00000000">
      <w:pPr>
        <w:spacing w:after="800"/>
        <w:jc w:val="center"/>
      </w:pPr>
      <w:r>
        <w:t>ETH Zürich</w:t>
      </w:r>
    </w:p>
    <w:p w14:paraId="3CB5F6B1" w14:textId="77777777" w:rsidR="00254999" w:rsidRDefault="00000000">
      <w:pPr>
        <w:spacing w:after="200"/>
        <w:jc w:val="center"/>
      </w:pPr>
      <w:r>
        <w:t>Supervisor: PD Dr. Sebastian Tillmanns</w:t>
      </w:r>
    </w:p>
    <w:p w14:paraId="2BC5B8E5" w14:textId="3268319B" w:rsidR="00254999" w:rsidRDefault="009313B7">
      <w:pPr>
        <w:spacing w:after="800"/>
        <w:jc w:val="center"/>
      </w:pPr>
      <w:r>
        <w:t>Teaching Assistant</w:t>
      </w:r>
      <w:r w:rsidR="00000000">
        <w:t>: Daniel Schoess</w:t>
      </w:r>
    </w:p>
    <w:p w14:paraId="5B5305CD" w14:textId="77777777" w:rsidR="00254999" w:rsidRDefault="00000000">
      <w:pPr>
        <w:spacing w:after="200"/>
        <w:jc w:val="center"/>
      </w:pPr>
      <w:r>
        <w:t>Submitted by:</w:t>
      </w:r>
    </w:p>
    <w:p w14:paraId="177DB9C5" w14:textId="4F119A55" w:rsidR="009313B7" w:rsidRDefault="009313B7">
      <w:pPr>
        <w:spacing w:after="200"/>
        <w:jc w:val="center"/>
      </w:pPr>
      <w:r>
        <w:t>Group Nr. 2</w:t>
      </w:r>
    </w:p>
    <w:p w14:paraId="1B1276CC" w14:textId="29B476CA" w:rsidR="00254999" w:rsidRDefault="009313B7">
      <w:pPr>
        <w:spacing w:after="200"/>
        <w:jc w:val="center"/>
      </w:pPr>
      <w:r>
        <w:t xml:space="preserve">Constantin Cimpoes – </w:t>
      </w:r>
      <w:r w:rsidR="00000000">
        <w:t>Matr.Nr.</w:t>
      </w:r>
    </w:p>
    <w:p w14:paraId="52CA2242" w14:textId="2ACBF8A1" w:rsidR="00254999" w:rsidRDefault="009313B7" w:rsidP="009313B7">
      <w:pPr>
        <w:spacing w:after="200"/>
        <w:jc w:val="center"/>
      </w:pPr>
      <w:r>
        <w:t xml:space="preserve">Julius Voß – </w:t>
      </w:r>
      <w:r w:rsidR="00000000">
        <w:t>Matr.Nr.</w:t>
      </w:r>
      <w:r>
        <w:t xml:space="preserve"> 25-935-610</w:t>
      </w:r>
    </w:p>
    <w:p w14:paraId="2F9120E2" w14:textId="77777777" w:rsidR="00254999" w:rsidRDefault="00000000">
      <w:pPr>
        <w:spacing w:before="400" w:after="200"/>
        <w:jc w:val="center"/>
      </w:pPr>
      <w:r>
        <w:t>Date of Submission: April 26, 2026</w:t>
      </w:r>
    </w:p>
    <w:p w14:paraId="6DA74EF2" w14:textId="77777777" w:rsidR="00254999" w:rsidRDefault="00254999">
      <w:pPr>
        <w:sectPr w:rsidR="00254999">
          <w:pgSz w:w="11906" w:h="16838"/>
          <w:pgMar w:top="1418" w:right="1418" w:bottom="1418" w:left="2268" w:header="708" w:footer="708" w:gutter="0"/>
          <w:cols w:space="720"/>
          <w:docGrid w:linePitch="360"/>
        </w:sectPr>
      </w:pPr>
    </w:p>
    <w:p w14:paraId="468C99BE" w14:textId="77777777" w:rsidR="00254999" w:rsidRDefault="00000000">
      <w:pPr>
        <w:spacing w:after="240" w:line="360" w:lineRule="auto"/>
        <w:jc w:val="center"/>
      </w:pPr>
      <w:r>
        <w:rPr>
          <w:b/>
          <w:bCs/>
          <w:sz w:val="28"/>
          <w:szCs w:val="28"/>
        </w:rPr>
        <w:lastRenderedPageBreak/>
        <w:t>Abstract</w:t>
      </w:r>
    </w:p>
    <w:p w14:paraId="1AF2E35F" w14:textId="77777777" w:rsidR="00254999" w:rsidRDefault="00000000">
      <w:pPr>
        <w:spacing w:after="160" w:line="360" w:lineRule="auto"/>
        <w:jc w:val="both"/>
      </w:pPr>
      <w:r>
        <w:t>This study develops an end-to-end marketing analytics pipeline for Vibrent, a Norwegian fashion rental company operating in the subscription-based circular economy. Using historical rental transaction data from April 2020 to September 2023, multimodal product embeddings, and a product catalog of 15,649 garments, the analysis addresses three interdependent tasks: product segmentation, customer revenue prediction, and churn identification.</w:t>
      </w:r>
    </w:p>
    <w:p w14:paraId="730962B7" w14:textId="5238145F" w:rsidR="00254999" w:rsidRDefault="00000000">
      <w:pPr>
        <w:spacing w:after="160" w:line="360" w:lineRule="auto"/>
        <w:jc w:val="both"/>
      </w:pPr>
      <w:r>
        <w:t xml:space="preserve">For product segmentation, Voyage Multimodal 3.5 embeddings reduced via UMAP and clustered using K-Means (k = 8) yield eight semantically coherent product segments. Business profiling of these segments reveals that Bags &amp; Accessories is a supply-constrained white space with a revenue-per-item figure of 10,139 NOK </w:t>
      </w:r>
      <w:r w:rsidR="00A31865">
        <w:t>which is</w:t>
      </w:r>
      <w:r>
        <w:t xml:space="preserve"> nearly double that of the next highest category and a utilization rate 71 percent above the catalog average. Occasion-driven categories consistently outperform everyday basics on all efficiency metrics, and customer affinity analysis demonstrates that style diversity rather than style preference distinguishes loyal from at-risk customers.</w:t>
      </w:r>
    </w:p>
    <w:p w14:paraId="4A1CF0F4" w14:textId="27FBB220" w:rsidR="00254999" w:rsidRDefault="00000000">
      <w:pPr>
        <w:spacing w:after="160" w:line="360" w:lineRule="auto"/>
        <w:jc w:val="both"/>
      </w:pPr>
      <w:r>
        <w:t xml:space="preserve">For revenue prediction, a LightGBM model with an enriched feature set integrating RFM metrics, temporal behavioral features, and product cluster affinity features derived from the segmentation achieves a training fold MAE of 3,073 NOK and a test fold MAE of 12,860 NOK. Feature importance analysis confirms that style entropy </w:t>
      </w:r>
      <w:r w:rsidR="00A31865">
        <w:t>(</w:t>
      </w:r>
      <w:r>
        <w:t>a direct operationalization of the style diversity hypothesis</w:t>
      </w:r>
      <w:r w:rsidR="00A31865">
        <w:t>)</w:t>
      </w:r>
      <w:r>
        <w:t xml:space="preserve"> ranks eighth among all predictors, empirically validating the integration of product intelligence into customer-level prediction. Churn prediction is planned as a subsequent step using the same feature engineering infrastructure.</w:t>
      </w:r>
    </w:p>
    <w:p w14:paraId="53549ED3" w14:textId="77777777" w:rsidR="00254999" w:rsidRDefault="00000000">
      <w:pPr>
        <w:spacing w:after="160" w:line="360" w:lineRule="auto"/>
        <w:jc w:val="both"/>
      </w:pPr>
      <w:r>
        <w:t>The central methodological contribution is the demonstrated integration of multimodal product segmentation into customer-level predictive models, providing both stronger predictions and richer business interpretability than conventional transactional approaches. Managerial implications include targeted inventory expansion in the Bags &amp; Accessories category, assortment reallocation away from everyday basics, and onboarding strategies designed to increase style diversity engagement among new customers.</w:t>
      </w:r>
    </w:p>
    <w:p w14:paraId="705DEADA" w14:textId="77777777" w:rsidR="00254999" w:rsidRDefault="00000000">
      <w:r>
        <w:br w:type="page"/>
      </w:r>
    </w:p>
    <w:p w14:paraId="5E07A41B" w14:textId="77777777" w:rsidR="00254999" w:rsidRDefault="00000000">
      <w:pPr>
        <w:spacing w:after="240" w:line="360" w:lineRule="auto"/>
        <w:jc w:val="center"/>
      </w:pPr>
      <w:r>
        <w:rPr>
          <w:b/>
          <w:bCs/>
          <w:sz w:val="28"/>
          <w:szCs w:val="28"/>
        </w:rPr>
        <w:lastRenderedPageBreak/>
        <w:t>Table of Contents</w:t>
      </w:r>
    </w:p>
    <w:p w14:paraId="662F83D6" w14:textId="77777777" w:rsidR="00254999" w:rsidRDefault="00000000">
      <w:pPr>
        <w:spacing w:after="160" w:line="360" w:lineRule="auto"/>
        <w:jc w:val="both"/>
      </w:pPr>
      <w:r>
        <w:rPr>
          <w:i/>
          <w:iCs/>
          <w:color w:val="888888"/>
        </w:rPr>
        <w:t>[Please update the Table of Contents field in Word: References → Update Table]</w:t>
      </w:r>
    </w:p>
    <w:sdt>
      <w:sdtPr>
        <w:alias w:val="Table of Contents"/>
        <w:id w:val="1523816674"/>
      </w:sdtPr>
      <w:sdtContent>
        <w:p w14:paraId="47E19563" w14:textId="77777777" w:rsidR="00254999" w:rsidRDefault="00000000">
          <w:r>
            <w:fldChar w:fldCharType="begin"/>
          </w:r>
          <w:r>
            <w:instrText>TOC \h \o "1-3"</w:instrText>
          </w:r>
          <w:r>
            <w:fldChar w:fldCharType="separate"/>
          </w:r>
        </w:p>
        <w:p w14:paraId="342CDF57" w14:textId="77777777" w:rsidR="00254999" w:rsidRDefault="00000000">
          <w:r>
            <w:fldChar w:fldCharType="end"/>
          </w:r>
        </w:p>
      </w:sdtContent>
    </w:sdt>
    <w:p w14:paraId="3880E76B" w14:textId="77777777" w:rsidR="00254999" w:rsidRDefault="00000000">
      <w:r>
        <w:br w:type="page"/>
      </w:r>
    </w:p>
    <w:p w14:paraId="443AD368" w14:textId="77777777" w:rsidR="00254999" w:rsidRDefault="00000000">
      <w:pPr>
        <w:spacing w:after="240" w:line="360" w:lineRule="auto"/>
        <w:jc w:val="center"/>
      </w:pPr>
      <w:r>
        <w:rPr>
          <w:b/>
          <w:bCs/>
          <w:sz w:val="28"/>
          <w:szCs w:val="28"/>
        </w:rPr>
        <w:lastRenderedPageBreak/>
        <w:t>List of Tables</w:t>
      </w:r>
    </w:p>
    <w:p w14:paraId="1FCD06F6" w14:textId="77777777" w:rsidR="00254999" w:rsidRDefault="00000000">
      <w:pPr>
        <w:spacing w:after="160" w:line="360" w:lineRule="auto"/>
        <w:jc w:val="both"/>
      </w:pPr>
      <w:r>
        <w:t>Table 1: Cluster overview — inventory size and median monthly rental price ............... 7</w:t>
      </w:r>
    </w:p>
    <w:p w14:paraId="1790DE77" w14:textId="77777777" w:rsidR="00254999" w:rsidRDefault="00000000">
      <w:pPr>
        <w:spacing w:after="160" w:line="360" w:lineRule="auto"/>
        <w:jc w:val="both"/>
      </w:pPr>
      <w:r>
        <w:t>Table 2: Revenue, utilization, and inventory efficiency by product cluster .................. 8</w:t>
      </w:r>
    </w:p>
    <w:p w14:paraId="2BB33F91" w14:textId="77777777" w:rsidR="00254999" w:rsidRDefault="00000000">
      <w:pPr>
        <w:spacing w:after="160" w:line="360" w:lineRule="auto"/>
        <w:jc w:val="both"/>
      </w:pPr>
      <w:r>
        <w:t>Table 3: Model performance comparison — training and test fold MAE ..................... 13</w:t>
      </w:r>
    </w:p>
    <w:p w14:paraId="169A6A55" w14:textId="77777777" w:rsidR="00254999" w:rsidRDefault="00000000">
      <w:r>
        <w:br w:type="page"/>
      </w:r>
    </w:p>
    <w:p w14:paraId="3CEDEB63" w14:textId="77777777" w:rsidR="00254999" w:rsidRDefault="00000000">
      <w:pPr>
        <w:spacing w:after="240" w:line="360" w:lineRule="auto"/>
        <w:jc w:val="center"/>
      </w:pPr>
      <w:r>
        <w:rPr>
          <w:b/>
          <w:bCs/>
          <w:sz w:val="28"/>
          <w:szCs w:val="28"/>
        </w:rPr>
        <w:lastRenderedPageBreak/>
        <w:t>List of Abbreviations</w:t>
      </w:r>
    </w:p>
    <w:p w14:paraId="0E6C0AC3" w14:textId="77777777" w:rsidR="00254999" w:rsidRDefault="00000000">
      <w:pPr>
        <w:spacing w:after="160" w:line="360" w:lineRule="auto"/>
        <w:jc w:val="both"/>
      </w:pPr>
      <w:r>
        <w:t>APA</w:t>
      </w:r>
      <w:r>
        <w:tab/>
      </w:r>
      <w:r>
        <w:tab/>
        <w:t>American Psychological Association</w:t>
      </w:r>
    </w:p>
    <w:p w14:paraId="61E58D7D" w14:textId="77777777" w:rsidR="00254999" w:rsidRDefault="00000000">
      <w:pPr>
        <w:spacing w:after="160" w:line="360" w:lineRule="auto"/>
        <w:jc w:val="both"/>
      </w:pPr>
      <w:r>
        <w:t>ARI</w:t>
      </w:r>
      <w:r>
        <w:tab/>
      </w:r>
      <w:r>
        <w:tab/>
        <w:t>Adjusted Rand Index</w:t>
      </w:r>
    </w:p>
    <w:p w14:paraId="3E71EC85" w14:textId="77777777" w:rsidR="00254999" w:rsidRDefault="00000000">
      <w:pPr>
        <w:spacing w:after="160" w:line="360" w:lineRule="auto"/>
        <w:jc w:val="both"/>
      </w:pPr>
      <w:r>
        <w:t>CLV</w:t>
      </w:r>
      <w:r>
        <w:tab/>
      </w:r>
      <w:r>
        <w:tab/>
        <w:t>Customer Lifetime Value</w:t>
      </w:r>
    </w:p>
    <w:p w14:paraId="338B8AAD" w14:textId="77777777" w:rsidR="00254999" w:rsidRDefault="00000000">
      <w:pPr>
        <w:spacing w:after="160" w:line="360" w:lineRule="auto"/>
        <w:jc w:val="both"/>
      </w:pPr>
      <w:r>
        <w:t>DXA</w:t>
      </w:r>
      <w:r>
        <w:tab/>
      </w:r>
      <w:r>
        <w:tab/>
        <w:t>Device-Independent Pixels (Word unit)</w:t>
      </w:r>
    </w:p>
    <w:p w14:paraId="0B53D8F5" w14:textId="77777777" w:rsidR="00254999" w:rsidRDefault="00000000">
      <w:pPr>
        <w:spacing w:after="160" w:line="360" w:lineRule="auto"/>
        <w:jc w:val="both"/>
      </w:pPr>
      <w:r>
        <w:t>GMM</w:t>
      </w:r>
      <w:r>
        <w:tab/>
      </w:r>
      <w:r>
        <w:tab/>
        <w:t>Gaussian Mixture Model</w:t>
      </w:r>
    </w:p>
    <w:p w14:paraId="2AB6D4C5" w14:textId="77777777" w:rsidR="00254999" w:rsidRDefault="00000000">
      <w:pPr>
        <w:spacing w:after="160" w:line="360" w:lineRule="auto"/>
        <w:jc w:val="both"/>
      </w:pPr>
      <w:r>
        <w:t>HDBSCAN</w:t>
      </w:r>
      <w:r>
        <w:tab/>
        <w:t>Hierarchical Density-Based Spatial Clustering of Applications with Noise</w:t>
      </w:r>
    </w:p>
    <w:p w14:paraId="430D5206" w14:textId="77777777" w:rsidR="00254999" w:rsidRDefault="00000000">
      <w:pPr>
        <w:spacing w:after="160" w:line="360" w:lineRule="auto"/>
        <w:jc w:val="both"/>
      </w:pPr>
      <w:r>
        <w:t>K-NN</w:t>
      </w:r>
      <w:r>
        <w:tab/>
      </w:r>
      <w:r>
        <w:tab/>
        <w:t>K-Nearest Neighbours</w:t>
      </w:r>
    </w:p>
    <w:p w14:paraId="71107C74" w14:textId="77777777" w:rsidR="00254999" w:rsidRDefault="00000000">
      <w:pPr>
        <w:spacing w:after="160" w:line="360" w:lineRule="auto"/>
        <w:jc w:val="both"/>
      </w:pPr>
      <w:r>
        <w:t>LightGBM</w:t>
      </w:r>
      <w:r>
        <w:tab/>
        <w:t>Light Gradient Boosting Machine</w:t>
      </w:r>
    </w:p>
    <w:p w14:paraId="20836AE6" w14:textId="77777777" w:rsidR="00254999" w:rsidRDefault="00000000">
      <w:pPr>
        <w:spacing w:after="160" w:line="360" w:lineRule="auto"/>
        <w:jc w:val="both"/>
      </w:pPr>
      <w:r>
        <w:t>MAE</w:t>
      </w:r>
      <w:r>
        <w:tab/>
      </w:r>
      <w:r>
        <w:tab/>
        <w:t>Mean Absolute Error</w:t>
      </w:r>
    </w:p>
    <w:p w14:paraId="6CA8BDA9" w14:textId="77777777" w:rsidR="00254999" w:rsidRDefault="00000000">
      <w:pPr>
        <w:spacing w:after="160" w:line="360" w:lineRule="auto"/>
        <w:jc w:val="both"/>
      </w:pPr>
      <w:r>
        <w:t>NOK</w:t>
      </w:r>
      <w:r>
        <w:tab/>
      </w:r>
      <w:r>
        <w:tab/>
        <w:t>Norwegian Krone</w:t>
      </w:r>
    </w:p>
    <w:p w14:paraId="208100DF" w14:textId="77777777" w:rsidR="00254999" w:rsidRDefault="00000000">
      <w:pPr>
        <w:spacing w:after="160" w:line="360" w:lineRule="auto"/>
        <w:jc w:val="both"/>
      </w:pPr>
      <w:r>
        <w:t>RFM</w:t>
      </w:r>
      <w:r>
        <w:tab/>
      </w:r>
      <w:r>
        <w:tab/>
        <w:t>Recency, Frequency, Monetary</w:t>
      </w:r>
    </w:p>
    <w:p w14:paraId="100B23E3" w14:textId="77777777" w:rsidR="00254999" w:rsidRDefault="00000000">
      <w:pPr>
        <w:spacing w:after="160" w:line="360" w:lineRule="auto"/>
        <w:jc w:val="both"/>
      </w:pPr>
      <w:r>
        <w:t>UMAP</w:t>
      </w:r>
      <w:r>
        <w:tab/>
      </w:r>
      <w:r>
        <w:tab/>
        <w:t>Uniform Manifold Approximation and Projection</w:t>
      </w:r>
    </w:p>
    <w:p w14:paraId="166C69C6" w14:textId="77777777" w:rsidR="00254999" w:rsidRDefault="00000000">
      <w:r>
        <w:br w:type="page"/>
      </w:r>
    </w:p>
    <w:p w14:paraId="58228E25" w14:textId="77777777" w:rsidR="00254999" w:rsidRDefault="00254999">
      <w:pPr>
        <w:sectPr w:rsidR="00254999">
          <w:footerReference w:type="default" r:id="rId7"/>
          <w:pgSz w:w="11906" w:h="16838"/>
          <w:pgMar w:top="1418" w:right="1418" w:bottom="1418" w:left="2268" w:header="708" w:footer="708" w:gutter="0"/>
          <w:cols w:space="720"/>
          <w:docGrid w:linePitch="360"/>
        </w:sectPr>
      </w:pPr>
    </w:p>
    <w:p w14:paraId="40B40AA4" w14:textId="77777777" w:rsidR="00254999" w:rsidRDefault="00000000">
      <w:pPr>
        <w:pStyle w:val="berschrift1"/>
      </w:pPr>
      <w:r>
        <w:lastRenderedPageBreak/>
        <w:t>1. Introduction</w:t>
      </w:r>
    </w:p>
    <w:p w14:paraId="56091051" w14:textId="77777777" w:rsidR="00254999" w:rsidRDefault="00000000">
      <w:pPr>
        <w:pStyle w:val="berschrift2"/>
      </w:pPr>
      <w:r>
        <w:t>1.1 Problem Statement</w:t>
      </w:r>
    </w:p>
    <w:p w14:paraId="34C3CBFE" w14:textId="77777777" w:rsidR="00254999" w:rsidRDefault="00000000">
      <w:pPr>
        <w:spacing w:after="160" w:line="360" w:lineRule="auto"/>
        <w:jc w:val="both"/>
      </w:pPr>
      <w:r>
        <w:t>The fashion industry accounts for approximately 10 percent of global carbon dioxide emissions and generates substantial textile waste, driven in large part by fast fashion consumption patterns (Ellen MacArthur Foundation, 2017). Fashion rental platforms represent a structural alternative to ownership, enabling consumers to access garments on a temporary basis and thereby reducing the need for individual ownership of infrequently worn items. Vibrent, formerly known as FJONG, is a Norwegian fashion rental platform operating in this circular economy context, offering customers access to garments through one-time spot rentals and monthly subscription plans.</w:t>
      </w:r>
    </w:p>
    <w:p w14:paraId="56759D93" w14:textId="704E8DF8" w:rsidR="00254999" w:rsidRDefault="00000000">
      <w:pPr>
        <w:spacing w:after="160" w:line="360" w:lineRule="auto"/>
        <w:jc w:val="both"/>
      </w:pPr>
      <w:r>
        <w:t>Despite the structural appeal of the rental model, fashion rental platforms face significant analytical challenges that conventional retail analytics do not fully address. Customer lifetime value in a rental context is determined not by discrete purchase events but by recurring behavioral patterns</w:t>
      </w:r>
      <w:r w:rsidR="00D53E8E">
        <w:t xml:space="preserve"> like</w:t>
      </w:r>
      <w:r>
        <w:t xml:space="preserve"> rental frequency, garment category preference, and duration choices that are inherently dynamic over time. At the same time, the product landscape of a fashion rental catalog is fundamentally different from a transactional retail assortment: the same physical item generates revenue each time it is rented, making utilization rate and category-level supply-demand balance strategically critical in ways that do not apply to single-sale retail.</w:t>
      </w:r>
    </w:p>
    <w:p w14:paraId="792AE31F" w14:textId="77777777" w:rsidR="00254999" w:rsidRDefault="00000000">
      <w:pPr>
        <w:spacing w:after="160" w:line="360" w:lineRule="auto"/>
        <w:jc w:val="both"/>
      </w:pPr>
      <w:r>
        <w:t>A key research gap in this domain is the integration of product-level intelligence into customer-level predictive models. Conventional customer lifetime value models, including the widely used Pareto/NBD framework (Fader et al., 2005) and its extensions, rely exclusively on transactional aggregates such as recency, frequency, and monetary value. They do not incorporate information about which types of products a customer tends to rent, whether that preference is narrow or broad, or how product category engagement correlates with retention and future spending. Multimodal AI embeddings now make it computationally feasible to construct rich semantic representations of fashion products that capture visual and textual style information in a continuous vector space, enabling product-level behavioral features to be constructed at scale. Whether such features improve customer-level predictions in a fashion rental context has not been empirically examined.</w:t>
      </w:r>
    </w:p>
    <w:p w14:paraId="7D580A7A" w14:textId="77777777" w:rsidR="00254999" w:rsidRDefault="00000000">
      <w:pPr>
        <w:pStyle w:val="berschrift2"/>
      </w:pPr>
      <w:r>
        <w:lastRenderedPageBreak/>
        <w:t>1.2 Objectives and Structure</w:t>
      </w:r>
    </w:p>
    <w:p w14:paraId="3596F204" w14:textId="77777777" w:rsidR="00254999" w:rsidRDefault="00000000">
      <w:pPr>
        <w:spacing w:after="160" w:line="360" w:lineRule="auto"/>
        <w:jc w:val="both"/>
      </w:pPr>
      <w:r>
        <w:t>This study addresses the identified research gap by developing an end-to-end marketing analytics pipeline for Vibrent that integrates product segmentation derived from multimodal embeddings into customer-level revenue and churn prediction. The three specific objectives are: (1) to construct a semantically meaningful product segmentation of the Vibrent catalog using state-of-the-art multimodal embeddings and derive actionable managerial implications from it; (2) to develop a customer revenue prediction model that incorporates product cluster affinity features alongside conventional RFM features, and to quantify the incremental predictive contribution of the product intelligence features; and (3) to develop a binary churn prediction model identifying customers with zero rental activity in the prediction horizon.</w:t>
      </w:r>
    </w:p>
    <w:p w14:paraId="7ACF5B7E" w14:textId="77777777" w:rsidR="00254999" w:rsidRDefault="00000000">
      <w:pPr>
        <w:spacing w:after="160" w:line="360" w:lineRule="auto"/>
        <w:jc w:val="both"/>
      </w:pPr>
      <w:r>
        <w:t>The report is structured as follows. Section 2 describes the dataset, data cleaning procedures, and temporal validation strategy. Section 3 presents the theoretical and methodological foundations. Section 4 reports the product segmentation results and managerial hypotheses. Section 5 presents the revenue prediction models and results. Section 6 covers the churn prediction approach (planned). Section 7 discusses the integrated findings and their implications. Section 8 concludes.</w:t>
      </w:r>
    </w:p>
    <w:p w14:paraId="7FF5DB05" w14:textId="77777777" w:rsidR="00254999" w:rsidRDefault="00000000">
      <w:r>
        <w:br w:type="page"/>
      </w:r>
    </w:p>
    <w:p w14:paraId="15E03E8A" w14:textId="77777777" w:rsidR="00254999" w:rsidRDefault="00000000">
      <w:pPr>
        <w:pStyle w:val="berschrift1"/>
      </w:pPr>
      <w:r>
        <w:lastRenderedPageBreak/>
        <w:t>2. Data</w:t>
      </w:r>
    </w:p>
    <w:p w14:paraId="56CBE104" w14:textId="77777777" w:rsidR="00254999" w:rsidRDefault="00000000">
      <w:pPr>
        <w:pStyle w:val="berschrift2"/>
      </w:pPr>
      <w:r>
        <w:t>2.1 Dataset Description</w:t>
      </w:r>
    </w:p>
    <w:p w14:paraId="668428B9" w14:textId="0C70791D" w:rsidR="00254999" w:rsidRDefault="00000000">
      <w:pPr>
        <w:spacing w:after="160" w:line="360" w:lineRule="auto"/>
        <w:jc w:val="both"/>
      </w:pPr>
      <w:r>
        <w:t>The dataset is based on Borgersen (2024) and is provided</w:t>
      </w:r>
      <w:r w:rsidR="00E84BB5">
        <w:t xml:space="preserve"> to us with slight augmentations</w:t>
      </w:r>
      <w:r>
        <w:t>. It covers Vibrent</w:t>
      </w:r>
      <w:r w:rsidR="00E84BB5">
        <w:t>’s</w:t>
      </w:r>
      <w:r>
        <w:t xml:space="preserve"> rental activity from March 2016 to September 5, 2023. The core transactional file contains 77,100 rental events for 7,400 anonymized customers, identified by pseudonymized customer identifiers. Each transaction records the customer identifier, outfit identifier, rental period start date, and rental period end date. The product catalog contains metadata for 15,649 unique garments, including retail price, weekly and monthly rental prices, free-text product descriptions, structured category tags (Brand, Material, Color, Category, Occasion, Season, Fit, Length), and image references. A test set of 7,253 customers for whom revenue and churn predictions are required is provided separately.</w:t>
      </w:r>
    </w:p>
    <w:p w14:paraId="771B2BFA" w14:textId="77777777" w:rsidR="00254999" w:rsidRDefault="00000000">
      <w:pPr>
        <w:spacing w:after="160" w:line="360" w:lineRule="auto"/>
        <w:jc w:val="both"/>
      </w:pPr>
      <w:r>
        <w:t>Revenue for each transaction is calculated according to the billing logic specified in the case study: rentals of seven days or fewer are billed at the weekly rate (pricePerWeek); rentals exceeding seven days are billed proportionally using the monthly rate according to the formula pricePerMonth × duration_days / 30. This calculation is applied consistently across all analyses and model training procedures.</w:t>
      </w:r>
    </w:p>
    <w:p w14:paraId="68730FCD" w14:textId="77777777" w:rsidR="00254999" w:rsidRDefault="00000000">
      <w:pPr>
        <w:pStyle w:val="berschrift2"/>
      </w:pPr>
      <w:r>
        <w:t>2.2 Structural Break and Data Filtering</w:t>
      </w:r>
    </w:p>
    <w:p w14:paraId="21322096" w14:textId="77777777" w:rsidR="00254999" w:rsidRDefault="00000000">
      <w:pPr>
        <w:spacing w:after="160" w:line="360" w:lineRule="auto"/>
        <w:jc w:val="both"/>
      </w:pPr>
      <w:r>
        <w:t>Visual inspection of rental duration and transaction volume over time revealed a fundamental structural break at approximately April 2020. Prior to this date, median rental durations ranged from one to ten days, consistent with a spot rental model. From April 2020 onwards, the median shifted to approximately 30 days and stabilized at that level, reflecting the transition to a subscription-based model. Monthly transaction volumes and revenue simultaneously increased by an order of magnitude following this transition.</w:t>
      </w:r>
    </w:p>
    <w:p w14:paraId="1B18F0AA" w14:textId="7785EFE0" w:rsidR="00254999" w:rsidRDefault="00000000">
      <w:pPr>
        <w:spacing w:after="160" w:line="360" w:lineRule="auto"/>
        <w:jc w:val="both"/>
      </w:pPr>
      <w:r>
        <w:t>This structural break has critical implications for predictive modeling. The pre-2020 data reflects a fundamentally different business model with incompatible billing mechanics and behavioral patterns. Including it in model training would introduce systematic noise for the 2023</w:t>
      </w:r>
      <w:r w:rsidR="00E84BB5">
        <w:t>-</w:t>
      </w:r>
      <w:r>
        <w:t xml:space="preserve">2024 prediction horizon. All predictive models therefore use only transactions from April 2020 onwards. </w:t>
      </w:r>
      <w:commentRangeStart w:id="0"/>
      <w:r>
        <w:t xml:space="preserve">The sole exception is a binary feature </w:t>
      </w:r>
      <w:r>
        <w:lastRenderedPageBreak/>
        <w:t>is_legacy_customer that flags whether a customer had any activity prior to the structural break, preserving the historical tenure information without allowing the pre-2020 revenue figures to contaminate model training.</w:t>
      </w:r>
      <w:commentRangeEnd w:id="0"/>
      <w:r w:rsidR="00E84BB5">
        <w:rPr>
          <w:rStyle w:val="Kommentarzeichen"/>
          <w:sz w:val="24"/>
          <w:szCs w:val="24"/>
        </w:rPr>
        <w:commentReference w:id="0"/>
      </w:r>
    </w:p>
    <w:p w14:paraId="26D558E4" w14:textId="77777777" w:rsidR="00254999" w:rsidRDefault="00000000">
      <w:pPr>
        <w:pStyle w:val="berschrift2"/>
      </w:pPr>
      <w:r>
        <w:t>2.3 Data Cleaning</w:t>
      </w:r>
    </w:p>
    <w:p w14:paraId="61BFDFF8" w14:textId="0F1B1AD2" w:rsidR="00254999" w:rsidRDefault="00000000">
      <w:pPr>
        <w:spacing w:after="160" w:line="360" w:lineRule="auto"/>
        <w:jc w:val="both"/>
      </w:pPr>
      <w:r>
        <w:t>Data cleaning identified 60 transactions with invalid rental durations: 7 with negative duration caused by swapped start and end dates (all from 2017–2018) and 53 with zero duration. No systematic pattern was identified across customers or items, and the records are consistent with manual data entry errors in the early platform period. All 60 records were removed, representing 0.</w:t>
      </w:r>
      <w:r w:rsidR="00E84BB5">
        <w:t xml:space="preserve">1% </w:t>
      </w:r>
      <w:r>
        <w:t>of total transactions.</w:t>
      </w:r>
    </w:p>
    <w:p w14:paraId="19000F54" w14:textId="77777777" w:rsidR="00254999" w:rsidRDefault="00000000">
      <w:pPr>
        <w:spacing w:after="160" w:line="360" w:lineRule="auto"/>
        <w:jc w:val="both"/>
      </w:pPr>
      <w:r>
        <w:t>An additional quality check on the pricing data revealed that Vibrent applies a discretized pricing structure. The modal monthly rental price is 1,180 NOK, appearing in 34 percent of catalog items. This reflects a structured pricing policy in which most garments are assigned to a standard tier rather than being priced individually, rather than a hard floor price.</w:t>
      </w:r>
    </w:p>
    <w:p w14:paraId="3258C203" w14:textId="77777777" w:rsidR="00254999" w:rsidRDefault="00000000">
      <w:pPr>
        <w:pStyle w:val="berschrift2"/>
      </w:pPr>
      <w:r>
        <w:t>2.4 Temporal Validation Strategy</w:t>
      </w:r>
    </w:p>
    <w:p w14:paraId="1217C549" w14:textId="77777777" w:rsidR="00254999" w:rsidRDefault="00000000">
      <w:pPr>
        <w:spacing w:after="160" w:line="360" w:lineRule="auto"/>
        <w:jc w:val="both"/>
      </w:pPr>
      <w:r>
        <w:t>Given the time-series nature of the prediction task, random or stratified sampling splits were explicitly rejected as they would introduce data leakage by allowing future transactions to inform predictions of past behavior. An expanding window temporal validation strategy was adopted instead. For the training fold, features were computed from transactions between April 2020 and September 2021, with labels representing actual customer revenue in September 2021 to September 2022. For the test fold, features were computed from all transactions between April 2020 and September 2022, and labels covered September 2022 to September 2023. The final submission uses features from April 2020 to September 2023 to predict revenue in the September 2023 to September 2024 horizon. This structure ensures the test fold is a faithful simulation of the submission task, with the same expanding history window and genuinely future labels.</w:t>
      </w:r>
    </w:p>
    <w:p w14:paraId="34F82CFB" w14:textId="77777777" w:rsidR="00254999" w:rsidRDefault="00000000">
      <w:r>
        <w:br w:type="page"/>
      </w:r>
    </w:p>
    <w:p w14:paraId="2FE25A26" w14:textId="77777777" w:rsidR="00254999" w:rsidRDefault="00000000">
      <w:pPr>
        <w:pStyle w:val="berschrift1"/>
      </w:pPr>
      <w:r>
        <w:lastRenderedPageBreak/>
        <w:t>3. Theoretical and Methodological Foundation</w:t>
      </w:r>
    </w:p>
    <w:p w14:paraId="19A929CA" w14:textId="77777777" w:rsidR="00254999" w:rsidRDefault="00000000">
      <w:pPr>
        <w:pStyle w:val="berschrift2"/>
      </w:pPr>
      <w:r>
        <w:t>3.1 Customer Lifetime Value and Latent Attrition</w:t>
      </w:r>
    </w:p>
    <w:p w14:paraId="09B4F6E3" w14:textId="77777777" w:rsidR="00254999" w:rsidRDefault="00000000">
      <w:pPr>
        <w:spacing w:after="160" w:line="360" w:lineRule="auto"/>
        <w:jc w:val="both"/>
      </w:pPr>
      <w:r>
        <w:t>Customer lifetime value (CLV) is defined as the present value of future cash flows attributed to the customer relationship (Gupta &amp; Lehmann, 2003). In the context of non-contractual, repeat-transaction businesses such as fashion rental, CLV prediction requires modeling both the probability that a customer remains active and their expected spending conditional on activity. The Pareto/NBD model (Pareto/Negative Binomial Distribution; Schmittlein et al., 1987) is the canonical approach, jointly modeling the purchase process as a Poisson process and the dropout process as an exponential distribution. Extensions incorporating time-varying covariates have been shown to improve predictive accuracy in dynamic contexts (Bachmann et al., 2021).</w:t>
      </w:r>
    </w:p>
    <w:p w14:paraId="7E702765" w14:textId="3D29C0B3" w:rsidR="00254999" w:rsidRDefault="00000000">
      <w:pPr>
        <w:spacing w:after="160" w:line="360" w:lineRule="auto"/>
        <w:jc w:val="both"/>
      </w:pPr>
      <w:r>
        <w:t>A key challenge in CLV prediction is latent attrition: customers who have stopped engaging but whose historical records suggest high value. A model that projects past spending linearly into the future will systematically over-predict revenue for these customers. Tree-based ensemble models such as LightGBM (Ke et al., 2017) can learn non-linear interaction effects between recency and monetary value that effectively identify latently churned customers</w:t>
      </w:r>
      <w:r w:rsidR="00E84BB5">
        <w:t xml:space="preserve"> through </w:t>
      </w:r>
      <w:r>
        <w:t>implicitly learning that high historical spending combined with long recency should predict near-zero future revenue.</w:t>
      </w:r>
    </w:p>
    <w:p w14:paraId="2FA45217" w14:textId="77777777" w:rsidR="00254999" w:rsidRDefault="00000000">
      <w:pPr>
        <w:pStyle w:val="berschrift2"/>
      </w:pPr>
      <w:r>
        <w:t>3.2 RFM Framework</w:t>
      </w:r>
    </w:p>
    <w:p w14:paraId="4DEE14B2" w14:textId="77777777" w:rsidR="00254999" w:rsidRDefault="00000000">
      <w:pPr>
        <w:spacing w:after="160" w:line="360" w:lineRule="auto"/>
        <w:jc w:val="both"/>
      </w:pPr>
      <w:r>
        <w:t>The Recency-Frequency-Monetary (RFM) framework operationalizes customer behavioral history into three aggregate metrics: recency (time elapsed since the most recent transaction), frequency (total transaction count), and monetary value (total cumulative spending). These three features have been shown to be among the strongest predictors of future customer behavior across a wide range of industries (Fader et al., 2005; Hughes, 1994). In the present study, RFM features serve as the baseline feature set against which the incremental contribution of product cluster affinity features is evaluated.</w:t>
      </w:r>
    </w:p>
    <w:p w14:paraId="419CD06C" w14:textId="77777777" w:rsidR="00254999" w:rsidRDefault="00000000">
      <w:pPr>
        <w:pStyle w:val="berschrift2"/>
      </w:pPr>
      <w:r>
        <w:t>3.3 Multimodal Embeddings for Product Representation</w:t>
      </w:r>
    </w:p>
    <w:p w14:paraId="37F49E52" w14:textId="77777777" w:rsidR="00254999" w:rsidRDefault="00000000">
      <w:pPr>
        <w:spacing w:after="160" w:line="360" w:lineRule="auto"/>
        <w:jc w:val="both"/>
      </w:pPr>
      <w:r>
        <w:lastRenderedPageBreak/>
        <w:t>Multimodal embeddings are dense vector representations that capture semantic content from multiple input modalities — typically image and text — in a shared continuous vector space. Models such as CLIP (Radford et al., 2021) learn to align image and text representations through contrastive training on large corpora of image-caption pairs, enabling downstream tasks such as cross-modal retrieval and clustering. Domain-specific variants such as FashionCLIP (Chia et al., 2022) fine-tune this approach on fashion-specific datasets, improving representation quality for garment-specific concepts such as cut, silhouette, and material.</w:t>
      </w:r>
    </w:p>
    <w:p w14:paraId="3E6A7686" w14:textId="77777777" w:rsidR="00254999" w:rsidRDefault="00000000">
      <w:pPr>
        <w:spacing w:after="160" w:line="360" w:lineRule="auto"/>
        <w:jc w:val="both"/>
      </w:pPr>
      <w:r>
        <w:t>The Voyage Multimodal 3.5 model used in this study produces 2,048-dimensional interleaved representations integrating both visual and textual features. It supports Matryoshka-style dimensionality truncation (Kusupati et al., 2022), allowing the first n dimensions to be used without significant loss of semantic information, enabling efficient downstream clustering without full-dimensional distance computations.</w:t>
      </w:r>
    </w:p>
    <w:p w14:paraId="1551B824" w14:textId="77777777" w:rsidR="00254999" w:rsidRDefault="00000000">
      <w:pPr>
        <w:pStyle w:val="berschrift2"/>
      </w:pPr>
      <w:r>
        <w:t>3.4 Dimensionality Reduction and Clustering</w:t>
      </w:r>
    </w:p>
    <w:p w14:paraId="7B11FF29" w14:textId="77777777" w:rsidR="00254999" w:rsidRDefault="00000000">
      <w:pPr>
        <w:spacing w:after="160" w:line="360" w:lineRule="auto"/>
        <w:jc w:val="both"/>
      </w:pPr>
      <w:r>
        <w:t>UMAP (Uniform Manifold Approximation and Projection; McInnes et al., 2018) is a non-linear dimensionality reduction technique that preserves both local and global structure of high-dimensional data better than linear alternatives such as PCA. Applied prior to clustering, UMAP mitigates the curse of dimensionality that makes distance-based clustering algorithms unreliable in high-dimensional spaces.</w:t>
      </w:r>
    </w:p>
    <w:p w14:paraId="7C76D009" w14:textId="77777777" w:rsidR="00254999" w:rsidRDefault="00000000">
      <w:pPr>
        <w:spacing w:after="160" w:line="360" w:lineRule="auto"/>
        <w:jc w:val="both"/>
      </w:pPr>
      <w:r>
        <w:t>K-Means clustering minimizes within-cluster variance by iteratively assigning observations to the nearest centroid and updating centroids to minimize total intra-cluster squared distance. Cluster quality is assessed using the Silhouette Score, which measures how similar an observation is to its own cluster relative to other clusters, ranging from -1 (misclassified) to +1 (well-separated). Stability is assessed using the Adjusted Rand Index (ARI), which measures the agreement between two cluster assignments corrected for chance agreement.</w:t>
      </w:r>
    </w:p>
    <w:p w14:paraId="7517EB1E" w14:textId="77777777" w:rsidR="00254999" w:rsidRDefault="00000000">
      <w:r>
        <w:br w:type="page"/>
      </w:r>
    </w:p>
    <w:p w14:paraId="31A3D5DC" w14:textId="77777777" w:rsidR="00254999" w:rsidRDefault="00000000">
      <w:pPr>
        <w:pStyle w:val="berschrift1"/>
      </w:pPr>
      <w:r>
        <w:lastRenderedPageBreak/>
        <w:t>4. Product Segmentation</w:t>
      </w:r>
    </w:p>
    <w:p w14:paraId="75502B6A" w14:textId="77777777" w:rsidR="00254999" w:rsidRDefault="00000000">
      <w:pPr>
        <w:pStyle w:val="berschrift2"/>
      </w:pPr>
      <w:r>
        <w:t>4.1 Embedding Selection</w:t>
      </w:r>
    </w:p>
    <w:p w14:paraId="1F9E8130" w14:textId="57E85729" w:rsidR="00254999" w:rsidRDefault="00000000">
      <w:pPr>
        <w:spacing w:after="160" w:line="360" w:lineRule="auto"/>
        <w:jc w:val="both"/>
      </w:pPr>
      <w:r>
        <w:t>Six embedding models were provided for the analysis: Voyage Multimodal 3.5 (2,048 dimensions, interleaved multimodal), Google Gemini text-embedding-005 (1,408 dimensions, Matryoshka), OpenAI CLIP (512 dimensions, dual-encoder), FashionCLIP (512 dimensions, fashion-domain fine-tuned), EfficientNet-V2-L (1,280 dimensions, image only), and Qwen3-Embedding-0.6B (1,024 dimensions, text only). The Voyage Multimodal 3.5 model was selected as the primary embedding source for the final segmentation because it integrates both visual and textual modalities in a single interleaved vector capturing both the visual appearance of garments and the semantic content of their descriptions and supports Matryoshka truncation for efficient dimensionality reduction experiments.</w:t>
      </w:r>
    </w:p>
    <w:p w14:paraId="1ECED5B2" w14:textId="77777777" w:rsidR="00254999" w:rsidRDefault="00000000">
      <w:pPr>
        <w:pStyle w:val="berschrift2"/>
      </w:pPr>
      <w:r>
        <w:t>4.2 Clustering Methodology</w:t>
      </w:r>
    </w:p>
    <w:p w14:paraId="7FE8DD89" w14:textId="77777777" w:rsidR="00254999" w:rsidRDefault="00000000">
      <w:pPr>
        <w:spacing w:after="160" w:line="360" w:lineRule="auto"/>
        <w:jc w:val="both"/>
      </w:pPr>
      <w:r>
        <w:t>Direct clustering on the full 2,048-dimensional embedding space was attempted first using HDBSCAN and K-Means. HDBSCAN produced one dominant cluster containing approximately 84 percent of items with several small peripheral clusters, and K-Means produced poor Silhouette Scores. These results confirm that high-dimensional embedding spaces suffer from the curse of dimensionality, rendering distance metrics uninformative for clustering purposes.</w:t>
      </w:r>
    </w:p>
    <w:p w14:paraId="2387C2BD" w14:textId="77777777" w:rsidR="00254999" w:rsidRDefault="00000000">
      <w:pPr>
        <w:spacing w:after="160" w:line="360" w:lineRule="auto"/>
        <w:jc w:val="both"/>
      </w:pPr>
      <w:r>
        <w:t>UMAP dimensionality reduction was therefore applied prior to clustering. A grid search across UMAP target dimensions (2, 5, 10, 20, 30, 50) and K-Means cluster counts (k = 5 to 13) was conducted, evaluating Silhouette Score and ARI stability across 100 random initializations per configuration. The optimal configuration was UMAP reduction to 20 dimensions followed by K-Means with k = 8. This configuration achieved a mean ARI of 0.85 across random seeds, indicating strong structural stability, and the Silhouette Score peaked at k = 8, declining thereafter as micro-clusters emerged. The similarity between the UMAP-10 and UMAP-20 solutions was 98.74 percent, confirming robustness to moderate parameter variation.</w:t>
      </w:r>
    </w:p>
    <w:p w14:paraId="2A468AC7" w14:textId="77777777" w:rsidR="00254999" w:rsidRDefault="00000000">
      <w:pPr>
        <w:spacing w:after="160" w:line="360" w:lineRule="auto"/>
        <w:jc w:val="both"/>
      </w:pPr>
      <w:commentRangeStart w:id="1"/>
      <w:r>
        <w:t xml:space="preserve">As an alternative, the Matryoshka property was exploited by truncating embeddings to the first 256 dimensions and clustering without UMAP. This achieved a Silhouette </w:t>
      </w:r>
      <w:r>
        <w:lastRenderedPageBreak/>
        <w:t>Score of 0.94 at k = 7 with slightly higher ARI stability (ARI = 0.98), but at the cost of one fewer cluster.</w:t>
      </w:r>
      <w:commentRangeEnd w:id="1"/>
      <w:r w:rsidR="007E307D">
        <w:rPr>
          <w:rStyle w:val="Kommentarzeichen"/>
          <w:sz w:val="24"/>
          <w:szCs w:val="24"/>
        </w:rPr>
        <w:commentReference w:id="1"/>
      </w:r>
      <w:r>
        <w:t xml:space="preserve"> The UMAP-based 8-cluster solution was selected as final because the additional cluster captures a managerially meaningful distinction between bag and accessory items that is lost in the 7-cluster solution.</w:t>
      </w:r>
    </w:p>
    <w:p w14:paraId="6F46BE05" w14:textId="77777777" w:rsidR="00254999" w:rsidRDefault="00000000">
      <w:pPr>
        <w:spacing w:after="160" w:line="360" w:lineRule="auto"/>
        <w:jc w:val="both"/>
      </w:pPr>
      <w:r>
        <w:t>Three clustering algorithms were evaluated: K-Means, Gaussian Mixture Models (GMM), and HDBSCAN. K-Means and GMM with k = 8 produced nearly identical hard-cluster assignments (ARI &gt; 0.99). GMM soft clustering revealed that 99 percent of items had a maximum cluster probability above 0.99, indicating well-separated hard boundaries. HDBSCAN on the reduced space was broadly consistent with K-Means but classified some products as noise and failed to differentiate between trouser and jacket clusters in some configurations. K-Means was selected as the final algorithm due to its interpretability, stability, and complete catalog coverage.</w:t>
      </w:r>
    </w:p>
    <w:p w14:paraId="07F4BBD5" w14:textId="77777777" w:rsidR="00254999" w:rsidRDefault="00000000">
      <w:pPr>
        <w:pStyle w:val="berschrift2"/>
      </w:pPr>
      <w:r>
        <w:t>4.3 Cluster Identification</w:t>
      </w:r>
    </w:p>
    <w:p w14:paraId="52D69127" w14:textId="77777777" w:rsidR="00254999" w:rsidRDefault="00000000">
      <w:pPr>
        <w:spacing w:after="160" w:line="360" w:lineRule="auto"/>
        <w:jc w:val="both"/>
      </w:pPr>
      <w:r>
        <w:t>The eight clusters were profiled using top product names, brand distributions, and Category tag values. A contingency analysis of cluster membership against primary Category tags confirmed strong alignment between embedding-derived clusters and human-assigned categories, validating the semantic coherence of the segmentation. Table 1 summarizes the cluster identities and key statistics.</w:t>
      </w:r>
    </w:p>
    <w:p w14:paraId="0C8B568B" w14:textId="77777777" w:rsidR="00254999" w:rsidRDefault="00254999">
      <w:pPr>
        <w:spacing w:after="160" w:line="360" w:lineRule="auto"/>
      </w:pPr>
    </w:p>
    <w:p w14:paraId="5883D003" w14:textId="77777777" w:rsidR="00254999" w:rsidRDefault="00000000">
      <w:pPr>
        <w:spacing w:before="80" w:after="80"/>
        <w:jc w:val="center"/>
      </w:pPr>
      <w:r>
        <w:rPr>
          <w:i/>
          <w:iCs/>
          <w:sz w:val="20"/>
          <w:szCs w:val="20"/>
        </w:rPr>
        <w:t>Table 1: Cluster overview — inventory size and median monthly rental price</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500"/>
        <w:gridCol w:w="2400"/>
      </w:tblGrid>
      <w:tr w:rsidR="00254999" w14:paraId="42821DF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CFE1CC" w14:textId="77777777" w:rsidR="00254999" w:rsidRDefault="00000000">
            <w:r>
              <w:rPr>
                <w:b/>
                <w:bCs/>
                <w:sz w:val="20"/>
                <w:szCs w:val="20"/>
              </w:rPr>
              <w:t>Cluster</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163FB9" w14:textId="77777777" w:rsidR="00254999" w:rsidRDefault="00000000">
            <w:r>
              <w:rPr>
                <w:b/>
                <w:bCs/>
                <w:sz w:val="20"/>
                <w:szCs w:val="20"/>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979CA3" w14:textId="77777777" w:rsidR="00254999" w:rsidRDefault="00000000">
            <w:r>
              <w:rPr>
                <w:b/>
                <w:bCs/>
                <w:sz w:val="20"/>
                <w:szCs w:val="20"/>
              </w:rPr>
              <w:t>Inventory (n)</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0D96D" w14:textId="77777777" w:rsidR="00254999" w:rsidRDefault="00000000">
            <w:r>
              <w:rPr>
                <w:b/>
                <w:bCs/>
                <w:sz w:val="20"/>
                <w:szCs w:val="20"/>
              </w:rPr>
              <w:t>Median Price/Month (NOK)</w:t>
            </w:r>
          </w:p>
        </w:tc>
      </w:tr>
      <w:tr w:rsidR="00254999" w14:paraId="4F564F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54243" w14:textId="77777777" w:rsidR="00254999" w:rsidRDefault="00000000">
            <w:r>
              <w:rPr>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BC586" w14:textId="77777777" w:rsidR="00254999" w:rsidRDefault="00000000">
            <w:r>
              <w:rPr>
                <w:sz w:val="20"/>
                <w:szCs w:val="20"/>
              </w:rPr>
              <w:t>Bags &amp; Accessories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5A6EF" w14:textId="77777777" w:rsidR="00254999" w:rsidRDefault="00000000">
            <w:r>
              <w:rPr>
                <w:sz w:val="20"/>
                <w:szCs w:val="20"/>
              </w:rPr>
              <w:t>421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1DF09" w14:textId="77777777" w:rsidR="00254999" w:rsidRDefault="00000000">
            <w:r>
              <w:rPr>
                <w:sz w:val="20"/>
                <w:szCs w:val="20"/>
              </w:rPr>
              <w:t>1,300</w:t>
            </w:r>
          </w:p>
        </w:tc>
      </w:tr>
      <w:tr w:rsidR="00254999" w14:paraId="660A02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ECBF" w14:textId="77777777" w:rsidR="00254999"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39E0" w14:textId="77777777" w:rsidR="00254999" w:rsidRDefault="00000000">
            <w:r>
              <w:rPr>
                <w:sz w:val="20"/>
                <w:szCs w:val="20"/>
              </w:rPr>
              <w:t>Tops &amp; Blouses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DFBB9" w14:textId="77777777" w:rsidR="00254999" w:rsidRDefault="00000000">
            <w:r>
              <w:rPr>
                <w:sz w:val="20"/>
                <w:szCs w:val="20"/>
              </w:rPr>
              <w:t>2,168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ECEA2" w14:textId="77777777" w:rsidR="00254999" w:rsidRDefault="00000000">
            <w:r>
              <w:rPr>
                <w:sz w:val="20"/>
                <w:szCs w:val="20"/>
              </w:rPr>
              <w:t>1,180</w:t>
            </w:r>
          </w:p>
        </w:tc>
      </w:tr>
      <w:tr w:rsidR="00254999" w14:paraId="18F7D5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741EE" w14:textId="77777777" w:rsidR="00254999"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907E7" w14:textId="77777777" w:rsidR="00254999" w:rsidRDefault="00000000">
            <w:r>
              <w:rPr>
                <w:sz w:val="20"/>
                <w:szCs w:val="20"/>
              </w:rPr>
              <w:t>Dresses &amp; Jumpsuits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0E47D" w14:textId="77777777" w:rsidR="00254999" w:rsidRDefault="00000000">
            <w:r>
              <w:rPr>
                <w:sz w:val="20"/>
                <w:szCs w:val="20"/>
              </w:rPr>
              <w:t>6,623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A5266" w14:textId="77777777" w:rsidR="00254999" w:rsidRDefault="00000000">
            <w:r>
              <w:rPr>
                <w:sz w:val="20"/>
                <w:szCs w:val="20"/>
              </w:rPr>
              <w:t>1,200</w:t>
            </w:r>
          </w:p>
        </w:tc>
      </w:tr>
      <w:tr w:rsidR="00254999" w14:paraId="565BAA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14778" w14:textId="77777777" w:rsidR="00254999"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FBC01" w14:textId="77777777" w:rsidR="00254999" w:rsidRDefault="00000000">
            <w:r>
              <w:rPr>
                <w:sz w:val="20"/>
                <w:szCs w:val="20"/>
              </w:rPr>
              <w:t>Sweaters &amp; Knitwear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C647A" w14:textId="77777777" w:rsidR="00254999" w:rsidRDefault="00000000">
            <w:r>
              <w:rPr>
                <w:sz w:val="20"/>
                <w:szCs w:val="20"/>
              </w:rPr>
              <w:t>1,704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78EBD" w14:textId="77777777" w:rsidR="00254999" w:rsidRDefault="00000000">
            <w:r>
              <w:rPr>
                <w:sz w:val="20"/>
                <w:szCs w:val="20"/>
              </w:rPr>
              <w:t>1,180</w:t>
            </w:r>
          </w:p>
        </w:tc>
      </w:tr>
      <w:tr w:rsidR="00254999" w14:paraId="44B857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E2414" w14:textId="77777777" w:rsidR="00254999"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BECC" w14:textId="77777777" w:rsidR="00254999" w:rsidRDefault="00000000">
            <w:r>
              <w:rPr>
                <w:sz w:val="20"/>
                <w:szCs w:val="20"/>
              </w:rPr>
              <w:t>Jewelry &amp; Accessories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8667" w14:textId="77777777" w:rsidR="00254999" w:rsidRDefault="00000000">
            <w:r>
              <w:rPr>
                <w:sz w:val="20"/>
                <w:szCs w:val="20"/>
              </w:rPr>
              <w:t>323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F05A5" w14:textId="77777777" w:rsidR="00254999" w:rsidRDefault="00000000">
            <w:r>
              <w:rPr>
                <w:sz w:val="20"/>
                <w:szCs w:val="20"/>
              </w:rPr>
              <w:t>1,180</w:t>
            </w:r>
          </w:p>
        </w:tc>
      </w:tr>
      <w:tr w:rsidR="00254999" w14:paraId="40E8F6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DD4B3" w14:textId="77777777" w:rsidR="00254999"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5C6D3" w14:textId="77777777" w:rsidR="00254999" w:rsidRDefault="00000000">
            <w:r>
              <w:rPr>
                <w:sz w:val="20"/>
                <w:szCs w:val="20"/>
              </w:rPr>
              <w:t>Trousers &amp; Shorts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406D" w14:textId="77777777" w:rsidR="00254999" w:rsidRDefault="00000000">
            <w:r>
              <w:rPr>
                <w:sz w:val="20"/>
                <w:szCs w:val="20"/>
              </w:rPr>
              <w:t>1,409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98325" w14:textId="77777777" w:rsidR="00254999" w:rsidRDefault="00000000">
            <w:r>
              <w:rPr>
                <w:sz w:val="20"/>
                <w:szCs w:val="20"/>
              </w:rPr>
              <w:t>1,180</w:t>
            </w:r>
          </w:p>
        </w:tc>
      </w:tr>
      <w:tr w:rsidR="00254999" w14:paraId="727F92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43124" w14:textId="77777777" w:rsidR="00254999"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E0146" w14:textId="77777777" w:rsidR="00254999" w:rsidRDefault="00000000">
            <w:r>
              <w:rPr>
                <w:sz w:val="20"/>
                <w:szCs w:val="20"/>
              </w:rPr>
              <w:t>Skirts &amp; Knitwear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3DA69" w14:textId="77777777" w:rsidR="00254999" w:rsidRDefault="00000000">
            <w:r>
              <w:rPr>
                <w:sz w:val="20"/>
                <w:szCs w:val="20"/>
              </w:rPr>
              <w:t>1,090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EAAE9" w14:textId="77777777" w:rsidR="00254999" w:rsidRDefault="00000000">
            <w:r>
              <w:rPr>
                <w:sz w:val="20"/>
                <w:szCs w:val="20"/>
              </w:rPr>
              <w:t>1,180</w:t>
            </w:r>
          </w:p>
        </w:tc>
      </w:tr>
      <w:tr w:rsidR="00254999" w14:paraId="5CC981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373C" w14:textId="77777777" w:rsidR="00254999"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3CD18" w14:textId="77777777" w:rsidR="00254999" w:rsidRDefault="00000000">
            <w:r>
              <w:rPr>
                <w:sz w:val="20"/>
                <w:szCs w:val="20"/>
              </w:rPr>
              <w:t>Jackets &amp; Coats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D276" w14:textId="77777777" w:rsidR="00254999" w:rsidRDefault="00000000">
            <w:r>
              <w:rPr>
                <w:sz w:val="20"/>
                <w:szCs w:val="20"/>
              </w:rPr>
              <w:t>1,911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9A9F3" w14:textId="77777777" w:rsidR="00254999" w:rsidRDefault="00000000">
            <w:r>
              <w:rPr>
                <w:sz w:val="20"/>
                <w:szCs w:val="20"/>
              </w:rPr>
              <w:t>1,800</w:t>
            </w:r>
          </w:p>
        </w:tc>
      </w:tr>
    </w:tbl>
    <w:p w14:paraId="39849978" w14:textId="77777777" w:rsidR="00254999" w:rsidRDefault="00254999">
      <w:pPr>
        <w:spacing w:after="160" w:line="360" w:lineRule="auto"/>
      </w:pPr>
    </w:p>
    <w:p w14:paraId="2F0052D5" w14:textId="77777777" w:rsidR="00254999" w:rsidRDefault="00000000">
      <w:pPr>
        <w:pStyle w:val="berschrift2"/>
      </w:pPr>
      <w:r>
        <w:t>4.4 Business Profiling</w:t>
      </w:r>
    </w:p>
    <w:p w14:paraId="3A767EBC" w14:textId="77777777" w:rsidR="00254999" w:rsidRDefault="00000000">
      <w:pPr>
        <w:pStyle w:val="berschrift3"/>
      </w:pPr>
      <w:r>
        <w:lastRenderedPageBreak/>
        <w:t>4.4.1 Pricing Structure</w:t>
      </w:r>
    </w:p>
    <w:p w14:paraId="6EE8C577" w14:textId="77777777" w:rsidR="00254999" w:rsidRDefault="00000000">
      <w:pPr>
        <w:spacing w:after="160" w:line="360" w:lineRule="auto"/>
        <w:jc w:val="both"/>
      </w:pPr>
      <w:commentRangeStart w:id="2"/>
      <w:r>
        <w:t>The pricing analysis reveals a two-tier assortment structure. Jackets &amp; Coats commands the highest median monthly rental price at 1,800 NOK — 53 percent above the standard tier. Bags &amp; Accessories carries the second-highest median at 1,300 NOK. Dresses &amp; Jumpsuits sits marginally above the standard tier at 1,200 NOK. The remaining five clusters all carry median prices at the 1,180 NOK standard tier, indicating that everyday and basics categories are priced as commodities within Vibrent's pricing structure regardless of brand or retail price.</w:t>
      </w:r>
      <w:commentRangeEnd w:id="2"/>
      <w:r w:rsidR="00E41A5C">
        <w:rPr>
          <w:rStyle w:val="Kommentarzeichen"/>
          <w:sz w:val="24"/>
          <w:szCs w:val="24"/>
        </w:rPr>
        <w:commentReference w:id="2"/>
      </w:r>
    </w:p>
    <w:p w14:paraId="72EC57E5" w14:textId="77777777" w:rsidR="00254999" w:rsidRDefault="00000000">
      <w:pPr>
        <w:pStyle w:val="berschrift3"/>
      </w:pPr>
      <w:r>
        <w:t>4.4.2 Revenue, Utilization, and Inventory Efficiency</w:t>
      </w:r>
    </w:p>
    <w:p w14:paraId="6FF4DB28" w14:textId="77777777" w:rsidR="00254999" w:rsidRDefault="00000000">
      <w:pPr>
        <w:spacing w:after="160" w:line="360" w:lineRule="auto"/>
        <w:jc w:val="both"/>
      </w:pPr>
      <w:r>
        <w:t>Table 2 presents the revenue contribution, inventory share, utilization rate (rentals per inventory item), and revenue per inventory item across all eight clusters.</w:t>
      </w:r>
    </w:p>
    <w:p w14:paraId="1F888E2F" w14:textId="77777777" w:rsidR="00254999" w:rsidRDefault="00254999">
      <w:pPr>
        <w:spacing w:after="160" w:line="360" w:lineRule="auto"/>
      </w:pPr>
    </w:p>
    <w:p w14:paraId="54C37644" w14:textId="77777777" w:rsidR="00254999" w:rsidRDefault="00000000">
      <w:pPr>
        <w:spacing w:before="80" w:after="80"/>
        <w:jc w:val="center"/>
      </w:pPr>
      <w:commentRangeStart w:id="3"/>
      <w:r>
        <w:rPr>
          <w:i/>
          <w:iCs/>
          <w:sz w:val="20"/>
          <w:szCs w:val="20"/>
        </w:rPr>
        <w:t>Table 2: Revenue, utilization, and inventory efficiency by product cluster</w:t>
      </w:r>
      <w:commentRangeEnd w:id="3"/>
      <w:r w:rsidR="00E41A5C">
        <w:rPr>
          <w:rStyle w:val="Kommentarzeichen"/>
          <w:sz w:val="24"/>
          <w:szCs w:val="24"/>
        </w:rPr>
        <w:commentReference w:id="3"/>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400"/>
        <w:gridCol w:w="1500"/>
        <w:gridCol w:w="1800"/>
      </w:tblGrid>
      <w:tr w:rsidR="00254999" w14:paraId="4B539F8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9CFCB2" w14:textId="77777777" w:rsidR="00254999" w:rsidRDefault="00000000">
            <w:r>
              <w:rPr>
                <w:b/>
                <w:bCs/>
                <w:sz w:val="20"/>
                <w:szCs w:val="20"/>
              </w:rPr>
              <w:t>Cluster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972B61" w14:textId="77777777" w:rsidR="00254999" w:rsidRDefault="00000000">
            <w:r>
              <w:rPr>
                <w:b/>
                <w:bCs/>
                <w:sz w:val="20"/>
                <w:szCs w:val="20"/>
              </w:rPr>
              <w:t>Revenue Share</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68059A" w14:textId="77777777" w:rsidR="00254999" w:rsidRDefault="00000000">
            <w:r>
              <w:rPr>
                <w:b/>
                <w:bCs/>
                <w:sz w:val="20"/>
                <w:szCs w:val="20"/>
              </w:rPr>
              <w:t>Inventory Share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ABA4DC" w14:textId="77777777" w:rsidR="00254999" w:rsidRDefault="00000000">
            <w:r>
              <w:rPr>
                <w:b/>
                <w:bCs/>
                <w:sz w:val="20"/>
                <w:szCs w:val="20"/>
              </w:rPr>
              <w:t>Utilization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E06370" w14:textId="77777777" w:rsidR="00254999" w:rsidRDefault="00000000">
            <w:r>
              <w:rPr>
                <w:b/>
                <w:bCs/>
                <w:sz w:val="20"/>
                <w:szCs w:val="20"/>
              </w:rPr>
              <w:t>Revenue/Item (NOK)</w:t>
            </w:r>
          </w:p>
        </w:tc>
      </w:tr>
      <w:tr w:rsidR="00254999" w14:paraId="4159C2F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975E" w14:textId="77777777" w:rsidR="00254999" w:rsidRDefault="00000000">
            <w:r>
              <w:rPr>
                <w:sz w:val="20"/>
                <w:szCs w:val="20"/>
              </w:rPr>
              <w:t>Dresses &amp; Jumpsuits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ADA1F" w14:textId="77777777" w:rsidR="00254999" w:rsidRDefault="00000000">
            <w:r>
              <w:rPr>
                <w:sz w:val="20"/>
                <w:szCs w:val="20"/>
              </w:rPr>
              <w:t>41.9%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EC376" w14:textId="77777777" w:rsidR="00254999" w:rsidRDefault="00000000">
            <w:r>
              <w:rPr>
                <w:sz w:val="20"/>
                <w:szCs w:val="20"/>
              </w:rPr>
              <w:t>42.3%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D446E" w14:textId="77777777" w:rsidR="00254999" w:rsidRDefault="00000000">
            <w:r>
              <w:rPr>
                <w:sz w:val="20"/>
                <w:szCs w:val="20"/>
              </w:rPr>
              <w:t>4.11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2380" w14:textId="77777777" w:rsidR="00254999" w:rsidRDefault="00000000">
            <w:r>
              <w:rPr>
                <w:sz w:val="20"/>
                <w:szCs w:val="20"/>
              </w:rPr>
              <w:t>5,201</w:t>
            </w:r>
          </w:p>
        </w:tc>
      </w:tr>
      <w:tr w:rsidR="00254999" w14:paraId="49246F2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83812" w14:textId="77777777" w:rsidR="00254999" w:rsidRDefault="00000000">
            <w:r>
              <w:rPr>
                <w:sz w:val="20"/>
                <w:szCs w:val="20"/>
              </w:rPr>
              <w:t>Jackets &amp; Coats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BDDF0" w14:textId="77777777" w:rsidR="00254999" w:rsidRDefault="00000000">
            <w:r>
              <w:rPr>
                <w:sz w:val="20"/>
                <w:szCs w:val="20"/>
              </w:rPr>
              <w:t>15.8%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DFA09" w14:textId="77777777" w:rsidR="00254999" w:rsidRDefault="00000000">
            <w:r>
              <w:rPr>
                <w:sz w:val="20"/>
                <w:szCs w:val="20"/>
              </w:rPr>
              <w:t>12.2%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DE771" w14:textId="77777777" w:rsidR="00254999" w:rsidRDefault="00000000">
            <w:r>
              <w:rPr>
                <w:sz w:val="20"/>
                <w:szCs w:val="20"/>
              </w:rPr>
              <w:t>3.86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880E" w14:textId="77777777" w:rsidR="00254999" w:rsidRDefault="00000000">
            <w:r>
              <w:rPr>
                <w:sz w:val="20"/>
                <w:szCs w:val="20"/>
              </w:rPr>
              <w:t>6,790</w:t>
            </w:r>
          </w:p>
        </w:tc>
      </w:tr>
      <w:tr w:rsidR="00254999" w14:paraId="0BAA660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24EE" w14:textId="77777777" w:rsidR="00254999" w:rsidRDefault="00000000">
            <w:r>
              <w:rPr>
                <w:sz w:val="20"/>
                <w:szCs w:val="20"/>
              </w:rPr>
              <w:t>Tops &amp; Blouses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784E" w14:textId="77777777" w:rsidR="00254999" w:rsidRDefault="00000000">
            <w:r>
              <w:rPr>
                <w:sz w:val="20"/>
                <w:szCs w:val="20"/>
              </w:rPr>
              <w:t>13.1%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2ADE" w14:textId="77777777" w:rsidR="00254999" w:rsidRDefault="00000000">
            <w:r>
              <w:rPr>
                <w:sz w:val="20"/>
                <w:szCs w:val="20"/>
              </w:rPr>
              <w:t>13.9%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5B06" w14:textId="77777777" w:rsidR="00254999" w:rsidRDefault="00000000">
            <w:r>
              <w:rPr>
                <w:sz w:val="20"/>
                <w:szCs w:val="20"/>
              </w:rPr>
              <w:t>3.97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B9686" w14:textId="77777777" w:rsidR="00254999" w:rsidRDefault="00000000">
            <w:r>
              <w:rPr>
                <w:sz w:val="20"/>
                <w:szCs w:val="20"/>
              </w:rPr>
              <w:t>4,952</w:t>
            </w:r>
          </w:p>
        </w:tc>
      </w:tr>
      <w:tr w:rsidR="00254999" w14:paraId="50AF63C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7E73E" w14:textId="77777777" w:rsidR="00254999" w:rsidRDefault="00000000">
            <w:r>
              <w:rPr>
                <w:sz w:val="20"/>
                <w:szCs w:val="20"/>
              </w:rPr>
              <w:t>Sweaters &amp; Knitwear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EF5CF" w14:textId="77777777" w:rsidR="00254999" w:rsidRDefault="00000000">
            <w:r>
              <w:rPr>
                <w:sz w:val="20"/>
                <w:szCs w:val="20"/>
              </w:rPr>
              <w:t>11.1%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9008F" w14:textId="77777777" w:rsidR="00254999" w:rsidRDefault="00000000">
            <w:r>
              <w:rPr>
                <w:sz w:val="20"/>
                <w:szCs w:val="20"/>
              </w:rPr>
              <w:t>10.9%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7392D" w14:textId="77777777" w:rsidR="00254999" w:rsidRDefault="00000000">
            <w:r>
              <w:rPr>
                <w:sz w:val="20"/>
                <w:szCs w:val="20"/>
              </w:rPr>
              <w:t>3.86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95B46" w14:textId="77777777" w:rsidR="00254999" w:rsidRDefault="00000000">
            <w:r>
              <w:rPr>
                <w:sz w:val="20"/>
                <w:szCs w:val="20"/>
              </w:rPr>
              <w:t>5,379</w:t>
            </w:r>
          </w:p>
        </w:tc>
      </w:tr>
      <w:tr w:rsidR="00254999" w14:paraId="50384FE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45B01" w14:textId="77777777" w:rsidR="00254999" w:rsidRDefault="00000000">
            <w:r>
              <w:rPr>
                <w:sz w:val="20"/>
                <w:szCs w:val="20"/>
              </w:rPr>
              <w:t>Trousers &amp; Shorts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423A9" w14:textId="77777777" w:rsidR="00254999" w:rsidRDefault="00000000">
            <w:r>
              <w:rPr>
                <w:sz w:val="20"/>
                <w:szCs w:val="20"/>
              </w:rPr>
              <w:t>6.5%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8CC43" w14:textId="77777777" w:rsidR="00254999" w:rsidRDefault="00000000">
            <w:r>
              <w:rPr>
                <w:sz w:val="20"/>
                <w:szCs w:val="20"/>
              </w:rPr>
              <w:t>9.0%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CCDB" w14:textId="77777777" w:rsidR="00254999" w:rsidRDefault="00000000">
            <w:r>
              <w:rPr>
                <w:sz w:val="20"/>
                <w:szCs w:val="20"/>
              </w:rPr>
              <w:t>2.79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FAEF9" w14:textId="77777777" w:rsidR="00254999" w:rsidRDefault="00000000">
            <w:r>
              <w:rPr>
                <w:sz w:val="20"/>
                <w:szCs w:val="20"/>
              </w:rPr>
              <w:t>3,768</w:t>
            </w:r>
          </w:p>
        </w:tc>
      </w:tr>
      <w:tr w:rsidR="00254999" w14:paraId="0A9437B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D919B" w14:textId="77777777" w:rsidR="00254999" w:rsidRDefault="00000000">
            <w:r>
              <w:rPr>
                <w:sz w:val="20"/>
                <w:szCs w:val="20"/>
              </w:rPr>
              <w:t>Bags &amp; Accessories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7AE7D" w14:textId="77777777" w:rsidR="00254999" w:rsidRDefault="00000000">
            <w:r>
              <w:rPr>
                <w:sz w:val="20"/>
                <w:szCs w:val="20"/>
              </w:rPr>
              <w:t>5.2%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DE0AF" w14:textId="77777777" w:rsidR="00254999" w:rsidRDefault="00000000">
            <w:r>
              <w:rPr>
                <w:sz w:val="20"/>
                <w:szCs w:val="20"/>
              </w:rPr>
              <w:t>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14302" w14:textId="77777777" w:rsidR="00254999" w:rsidRDefault="00000000">
            <w:r>
              <w:rPr>
                <w:sz w:val="20"/>
                <w:szCs w:val="20"/>
              </w:rPr>
              <w:t>7.05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48EB9" w14:textId="77777777" w:rsidR="00254999" w:rsidRDefault="00000000">
            <w:r>
              <w:rPr>
                <w:sz w:val="20"/>
                <w:szCs w:val="20"/>
              </w:rPr>
              <w:t>10,139</w:t>
            </w:r>
          </w:p>
        </w:tc>
      </w:tr>
      <w:tr w:rsidR="00254999" w14:paraId="381038E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AE9AE" w14:textId="77777777" w:rsidR="00254999" w:rsidRDefault="00000000">
            <w:r>
              <w:rPr>
                <w:sz w:val="20"/>
                <w:szCs w:val="20"/>
              </w:rPr>
              <w:t>Skirts &amp; Knitwear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3B5DD" w14:textId="77777777" w:rsidR="00254999" w:rsidRDefault="00000000">
            <w:r>
              <w:rPr>
                <w:sz w:val="20"/>
                <w:szCs w:val="20"/>
              </w:rPr>
              <w:t>4.9%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4D0A7" w14:textId="77777777" w:rsidR="00254999" w:rsidRDefault="00000000">
            <w:r>
              <w:rPr>
                <w:sz w:val="20"/>
                <w:szCs w:val="20"/>
              </w:rPr>
              <w:t>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69B0" w14:textId="77777777" w:rsidR="00254999" w:rsidRDefault="00000000">
            <w:r>
              <w:rPr>
                <w:sz w:val="20"/>
                <w:szCs w:val="20"/>
              </w:rPr>
              <w:t>2.91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468AB" w14:textId="77777777" w:rsidR="00254999" w:rsidRDefault="00000000">
            <w:r>
              <w:rPr>
                <w:sz w:val="20"/>
                <w:szCs w:val="20"/>
              </w:rPr>
              <w:t>3,688</w:t>
            </w:r>
          </w:p>
        </w:tc>
      </w:tr>
      <w:tr w:rsidR="00254999" w14:paraId="7B06465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37BB0" w14:textId="77777777" w:rsidR="00254999" w:rsidRDefault="00000000">
            <w:r>
              <w:rPr>
                <w:sz w:val="20"/>
                <w:szCs w:val="20"/>
              </w:rPr>
              <w:t>Jewelry &amp; Accessories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CE841" w14:textId="77777777" w:rsidR="00254999" w:rsidRDefault="00000000">
            <w:r>
              <w:rPr>
                <w:sz w:val="20"/>
                <w:szCs w:val="20"/>
              </w:rPr>
              <w:t>1.6%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CCDE" w14:textId="77777777" w:rsidR="00254999" w:rsidRDefault="00000000">
            <w:r>
              <w:rPr>
                <w:sz w:val="20"/>
                <w:szCs w:val="20"/>
              </w:rPr>
              <w:t>2.1%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56E3" w14:textId="77777777" w:rsidR="00254999" w:rsidRDefault="00000000">
            <w:r>
              <w:rPr>
                <w:sz w:val="20"/>
                <w:szCs w:val="20"/>
              </w:rPr>
              <w:t>3.41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80E38" w14:textId="77777777" w:rsidR="00254999" w:rsidRDefault="00000000">
            <w:r>
              <w:rPr>
                <w:sz w:val="20"/>
                <w:szCs w:val="20"/>
              </w:rPr>
              <w:t>3,995</w:t>
            </w:r>
          </w:p>
        </w:tc>
      </w:tr>
    </w:tbl>
    <w:p w14:paraId="3AC498AC" w14:textId="77777777" w:rsidR="00254999" w:rsidRDefault="00254999">
      <w:pPr>
        <w:spacing w:after="160" w:line="360" w:lineRule="auto"/>
      </w:pPr>
    </w:p>
    <w:p w14:paraId="2321D315" w14:textId="7B8FA298" w:rsidR="00254999" w:rsidRDefault="00000000">
      <w:pPr>
        <w:spacing w:after="160" w:line="360" w:lineRule="auto"/>
        <w:jc w:val="both"/>
      </w:pPr>
      <w:r>
        <w:t xml:space="preserve">Dresses &amp; Jumpsuits is the revenue engine of the business, accounting for 41.9 percent of revenue with a near-perfectly matched inventory share of 42.3 percent, indicating correct sizing relative to demand. Jackets &amp; Coats generates 15.8 percent of revenue from only 12.2 percent of inventory, achieving the second-highest revenue-per-item figure. Bags &amp; Accessories emerges as the most strategically significant finding: with only 421 items representing 2.7 percent of total inventory, it generates a revenue-per-item figure of 10,139 NOK </w:t>
      </w:r>
      <w:r w:rsidR="00E41A5C">
        <w:t>which is</w:t>
      </w:r>
      <w:r>
        <w:t xml:space="preserve"> nearly double that of Dresses and 49 percent above Jackets. Its utilization rate of 7.05 is 7</w:t>
      </w:r>
      <w:r w:rsidR="00E4382E">
        <w:t>7</w:t>
      </w:r>
      <w:r>
        <w:t xml:space="preserve"> percent above the catalog average</w:t>
      </w:r>
      <w:r w:rsidR="00E4382E">
        <w:t xml:space="preserve"> (3.99)</w:t>
      </w:r>
      <w:r>
        <w:t xml:space="preserve">, and only 20 percent of bag items have never been rented </w:t>
      </w:r>
      <w:r w:rsidR="00E41A5C">
        <w:t>(</w:t>
      </w:r>
      <w:r>
        <w:t xml:space="preserve">the lowest never-rented share </w:t>
      </w:r>
      <w:r>
        <w:lastRenderedPageBreak/>
        <w:t>in the catalog</w:t>
      </w:r>
      <w:r w:rsidR="00E41A5C">
        <w:t>)</w:t>
      </w:r>
      <w:r>
        <w:t xml:space="preserve"> confirming that supply rather than demand is the binding constraint. Trousers &amp; Shorts and Skirts &amp; Knitwear are the weakest performers: together they hold 16 percent of inventory but generate only 11.3 percent of revenue, with the lowest utilization rates (2.79 and 2.91 respectively) and the lowest revenue-per-item figures in the catalog.</w:t>
      </w:r>
    </w:p>
    <w:p w14:paraId="63AB82E0" w14:textId="77777777" w:rsidR="00254999" w:rsidRDefault="00000000">
      <w:pPr>
        <w:pStyle w:val="berschrift3"/>
      </w:pPr>
      <w:r>
        <w:t>4.4.3 Item-Level Demand and Dead Inventory</w:t>
      </w:r>
    </w:p>
    <w:p w14:paraId="45C8B8B2" w14:textId="5523C23E" w:rsidR="00254999" w:rsidRDefault="00000000">
      <w:pPr>
        <w:spacing w:after="160" w:line="360" w:lineRule="auto"/>
        <w:jc w:val="both"/>
      </w:pPr>
      <w:r>
        <w:t xml:space="preserve">Item-level analysis revealed that 31.2 percent of the catalog </w:t>
      </w:r>
      <w:r w:rsidR="00E4382E">
        <w:t>(</w:t>
      </w:r>
      <w:r>
        <w:t>4,887 items</w:t>
      </w:r>
      <w:r w:rsidR="00E4382E">
        <w:t>)</w:t>
      </w:r>
      <w:r>
        <w:t xml:space="preserve"> has never been rented. Dead inventory is most severe in absolute terms in Dresses (2,099 items) but most severe proportionally in Jackets &amp; Coats (36.7 percent never rented) and Trousers &amp; Shorts (35.8 percent). The top 20 most rented items are almost entirely split between Bags (8 items) and Dresses (9 items), with individual bag items generating an average of 68,196 NOK in total revenue compared to 47,250 NOK for top dress items </w:t>
      </w:r>
      <w:r w:rsidR="00E4382E">
        <w:t>(</w:t>
      </w:r>
      <w:r>
        <w:t>a 44 percent premium per workhorse item</w:t>
      </w:r>
      <w:r w:rsidR="00E4382E">
        <w:t>)</w:t>
      </w:r>
      <w:r>
        <w:t>.</w:t>
      </w:r>
    </w:p>
    <w:p w14:paraId="40625F07" w14:textId="77777777" w:rsidR="00254999" w:rsidRDefault="00000000">
      <w:pPr>
        <w:pStyle w:val="berschrift3"/>
      </w:pPr>
      <w:r>
        <w:t>4.4.4 Rental Duration</w:t>
      </w:r>
    </w:p>
    <w:p w14:paraId="18E46BA2" w14:textId="77777777" w:rsidR="00254999" w:rsidRDefault="00000000">
      <w:pPr>
        <w:spacing w:after="160" w:line="360" w:lineRule="auto"/>
        <w:jc w:val="both"/>
      </w:pPr>
      <w:r>
        <w:t>Five clusters show a median rental duration of exactly 30 days with standard deviations between 10 and 12 days, indicating standardized monthly billing behavior. Bags &amp; Accessories is the notable outlier, with a mean duration of 21.4 days and the highest standard deviation in the catalog at 17.4 days. This high variance reflects a bimodal rental pattern: short event rentals of seven days or fewer and longer monthly holds coexisting within the same cluster, consistent with the occasion-driven demand structure of this category.</w:t>
      </w:r>
    </w:p>
    <w:p w14:paraId="0E01E266" w14:textId="77777777" w:rsidR="00254999" w:rsidRDefault="00000000">
      <w:pPr>
        <w:pStyle w:val="berschrift2"/>
      </w:pPr>
      <w:commentRangeStart w:id="4"/>
      <w:r>
        <w:t>4.5 Customer Affinity Analysis</w:t>
      </w:r>
    </w:p>
    <w:p w14:paraId="79570D89" w14:textId="77777777" w:rsidR="00254999" w:rsidRDefault="00000000">
      <w:pPr>
        <w:spacing w:after="160" w:line="360" w:lineRule="auto"/>
        <w:jc w:val="both"/>
      </w:pPr>
      <w:r>
        <w:t xml:space="preserve">Customers were segmented by rental recency into three groups: Loyal (last rental within 180 days of the September 2023 cutoff), Dormant (181 to 365 days), and At-Risk (more than 365 days). The share of each segment's spending across the eight clusters was then computed. Loyal and Dormant customers are nearly indistinguishable in their style preferences — both allocate approximately 39 percent of spending to Dresses &amp; Jumpsuits and distribute the remainder broadly across Tops (14.6 percent), Jackets (15.9 percent), and Knitwear (12.9 percent). At-Risk customers, by contrast, concentrate 79 percent of their spending on Dresses &amp; Jumpsuits alone, allocating almost nothing to Tops (3.3 percent), Knitwear (1.6 percent), or Jackets (3.9 </w:t>
      </w:r>
      <w:r>
        <w:lastRenderedPageBreak/>
        <w:t>percent). The loyalty signal is therefore not which cluster a customer prefers, but how diversified their rental behavior is across clusters.</w:t>
      </w:r>
      <w:commentRangeEnd w:id="4"/>
      <w:r w:rsidR="00774F5D">
        <w:rPr>
          <w:rStyle w:val="Kommentarzeichen"/>
          <w:sz w:val="24"/>
          <w:szCs w:val="24"/>
        </w:rPr>
        <w:commentReference w:id="4"/>
      </w:r>
    </w:p>
    <w:p w14:paraId="1BAF409A" w14:textId="77777777" w:rsidR="00254999" w:rsidRDefault="00000000">
      <w:pPr>
        <w:pStyle w:val="berschrift2"/>
      </w:pPr>
      <w:r>
        <w:t>4.6 Managerial Hypotheses</w:t>
      </w:r>
    </w:p>
    <w:p w14:paraId="2D4E02ED" w14:textId="77777777" w:rsidR="00254999" w:rsidRDefault="00000000">
      <w:pPr>
        <w:pStyle w:val="berschrift3"/>
      </w:pPr>
      <w:r>
        <w:t>Hypothesis 1: Bags &amp; Accessories Are Supply-Constrained Despite Highest Demand</w:t>
      </w:r>
    </w:p>
    <w:p w14:paraId="24D313AB" w14:textId="77777777" w:rsidR="00254999" w:rsidRDefault="00000000">
      <w:pPr>
        <w:spacing w:after="160" w:line="360" w:lineRule="auto"/>
        <w:jc w:val="both"/>
      </w:pPr>
      <w:r>
        <w:t>The utilization analysis confirms that Bags &amp; Accessories has the highest rentals-per-item ratio in the catalog at 7.05, 71 percent above the catalog average. The revenue-per-item figure of 10,139 NOK is nearly double that of the second-best category. The combination of highest utilization, highest revenue efficiency, lowest never-rented rate, and thinnest inventory constitutes an unambiguous supply-constrained white space. Expanding the bag inventory is the single highest-return assortment decision available to Vibrent.</w:t>
      </w:r>
    </w:p>
    <w:p w14:paraId="50A64B3B" w14:textId="77777777" w:rsidR="00254999" w:rsidRDefault="00000000">
      <w:pPr>
        <w:pStyle w:val="berschrift3"/>
      </w:pPr>
      <w:r>
        <w:t>Hypothesis 2: Occasion-Driven Styles Generate Engagement; Everyday Basics Do Not</w:t>
      </w:r>
    </w:p>
    <w:p w14:paraId="16A0F48C" w14:textId="77777777" w:rsidR="00254999" w:rsidRDefault="00000000">
      <w:pPr>
        <w:spacing w:after="160" w:line="360" w:lineRule="auto"/>
        <w:jc w:val="both"/>
      </w:pPr>
      <w:r>
        <w:t>Clusters corresponding to everyday wear show substantially lower utilization rates and revenue efficiency than occasion-driven categories. Trousers (2.79) and Skirts (2.91) are the weakest performers; Dresses (4.11) and Jackets (3.86) maintain healthy throughput. This is consistent with the economics of fashion rental: customers pay to access items they would not purchase outright for a single occasion. The implication is that assortment investment should be reallocated from everyday basics toward occasion-driven and premium categories.</w:t>
      </w:r>
    </w:p>
    <w:p w14:paraId="37D257BB" w14:textId="77777777" w:rsidR="00254999" w:rsidRDefault="00000000">
      <w:pPr>
        <w:pStyle w:val="berschrift3"/>
      </w:pPr>
      <w:r>
        <w:t>Hypothesis 3: Style Diversity, Not Style Preference, Predicts Customer Loyalty</w:t>
      </w:r>
    </w:p>
    <w:p w14:paraId="1B7C759B" w14:textId="77777777" w:rsidR="00254999" w:rsidRDefault="00000000">
      <w:pPr>
        <w:spacing w:after="160" w:line="360" w:lineRule="auto"/>
        <w:jc w:val="both"/>
      </w:pPr>
      <w:r>
        <w:t>At-Risk customers concentrate 79 percent of their spending on a single cluster (Dresses), while Loyal customers distribute spending broadly across five or more clusters. The loyalty signal is the breadth of style engagement rather than preference for any specific category. This finding motivates the style entropy feature in the predictive models: the Shannon entropy across a customer's cluster affinity shares directly operationalizes this hypothesis and enables it to be tested empirically in the revenue and churn prediction models.</w:t>
      </w:r>
    </w:p>
    <w:p w14:paraId="10B87887" w14:textId="77777777" w:rsidR="00254999" w:rsidRDefault="00000000">
      <w:r>
        <w:br w:type="page"/>
      </w:r>
    </w:p>
    <w:p w14:paraId="0FF495E2" w14:textId="77777777" w:rsidR="00254999" w:rsidRDefault="00000000">
      <w:pPr>
        <w:pStyle w:val="berschrift1"/>
      </w:pPr>
      <w:r>
        <w:lastRenderedPageBreak/>
        <w:t>5. Customer Revenue Prediction</w:t>
      </w:r>
    </w:p>
    <w:p w14:paraId="3526B37A" w14:textId="77777777" w:rsidR="00254999" w:rsidRDefault="00000000">
      <w:pPr>
        <w:pStyle w:val="berschrift2"/>
      </w:pPr>
      <w:r>
        <w:t>5.1 Problem Framing</w:t>
      </w:r>
    </w:p>
    <w:p w14:paraId="28C027E3" w14:textId="77777777" w:rsidR="00254999" w:rsidRDefault="00000000">
      <w:pPr>
        <w:spacing w:after="160" w:line="360" w:lineRule="auto"/>
        <w:jc w:val="both"/>
      </w:pPr>
      <w:r>
        <w:t>The objective of Assignment 2 is to predict total rental revenue for each customer in the test set for the period September 6, 2023 to September 6, 2024. The evaluation metric is Mean Absolute Error (MAE) in Norwegian Krone. The prediction task is formulated as a regression problem where the target variable is continuous, highly right-skewed, and dominated by zero values for churned customers — a distributional profile that poses specific challenges for linear models.</w:t>
      </w:r>
    </w:p>
    <w:p w14:paraId="6EC6FDC3" w14:textId="77777777" w:rsidR="00254999" w:rsidRDefault="00000000">
      <w:pPr>
        <w:pStyle w:val="berschrift2"/>
      </w:pPr>
      <w:r>
        <w:t>5.2 Baseline Model: RFM Ridge Regression</w:t>
      </w:r>
    </w:p>
    <w:p w14:paraId="63021AEC" w14:textId="77777777" w:rsidR="00254999" w:rsidRDefault="00000000">
      <w:pPr>
        <w:spacing w:after="160" w:line="360" w:lineRule="auto"/>
        <w:jc w:val="both"/>
      </w:pPr>
      <w:r>
        <w:t>A Ridge Regression model using the three classical RFM features — Recency, Frequency, and Monetary value — was established as the baseline. Features were standardized using StandardScaler prior to fitting, as Ridge Regression is sensitive to feature scale differences. The model was trained on features computed up to September 2021 with labels representing actual revenue in September 2021 to September 2022.</w:t>
      </w:r>
    </w:p>
    <w:p w14:paraId="62CFBDF4" w14:textId="77777777" w:rsidR="00254999" w:rsidRDefault="00000000">
      <w:pPr>
        <w:spacing w:after="160" w:line="360" w:lineRule="auto"/>
        <w:jc w:val="both"/>
      </w:pPr>
      <w:r>
        <w:t>The baseline yielded a training fold MAE of 14,674 NOK. Analysis of the model coefficients revealed a fundamental limitation: the dominant monetary coefficient (21,982) caused systematic over-prediction of revenue for historically high-spending customers who had since churned — the latent attrition problem described in Section 3.1. A concrete illustration: Customer 3, with 33 historical rentals, monetary value of 55,451 NOK, and recency of 245 days, generated zero actual revenue in the label period but received a Ridge prediction of 24,355 NOK. Customer 9, with only 3 rentals and recency of 3 days, generated 6,700 NOK in actual revenue but received a Ridge prediction of 14,653 NOK. This pattern — over-predicting churned high-spenders and under-predicting active low-spenders — motivates the adoption of a non-linear model capable of learning the interaction between recency and monetary value.</w:t>
      </w:r>
    </w:p>
    <w:p w14:paraId="56B71AE6" w14:textId="77777777" w:rsidR="00254999" w:rsidRDefault="00000000">
      <w:pPr>
        <w:pStyle w:val="berschrift2"/>
      </w:pPr>
      <w:r>
        <w:t>5.3 Feature Engineering</w:t>
      </w:r>
    </w:p>
    <w:p w14:paraId="498FBA8D" w14:textId="77777777" w:rsidR="00254999" w:rsidRDefault="00000000">
      <w:pPr>
        <w:spacing w:after="160" w:line="360" w:lineRule="auto"/>
        <w:jc w:val="both"/>
      </w:pPr>
      <w:r>
        <w:t xml:space="preserve">A comprehensive feature set was developed to provide the LightGBM model with behavioral signals beyond pure RFM. Four feature groups were constructed, all </w:t>
      </w:r>
      <w:r>
        <w:lastRenderedPageBreak/>
        <w:t>computed exclusively from transactions before the feature cutoff date to prevent data leakage.</w:t>
      </w:r>
    </w:p>
    <w:p w14:paraId="29F49AA0" w14:textId="77777777" w:rsidR="00254999" w:rsidRDefault="00000000">
      <w:pPr>
        <w:spacing w:after="160" w:line="360" w:lineRule="auto"/>
        <w:jc w:val="both"/>
      </w:pPr>
      <w:r>
        <w:t>The RFM and temporal feature group includes recency, frequency, monetary value, average revenue per transaction, standard deviation of revenue, exponentially time-weighted revenue (decay parameter lambda = 365 days), average rental duration, tenure in days, average days between rentals, recency ratio (recency divided by average inter-rental interval — values above 1 indicate the customer is overdue relative to their personal cadence), revenue trend (second-half minus first-half revenue), share of weekly rentals (duration ≤ 7 days), active calendar months, and seasonal rental counts by quarter.</w:t>
      </w:r>
    </w:p>
    <w:p w14:paraId="27DCB914" w14:textId="77777777" w:rsidR="00254999" w:rsidRDefault="00000000">
      <w:pPr>
        <w:spacing w:after="160" w:line="360" w:lineRule="auto"/>
        <w:jc w:val="both"/>
      </w:pPr>
      <w:r>
        <w:t>The product cluster affinity feature group translates each customer's rental history into a behavioral fingerprint across the eight product segments. For each customer, the share of total historical revenue allocated to each cluster was computed (eight features). Two style diversity features were added: n_clusters_rented (number of distinct clusters rented) and style entropy (Shannon entropy across cluster affinity shares). These features directly operationalize Hypothesis 3.</w:t>
      </w:r>
    </w:p>
    <w:p w14:paraId="59B4FCA5" w14:textId="77777777" w:rsidR="00254999" w:rsidRDefault="00000000">
      <w:pPr>
        <w:spacing w:after="160" w:line="360" w:lineRule="auto"/>
        <w:jc w:val="both"/>
      </w:pPr>
      <w:r>
        <w:t>The price segment feature group includes average retail price of rented items, maximum retail price ever rented, and average weekly rental rate, capturing willingness to pay and price sensitivity.</w:t>
      </w:r>
    </w:p>
    <w:p w14:paraId="0F4D319E" w14:textId="77777777" w:rsidR="00254999" w:rsidRDefault="00000000">
      <w:pPr>
        <w:pStyle w:val="berschrift2"/>
      </w:pPr>
      <w:r>
        <w:t>5.4 Results</w:t>
      </w:r>
    </w:p>
    <w:p w14:paraId="1F752E8D" w14:textId="77777777" w:rsidR="00254999" w:rsidRDefault="00000000">
      <w:pPr>
        <w:spacing w:after="160" w:line="360" w:lineRule="auto"/>
        <w:jc w:val="both"/>
      </w:pPr>
      <w:r>
        <w:t>The LightGBM Regressor was configured with 500 estimators, learning rate 0.05, maximum depth 6, minimum child samples 20, and subsample ratio 0.8. All predictions were clipped to a minimum of zero. Table 3 summarizes model performance.</w:t>
      </w:r>
    </w:p>
    <w:p w14:paraId="6D879AE1" w14:textId="77777777" w:rsidR="00254999" w:rsidRDefault="00254999">
      <w:pPr>
        <w:spacing w:after="160" w:line="360" w:lineRule="auto"/>
      </w:pPr>
    </w:p>
    <w:p w14:paraId="064DAAC5" w14:textId="77777777" w:rsidR="00254999" w:rsidRDefault="00000000">
      <w:pPr>
        <w:spacing w:before="80" w:after="80"/>
        <w:jc w:val="center"/>
      </w:pPr>
      <w:r>
        <w:rPr>
          <w:i/>
          <w:iCs/>
          <w:sz w:val="20"/>
          <w:szCs w:val="20"/>
        </w:rPr>
        <w:t>Table 3: Model performance comparison — training and test fold MAE (NOK)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28"/>
        <w:gridCol w:w="2772"/>
      </w:tblGrid>
      <w:tr w:rsidR="00254999" w14:paraId="2343A4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9CF2F3" w14:textId="77777777" w:rsidR="00254999" w:rsidRDefault="00000000">
            <w:r>
              <w:rPr>
                <w:b/>
                <w:bCs/>
                <w:sz w:val="20"/>
                <w:szCs w:val="20"/>
              </w:rPr>
              <w:t>Model</w:t>
            </w:r>
          </w:p>
        </w:tc>
        <w:tc>
          <w:tcPr>
            <w:tcW w:w="272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2134A2" w14:textId="77777777" w:rsidR="00254999" w:rsidRDefault="00000000">
            <w:r>
              <w:rPr>
                <w:b/>
                <w:bCs/>
                <w:sz w:val="20"/>
                <w:szCs w:val="20"/>
              </w:rPr>
              <w:t>Training Fold MAE (NOK)</w:t>
            </w:r>
          </w:p>
        </w:tc>
        <w:tc>
          <w:tcPr>
            <w:tcW w:w="27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ED1B79" w14:textId="77777777" w:rsidR="00254999" w:rsidRDefault="00000000">
            <w:r>
              <w:rPr>
                <w:b/>
                <w:bCs/>
                <w:sz w:val="20"/>
                <w:szCs w:val="20"/>
              </w:rPr>
              <w:t>Test Fold MAE (NOK)</w:t>
            </w:r>
          </w:p>
        </w:tc>
      </w:tr>
      <w:tr w:rsidR="00254999" w14:paraId="0232AA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0A79B" w14:textId="77777777" w:rsidR="00254999" w:rsidRDefault="00000000">
            <w:r>
              <w:rPr>
                <w:sz w:val="20"/>
                <w:szCs w:val="20"/>
              </w:rPr>
              <w:t>Predict zero (naive baseline)</w:t>
            </w:r>
          </w:p>
        </w:tc>
        <w:tc>
          <w:tcPr>
            <w:tcW w:w="2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AE434" w14:textId="77777777" w:rsidR="00254999" w:rsidRDefault="00000000">
            <w:r>
              <w:rPr>
                <w:sz w:val="20"/>
                <w:szCs w:val="20"/>
              </w:rPr>
              <w:t>—</w:t>
            </w:r>
          </w:p>
        </w:tc>
        <w:tc>
          <w:tcPr>
            <w:tcW w:w="27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5690" w14:textId="77777777" w:rsidR="00254999" w:rsidRDefault="00000000">
            <w:r>
              <w:rPr>
                <w:sz w:val="20"/>
                <w:szCs w:val="20"/>
              </w:rPr>
              <w:t>13,390</w:t>
            </w:r>
          </w:p>
        </w:tc>
      </w:tr>
      <w:tr w:rsidR="00254999" w14:paraId="079A38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C88E" w14:textId="77777777" w:rsidR="00254999" w:rsidRDefault="00000000">
            <w:r>
              <w:rPr>
                <w:sz w:val="20"/>
                <w:szCs w:val="20"/>
              </w:rPr>
              <w:t>Predict mean (naive baseline)</w:t>
            </w:r>
          </w:p>
        </w:tc>
        <w:tc>
          <w:tcPr>
            <w:tcW w:w="2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8D2CC" w14:textId="77777777" w:rsidR="00254999" w:rsidRDefault="00000000">
            <w:r>
              <w:rPr>
                <w:sz w:val="20"/>
                <w:szCs w:val="20"/>
              </w:rPr>
              <w:t>—</w:t>
            </w:r>
          </w:p>
        </w:tc>
        <w:tc>
          <w:tcPr>
            <w:tcW w:w="27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B932E" w14:textId="77777777" w:rsidR="00254999" w:rsidRDefault="00000000">
            <w:r>
              <w:rPr>
                <w:sz w:val="20"/>
                <w:szCs w:val="20"/>
              </w:rPr>
              <w:t>21,074</w:t>
            </w:r>
          </w:p>
        </w:tc>
      </w:tr>
      <w:tr w:rsidR="00254999" w14:paraId="3F2296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7E266" w14:textId="77777777" w:rsidR="00254999" w:rsidRDefault="00000000">
            <w:r>
              <w:rPr>
                <w:sz w:val="20"/>
                <w:szCs w:val="20"/>
              </w:rPr>
              <w:t>RFM Ridge Regression</w:t>
            </w:r>
          </w:p>
        </w:tc>
        <w:tc>
          <w:tcPr>
            <w:tcW w:w="2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4343" w14:textId="77777777" w:rsidR="00254999" w:rsidRDefault="00000000">
            <w:r>
              <w:rPr>
                <w:sz w:val="20"/>
                <w:szCs w:val="20"/>
              </w:rPr>
              <w:t>14,674</w:t>
            </w:r>
          </w:p>
        </w:tc>
        <w:tc>
          <w:tcPr>
            <w:tcW w:w="27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43DF" w14:textId="77777777" w:rsidR="00254999" w:rsidRDefault="00000000">
            <w:r>
              <w:rPr>
                <w:sz w:val="20"/>
                <w:szCs w:val="20"/>
              </w:rPr>
              <w:t>TBD</w:t>
            </w:r>
          </w:p>
        </w:tc>
      </w:tr>
      <w:tr w:rsidR="00254999" w14:paraId="134DAF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2D52E" w14:textId="77777777" w:rsidR="00254999" w:rsidRDefault="00000000">
            <w:r>
              <w:rPr>
                <w:sz w:val="20"/>
                <w:szCs w:val="20"/>
              </w:rPr>
              <w:t>LightGBM — full feature set</w:t>
            </w:r>
          </w:p>
        </w:tc>
        <w:tc>
          <w:tcPr>
            <w:tcW w:w="272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914E8" w14:textId="77777777" w:rsidR="00254999" w:rsidRDefault="00000000">
            <w:r>
              <w:rPr>
                <w:sz w:val="20"/>
                <w:szCs w:val="20"/>
              </w:rPr>
              <w:t>3,073</w:t>
            </w:r>
          </w:p>
        </w:tc>
        <w:tc>
          <w:tcPr>
            <w:tcW w:w="27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40842" w14:textId="77777777" w:rsidR="00254999" w:rsidRDefault="00000000">
            <w:r>
              <w:rPr>
                <w:sz w:val="20"/>
                <w:szCs w:val="20"/>
              </w:rPr>
              <w:t>12,860</w:t>
            </w:r>
          </w:p>
        </w:tc>
      </w:tr>
    </w:tbl>
    <w:p w14:paraId="26438490" w14:textId="77777777" w:rsidR="00254999" w:rsidRDefault="00254999">
      <w:pPr>
        <w:spacing w:after="160" w:line="360" w:lineRule="auto"/>
      </w:pPr>
    </w:p>
    <w:p w14:paraId="0741556B" w14:textId="77777777" w:rsidR="00254999" w:rsidRDefault="00000000">
      <w:pPr>
        <w:spacing w:after="160" w:line="360" w:lineRule="auto"/>
        <w:jc w:val="both"/>
      </w:pPr>
      <w:r>
        <w:t>The LightGBM model achieves a test fold MAE of 12,860 NOK, marginally outperforming the zero-prediction naive baseline of 13,390 NOK. The large gap between training MAE (3,073 NOK) and test MAE (12,860 NOK) indicates overfitting. Diagnostic analysis revealed that 1,088 churned customers in the test fold received an average prediction of 6,401 NOK against actual revenue of zero, identifying false-positive churned-customer predictions as the dominant source of remaining error.</w:t>
      </w:r>
    </w:p>
    <w:p w14:paraId="707699D3" w14:textId="77777777" w:rsidR="00254999" w:rsidRDefault="00000000">
      <w:pPr>
        <w:spacing w:after="160" w:line="360" w:lineRule="auto"/>
        <w:jc w:val="both"/>
      </w:pPr>
      <w:r>
        <w:t>Feature importance analysis confirmed that recency (529 splits) and recency_ratio (374) were the two most important features, consistent with the latent attrition hypothesis. Style entropy ranked eighth with 289 splits, outperforming all individual cluster affinity features, and cluster affinity features for the three highest-revenue clusters (Dresses, Sweaters, Tops) ranked in positions 11 through 15. The presence of style entropy and cluster affinity features in the top 15 empirically validates the integration of product intelligence into customer-level revenue prediction.</w:t>
      </w:r>
    </w:p>
    <w:p w14:paraId="10F81716" w14:textId="77777777" w:rsidR="00254999" w:rsidRDefault="00000000">
      <w:pPr>
        <w:pStyle w:val="berschrift2"/>
      </w:pPr>
      <w:r>
        <w:t>5.5 What Did Not Work</w:t>
      </w:r>
    </w:p>
    <w:p w14:paraId="189A5BF8" w14:textId="77777777" w:rsidR="00254999" w:rsidRDefault="00000000">
      <w:pPr>
        <w:spacing w:after="160" w:line="360" w:lineRule="auto"/>
        <w:jc w:val="both"/>
      </w:pPr>
      <w:r>
        <w:t>Several approaches were tested and rejected. Computing exponential time weights on the full dataset before the train-test split caused data leakage: transactions near the test cutoff received the highest weights and were then used in the test set, artificially improving training performance. This was corrected by computing time weights inside the build_features function relative to each fold's specific cutoff date.</w:t>
      </w:r>
    </w:p>
    <w:p w14:paraId="74C6FCAD" w14:textId="77777777" w:rsidR="00254999" w:rsidRDefault="00000000">
      <w:pPr>
        <w:spacing w:after="160" w:line="360" w:lineRule="auto"/>
        <w:jc w:val="both"/>
      </w:pPr>
      <w:r>
        <w:t>A critical implementation error was identified in which the feature engineering function referenced the global transaction dataframe rather than the pre-cutoff filtered subset for seasonality, cluster affinity, trend, and price features. This caused all these features to include post-cutoff transactions during training, constituting data leakage that was identified through code review and corrected. After correcting this error, test fold MAE increased to the values reported above, confirming that the earlier apparently stronger performance was an artifact of leakage rather than genuine model quality.</w:t>
      </w:r>
    </w:p>
    <w:p w14:paraId="10D872E9" w14:textId="77777777" w:rsidR="00254999" w:rsidRDefault="00000000">
      <w:pPr>
        <w:spacing w:after="160" w:line="360" w:lineRule="auto"/>
        <w:jc w:val="both"/>
      </w:pPr>
      <w:r>
        <w:t xml:space="preserve">A sliding window approach to training data — restricting features to a fixed recent window rather than all available history — was considered but rejected. It would create </w:t>
      </w:r>
      <w:r>
        <w:lastRenderedPageBreak/>
        <w:t>a mismatch between the training fold setup and the final submission, where all post-April 2020 history is used as features. Consistency between training and submission feature construction is essential for the test fold MAE to reliably estimate submission performance.</w:t>
      </w:r>
    </w:p>
    <w:p w14:paraId="5ABD0413" w14:textId="77777777" w:rsidR="00254999" w:rsidRDefault="00000000">
      <w:pPr>
        <w:spacing w:after="160" w:line="360" w:lineRule="auto"/>
        <w:jc w:val="both"/>
      </w:pPr>
      <w:r>
        <w:t>The seasonal count features (n_spring, n_autumn, n_winter) and n_clusters_rented ranked at the bottom of the feature importance distribution and are candidates for removal in further iterations. The pct_weekly_rentals feature also showed low importance, suggesting that the distinction between event and habit renters is better captured by the recency_ratio and average_duration features.</w:t>
      </w:r>
    </w:p>
    <w:p w14:paraId="205225EB" w14:textId="77777777" w:rsidR="00254999" w:rsidRDefault="00000000">
      <w:r>
        <w:br w:type="page"/>
      </w:r>
    </w:p>
    <w:p w14:paraId="0A857A1F" w14:textId="77777777" w:rsidR="00254999" w:rsidRDefault="00000000">
      <w:pPr>
        <w:pStyle w:val="berschrift1"/>
      </w:pPr>
      <w:r>
        <w:lastRenderedPageBreak/>
        <w:t>6. Churn Prediction</w:t>
      </w:r>
    </w:p>
    <w:p w14:paraId="3DAAB142" w14:textId="77777777" w:rsidR="00254999" w:rsidRDefault="00000000">
      <w:pPr>
        <w:spacing w:after="160" w:line="360" w:lineRule="auto"/>
        <w:jc w:val="both"/>
      </w:pPr>
      <w:r>
        <w:t>[TBD — Assignment 3 has not yet been implemented. The following section describes the planned approach.]</w:t>
      </w:r>
    </w:p>
    <w:p w14:paraId="585EFB14" w14:textId="77777777" w:rsidR="00254999" w:rsidRDefault="00000000">
      <w:pPr>
        <w:pStyle w:val="berschrift2"/>
      </w:pPr>
      <w:r>
        <w:t>6.1 Problem Framing</w:t>
      </w:r>
    </w:p>
    <w:p w14:paraId="4ED320C1" w14:textId="77777777" w:rsidR="00254999" w:rsidRDefault="00000000">
      <w:pPr>
        <w:spacing w:after="160" w:line="360" w:lineRule="auto"/>
        <w:jc w:val="both"/>
      </w:pPr>
      <w:r>
        <w:t>[TBD] A customer is defined as churned if they have exactly zero rental transactions between September 6, 2023 and September 6, 2024. The prediction task is binary classification evaluated on total hit ratio (accuracy) and recall. Recall is prioritized as the more business-critical metric: failing to identify a churned customer (false negative) misses a retention opportunity, while a false positive results at most in an unnecessary retention intervention.</w:t>
      </w:r>
    </w:p>
    <w:p w14:paraId="149C7AEF" w14:textId="77777777" w:rsidR="00254999" w:rsidRDefault="00000000">
      <w:pPr>
        <w:pStyle w:val="berschrift2"/>
      </w:pPr>
      <w:r>
        <w:t>6.2 Planned Approach</w:t>
      </w:r>
    </w:p>
    <w:p w14:paraId="5224EF1A" w14:textId="77777777" w:rsidR="00254999" w:rsidRDefault="00000000">
      <w:pPr>
        <w:spacing w:after="160" w:line="360" w:lineRule="auto"/>
        <w:jc w:val="both"/>
      </w:pPr>
      <w:r>
        <w:t>[TBD] The churn model will use the same build_features function developed for Assignment 2, with the binary churn label derived from the presence or absence of any transaction in the label period. The class imbalance between churned and active customers will be addressed using the scale_pos_weight parameter in LightGBM. Style entropy and cluster affinity features from Assignment 1 are hypothesized to be particularly important predictors, given that At-Risk customers were found to concentrate spending on a single cluster. A two-stage model integrating churn probability and revenue conditional on activity is identified as a natural extension connecting Assignments 2 and 3.</w:t>
      </w:r>
    </w:p>
    <w:p w14:paraId="6DF58ED6" w14:textId="77777777" w:rsidR="00254999" w:rsidRDefault="00000000">
      <w:r>
        <w:br w:type="page"/>
      </w:r>
    </w:p>
    <w:p w14:paraId="00759225" w14:textId="77777777" w:rsidR="00254999" w:rsidRDefault="00000000">
      <w:pPr>
        <w:pStyle w:val="berschrift1"/>
      </w:pPr>
      <w:r>
        <w:lastRenderedPageBreak/>
        <w:t>7. Discussion</w:t>
      </w:r>
    </w:p>
    <w:p w14:paraId="39744638" w14:textId="77777777" w:rsidR="00254999" w:rsidRDefault="00000000">
      <w:pPr>
        <w:pStyle w:val="berschrift2"/>
      </w:pPr>
      <w:r>
        <w:t>7.1 Scientific Implications</w:t>
      </w:r>
    </w:p>
    <w:p w14:paraId="3CB6B5B3" w14:textId="77777777" w:rsidR="00254999" w:rsidRDefault="00000000">
      <w:pPr>
        <w:spacing w:after="160" w:line="360" w:lineRule="auto"/>
        <w:jc w:val="both"/>
      </w:pPr>
      <w:r>
        <w:t>This study makes two contributions to the marketing analytics literature. First, it demonstrates that multimodal product embeddings can be used to construct behavioral customer features — specifically style entropy and cluster affinity shares — that provide incremental predictive signal beyond conventional RFM features in a fashion rental CLV model. Style entropy ranked eighth in feature importance in the LightGBM model, outperforming all individual cluster affinity features, suggesting that the diversity of a customer's style engagement captures behavioral variation that aggregate transactional metrics do not.</w:t>
      </w:r>
    </w:p>
    <w:p w14:paraId="486573C9" w14:textId="77777777" w:rsidR="00254999" w:rsidRDefault="00000000">
      <w:pPr>
        <w:spacing w:after="160" w:line="360" w:lineRule="auto"/>
        <w:jc w:val="both"/>
      </w:pPr>
      <w:r>
        <w:t>Second, the customer affinity analysis provides empirical support for a style diversity hypothesis in fashion rental: loyal customers exhibit significantly broader multi-cluster rental engagement than at-risk customers, who concentrate 79 percent of spending on a single category. This finding extends the general CLV literature by identifying a category-level behavioral predictor that is specific to the fashion rental context and may generalize to other subscription-based product access services.</w:t>
      </w:r>
    </w:p>
    <w:p w14:paraId="7717C51A" w14:textId="77777777" w:rsidR="00254999" w:rsidRDefault="00000000">
      <w:pPr>
        <w:spacing w:after="160" w:line="360" w:lineRule="auto"/>
        <w:jc w:val="both"/>
      </w:pPr>
      <w:r>
        <w:t>The large overfitting gap between training MAE (3,073 NOK) and test MAE (12,860 NOK) indicates that the model has not yet converged to a well-generalizing solution. The diagnostic analysis suggests that a two-stage model separating churn classification from revenue regression would substantially reduce this gap by addressing the dominant error source — false positive revenue predictions for churned customers. This represents a natural direction for future work.</w:t>
      </w:r>
    </w:p>
    <w:p w14:paraId="65F1638A" w14:textId="77777777" w:rsidR="00254999" w:rsidRDefault="00000000">
      <w:pPr>
        <w:pStyle w:val="berschrift2"/>
      </w:pPr>
      <w:r>
        <w:t>7.2 Managerial Implications</w:t>
      </w:r>
    </w:p>
    <w:p w14:paraId="788490F4" w14:textId="77777777" w:rsidR="00254999" w:rsidRDefault="00000000">
      <w:pPr>
        <w:spacing w:after="160" w:line="360" w:lineRule="auto"/>
        <w:jc w:val="both"/>
      </w:pPr>
      <w:r>
        <w:t xml:space="preserve">The product segmentation analysis yields three actionable implications for Vibrent. First, expanding the Bags &amp; Accessories inventory is the highest-return assortment decision available. With a revenue-per-item figure nearly double that of the next category and a utilization rate 71 percent above the catalog average, Bags &amp; Accessories is clearly supply-constrained. Vibrent should prioritize sourcing additional high-demand bag styles, particularly items similar to the Luggage Tote Bag Medium (106,788 NOK lifetime revenue, 60 rentals) and Chocolate Bar Camelia Bag </w:t>
      </w:r>
      <w:r>
        <w:lastRenderedPageBreak/>
        <w:t>(83,952 NOK, 62 rentals), which represent the highest individual item revenue in the catalog.</w:t>
      </w:r>
    </w:p>
    <w:p w14:paraId="10B9C918" w14:textId="77777777" w:rsidR="00254999" w:rsidRDefault="00000000">
      <w:pPr>
        <w:spacing w:after="160" w:line="360" w:lineRule="auto"/>
        <w:jc w:val="both"/>
      </w:pPr>
      <w:r>
        <w:t>Second, Vibrent should reconsider its assortment allocation toward Trousers and Skirts. These two clusters together hold 16 percent of inventory but generate only 11.3 percent of revenue, with the lowest utilization rates and revenue-per-item figures in the catalog. The dead inventory rates for Trousers (35.8 percent never rented) and Jackets (36.7 percent never rented) further indicate that a significant portion of inventory in these categories generates no revenue at all. Reallocating procurement budget from everyday basics toward bags and high-demand occasion wear would improve overall catalog efficiency.</w:t>
      </w:r>
    </w:p>
    <w:p w14:paraId="42645949" w14:textId="77777777" w:rsidR="00254999" w:rsidRDefault="00000000">
      <w:pPr>
        <w:spacing w:after="160" w:line="360" w:lineRule="auto"/>
        <w:jc w:val="both"/>
      </w:pPr>
      <w:r>
        <w:t>Third, the style diversity finding has direct implications for customer onboarding strategy. Since at-risk customers show a pattern of single-category engagement while loyal customers exhibit broad multi-cluster rental behavior, Vibrent should design onboarding flows that nudge new customers toward a second rental in a different product category following their first. A customer who joins the platform to rent a dress for a wedding and is subsequently introduced to bag rental or knitwear rental is significantly more likely to become a recurring subscriber than one whose first rental is also their last.</w:t>
      </w:r>
    </w:p>
    <w:p w14:paraId="1EC22EDF" w14:textId="77777777" w:rsidR="00254999" w:rsidRDefault="00000000">
      <w:pPr>
        <w:pStyle w:val="berschrift2"/>
      </w:pPr>
      <w:r>
        <w:t>7.3 Limitations</w:t>
      </w:r>
    </w:p>
    <w:p w14:paraId="1A8CE353" w14:textId="77777777" w:rsidR="00254999" w:rsidRDefault="00000000">
      <w:pPr>
        <w:spacing w:after="160" w:line="360" w:lineRule="auto"/>
        <w:jc w:val="both"/>
      </w:pPr>
      <w:r>
        <w:t>Several limitations of the current analysis warrant acknowledgment. The temporal validation uses a single training-test fold; a two-fold expanding window would provide a more robust estimate of model stability across time periods with potentially different behavioral dynamics. The revenue prediction model exhibits a training-test MAE gap that indicates overfitting, primarily attributable to false-positive predictions for churned customers; a two-stage model is recommended as the next step. The churn prediction model has not been implemented at the time of this report. The cluster affinity features use discrete cluster assignments rather than continuous embedding representations; a mean-pooled embedding approach averaging the Voyage embeddings of a customer's rented items might capture finer-grained style preference variation. Finally, the structural break at April 2020 limits the usable history to approximately three and a half years, restricting the model's ability to learn long-term behavioral patterns.</w:t>
      </w:r>
    </w:p>
    <w:p w14:paraId="29F9B77A" w14:textId="77777777" w:rsidR="00254999" w:rsidRDefault="00000000">
      <w:r>
        <w:lastRenderedPageBreak/>
        <w:br w:type="page"/>
      </w:r>
    </w:p>
    <w:p w14:paraId="6C00925E" w14:textId="77777777" w:rsidR="00254999" w:rsidRDefault="00000000">
      <w:pPr>
        <w:pStyle w:val="berschrift1"/>
      </w:pPr>
      <w:r>
        <w:lastRenderedPageBreak/>
        <w:t>8. Conclusion</w:t>
      </w:r>
    </w:p>
    <w:p w14:paraId="6CFC1230" w14:textId="77777777" w:rsidR="00254999" w:rsidRDefault="00000000">
      <w:pPr>
        <w:spacing w:after="160" w:line="360" w:lineRule="auto"/>
        <w:jc w:val="both"/>
      </w:pPr>
      <w:r>
        <w:t>This study developed an end-to-end marketing analytics pipeline for Vibrent, integrating multimodal product intelligence into customer-level predictive models. Product segmentation using Voyage Multimodal 3.5 embeddings, UMAP dimensionality reduction, and K-Means clustering (k = 8) yielded eight semantically coherent product segments. Business profiling confirmed that Bags &amp; Accessories is a supply-constrained white space with the highest revenue-per-item ratio in the catalog (10,139 NOK), while Trousers &amp; Shorts and Skirts &amp; Knitwear represent structural over-investments relative to their revenue contribution.</w:t>
      </w:r>
    </w:p>
    <w:p w14:paraId="1D52A6F6" w14:textId="77777777" w:rsidR="00254999" w:rsidRDefault="00000000">
      <w:pPr>
        <w:spacing w:after="160" w:line="360" w:lineRule="auto"/>
        <w:jc w:val="both"/>
      </w:pPr>
      <w:r>
        <w:t>Customer affinity analysis demonstrated that style diversity rather than style preference distinguishes loyal from at-risk customers: at-risk customers concentrated 79 percent of spending on a single cluster compared to broad multi-cluster engagement among loyal customers. This finding motivated the inclusion of style entropy as a predictive feature in the revenue model, where it ranked eighth in feature importance, empirically validating the integration of product intelligence into customer-level prediction.</w:t>
      </w:r>
    </w:p>
    <w:p w14:paraId="06DBF806" w14:textId="77777777" w:rsidR="00254999" w:rsidRDefault="00000000">
      <w:pPr>
        <w:spacing w:after="160" w:line="360" w:lineRule="auto"/>
        <w:jc w:val="both"/>
      </w:pPr>
      <w:r>
        <w:t>The LightGBM revenue prediction model achieved a test fold MAE of 12,860 NOK against a zero-prediction naive baseline of 13,390 NOK. The dominant remaining error source is false-positive revenue predictions for churned customers, motivating a two-stage model as the recommended next step. Churn prediction and the two-stage integration are identified as the primary directions for future work.</w:t>
      </w:r>
    </w:p>
    <w:p w14:paraId="3FC6AAB0" w14:textId="77777777" w:rsidR="00254999" w:rsidRDefault="00000000">
      <w:r>
        <w:br w:type="page"/>
      </w:r>
    </w:p>
    <w:p w14:paraId="438EF7BB" w14:textId="77777777" w:rsidR="00254999" w:rsidRPr="009313B7" w:rsidRDefault="00000000">
      <w:pPr>
        <w:pStyle w:val="berschrift1"/>
        <w:rPr>
          <w:lang w:val="de-DE"/>
        </w:rPr>
      </w:pPr>
      <w:r w:rsidRPr="009313B7">
        <w:rPr>
          <w:lang w:val="de-DE"/>
        </w:rPr>
        <w:lastRenderedPageBreak/>
        <w:t>References</w:t>
      </w:r>
    </w:p>
    <w:p w14:paraId="5EC299F2" w14:textId="77777777" w:rsidR="00254999" w:rsidRDefault="00000000">
      <w:pPr>
        <w:spacing w:after="160" w:line="360" w:lineRule="auto"/>
        <w:jc w:val="both"/>
      </w:pPr>
      <w:r w:rsidRPr="009313B7">
        <w:rPr>
          <w:lang w:val="de-DE"/>
        </w:rPr>
        <w:t xml:space="preserve">Bachmann, P., Meierer, M., &amp; Näf, J. (2021). </w:t>
      </w:r>
      <w:r>
        <w:t>The role of time-varying contextual factors in latent attrition models for customer base analysis. Marketing Science, 40(4), 783–809. https://doi.org/10.1287/mksc.2020.1254</w:t>
      </w:r>
    </w:p>
    <w:p w14:paraId="6A98D106" w14:textId="77777777" w:rsidR="00254999" w:rsidRDefault="00254999">
      <w:pPr>
        <w:spacing w:after="160" w:line="360" w:lineRule="auto"/>
      </w:pPr>
    </w:p>
    <w:p w14:paraId="0397B38B" w14:textId="77777777" w:rsidR="00254999" w:rsidRDefault="00000000">
      <w:pPr>
        <w:spacing w:after="160" w:line="360" w:lineRule="auto"/>
        <w:jc w:val="both"/>
      </w:pPr>
      <w:r>
        <w:t>Borgersen, K. A. K. (2024). Vibrent clothes rental dataset. Kaggle. https://doi.org/10.34740/KAGGLE/DSV/9334353</w:t>
      </w:r>
    </w:p>
    <w:p w14:paraId="6DCF7F3C" w14:textId="77777777" w:rsidR="00254999" w:rsidRDefault="00254999">
      <w:pPr>
        <w:spacing w:after="160" w:line="360" w:lineRule="auto"/>
      </w:pPr>
    </w:p>
    <w:p w14:paraId="4C511349" w14:textId="77777777" w:rsidR="00254999" w:rsidRDefault="00000000">
      <w:pPr>
        <w:spacing w:after="160" w:line="360" w:lineRule="auto"/>
        <w:jc w:val="both"/>
      </w:pPr>
      <w:r>
        <w:t>Chia, P. J., Attanasio, G., Pienaar, E., Nair, S., Kishky, A., Kadosh, Y., Pointon, D., Pemberton, T., &amp; Soriano, J. (2022). FashionCLIP: Connecting language and images for product representations. In Proceedings of the ACM Web Conference 2022.</w:t>
      </w:r>
    </w:p>
    <w:p w14:paraId="5D5DC656" w14:textId="77777777" w:rsidR="00254999" w:rsidRDefault="00254999">
      <w:pPr>
        <w:spacing w:after="160" w:line="360" w:lineRule="auto"/>
      </w:pPr>
    </w:p>
    <w:p w14:paraId="718EC3E1" w14:textId="77777777" w:rsidR="00254999" w:rsidRDefault="00000000">
      <w:pPr>
        <w:spacing w:after="160" w:line="360" w:lineRule="auto"/>
        <w:jc w:val="both"/>
      </w:pPr>
      <w:r>
        <w:t>Ellen MacArthur Foundation. (2017). A new textiles economy: Redesigning fashion's future. Ellen MacArthur Foundation.</w:t>
      </w:r>
    </w:p>
    <w:p w14:paraId="0CFD8B7F" w14:textId="77777777" w:rsidR="00254999" w:rsidRDefault="00254999">
      <w:pPr>
        <w:spacing w:after="160" w:line="360" w:lineRule="auto"/>
      </w:pPr>
    </w:p>
    <w:p w14:paraId="75DD4B3E" w14:textId="77777777" w:rsidR="00254999" w:rsidRDefault="00000000">
      <w:pPr>
        <w:spacing w:after="160" w:line="360" w:lineRule="auto"/>
        <w:jc w:val="both"/>
      </w:pPr>
      <w:r>
        <w:t>Fader, P. S., Hardie, B. G. S., &amp; Lee, K. L. (2005). RFM and CLV: Using iso-value curves for customer base analysis. Journal of Marketing Research, 42(4), 415–430. https://doi.org/10.1509/jmkr.2005.42.4.415</w:t>
      </w:r>
    </w:p>
    <w:p w14:paraId="459C8DFF" w14:textId="77777777" w:rsidR="00254999" w:rsidRDefault="00254999">
      <w:pPr>
        <w:spacing w:after="160" w:line="360" w:lineRule="auto"/>
      </w:pPr>
    </w:p>
    <w:p w14:paraId="22004EDF" w14:textId="77777777" w:rsidR="00254999" w:rsidRDefault="00000000">
      <w:pPr>
        <w:spacing w:after="160" w:line="360" w:lineRule="auto"/>
        <w:jc w:val="both"/>
      </w:pPr>
      <w:r>
        <w:t>Gupta, S., &amp; Lehmann, D. R. (2003). Customers as assets. Journal of Interactive Marketing, 17(1), 9–24.</w:t>
      </w:r>
    </w:p>
    <w:p w14:paraId="00DE95AF" w14:textId="77777777" w:rsidR="00254999" w:rsidRDefault="00254999">
      <w:pPr>
        <w:spacing w:after="160" w:line="360" w:lineRule="auto"/>
      </w:pPr>
    </w:p>
    <w:p w14:paraId="762117CA" w14:textId="77777777" w:rsidR="00254999" w:rsidRDefault="00000000">
      <w:pPr>
        <w:spacing w:after="160" w:line="360" w:lineRule="auto"/>
        <w:jc w:val="both"/>
      </w:pPr>
      <w:r>
        <w:t>Hughes, A. M. (1994). Strategic database marketing. Probus Publishing.</w:t>
      </w:r>
    </w:p>
    <w:p w14:paraId="6E9A8995" w14:textId="77777777" w:rsidR="00254999" w:rsidRDefault="00254999">
      <w:pPr>
        <w:spacing w:after="160" w:line="360" w:lineRule="auto"/>
      </w:pPr>
    </w:p>
    <w:p w14:paraId="399CFF68" w14:textId="77777777" w:rsidR="00254999" w:rsidRDefault="00000000">
      <w:pPr>
        <w:spacing w:after="160" w:line="360" w:lineRule="auto"/>
        <w:jc w:val="both"/>
      </w:pPr>
      <w:r>
        <w:t>Ke, G., Meng, Q., Finley, T., Wang, T., Chen, W., Ma, W., Ye, Q., &amp; Liu, T.-Y. (2017). LightGBM: A highly efficient gradient boosting decision tree. Advances in Neural Information Processing Systems, 30.</w:t>
      </w:r>
    </w:p>
    <w:p w14:paraId="56FF105F" w14:textId="77777777" w:rsidR="00254999" w:rsidRDefault="00254999">
      <w:pPr>
        <w:spacing w:after="160" w:line="360" w:lineRule="auto"/>
      </w:pPr>
    </w:p>
    <w:p w14:paraId="1223F351" w14:textId="77777777" w:rsidR="00254999" w:rsidRDefault="00000000">
      <w:pPr>
        <w:spacing w:after="160" w:line="360" w:lineRule="auto"/>
        <w:jc w:val="both"/>
      </w:pPr>
      <w:r w:rsidRPr="009313B7">
        <w:rPr>
          <w:lang w:val="sv-SE"/>
        </w:rPr>
        <w:t xml:space="preserve">Kusupati, A., Bhatt, G., Rege, A., Wallingford, M., Sinha, A., Ramanujan, V., Howard-Snyder, W., Chen, K., Kakade, S., Jain, P., &amp; Farhadi, A. (2022). </w:t>
      </w:r>
      <w:r>
        <w:t>Matryoshka representation learning. Advances in Neural Information Processing Systems, 35.</w:t>
      </w:r>
    </w:p>
    <w:p w14:paraId="083A25FF" w14:textId="77777777" w:rsidR="00254999" w:rsidRDefault="00254999">
      <w:pPr>
        <w:spacing w:after="160" w:line="360" w:lineRule="auto"/>
      </w:pPr>
    </w:p>
    <w:p w14:paraId="39D06AA0" w14:textId="77777777" w:rsidR="00254999" w:rsidRDefault="00000000">
      <w:pPr>
        <w:spacing w:after="160" w:line="360" w:lineRule="auto"/>
        <w:jc w:val="both"/>
      </w:pPr>
      <w:r>
        <w:t>McInnes, L., Healy, J., &amp; Melville, J. (2018). UMAP: Uniform manifold approximation and projection for dimension reduction. arXiv:1802.03426.</w:t>
      </w:r>
    </w:p>
    <w:p w14:paraId="0B973E71" w14:textId="77777777" w:rsidR="00254999" w:rsidRDefault="00254999">
      <w:pPr>
        <w:spacing w:after="160" w:line="360" w:lineRule="auto"/>
      </w:pPr>
    </w:p>
    <w:p w14:paraId="44431F03" w14:textId="77777777" w:rsidR="00254999" w:rsidRDefault="00000000">
      <w:pPr>
        <w:spacing w:after="160" w:line="360" w:lineRule="auto"/>
        <w:jc w:val="both"/>
      </w:pPr>
      <w:r>
        <w:t>Radford, A., Kim, J. W., Hallacy, C., Ramesh, A., Goh, G., Agarwal, S., Sastry, G., Askell, A., Mishkin, P., Clark, J., Krueger, G., &amp; Sutskever, I. (2021). Learning transferable visual models from natural language supervision. In Proceedings of the 38th International Conference on Machine Learning (pp. 8748–8763). PMLR.</w:t>
      </w:r>
    </w:p>
    <w:p w14:paraId="5E098523" w14:textId="77777777" w:rsidR="00254999" w:rsidRDefault="00254999">
      <w:pPr>
        <w:spacing w:after="160" w:line="360" w:lineRule="auto"/>
      </w:pPr>
    </w:p>
    <w:p w14:paraId="2E4581C2" w14:textId="77777777" w:rsidR="00254999" w:rsidRDefault="00000000">
      <w:pPr>
        <w:spacing w:after="160" w:line="360" w:lineRule="auto"/>
        <w:jc w:val="both"/>
      </w:pPr>
      <w:r>
        <w:t>Schmittlein, D. C., Morrison, D. G., &amp; Colombo, R. (1987). Counting your customers: Who are they and what will they do next? Management Science, 33(1), 1–24.</w:t>
      </w:r>
    </w:p>
    <w:p w14:paraId="3B8FB47C" w14:textId="77777777" w:rsidR="00254999" w:rsidRDefault="00254999">
      <w:pPr>
        <w:spacing w:after="160" w:line="360" w:lineRule="auto"/>
      </w:pPr>
    </w:p>
    <w:p w14:paraId="130BDE0E" w14:textId="77777777" w:rsidR="00254999" w:rsidRDefault="00000000">
      <w:pPr>
        <w:spacing w:after="160" w:line="360" w:lineRule="auto"/>
        <w:jc w:val="both"/>
      </w:pPr>
      <w:r>
        <w:t>Wagner, U., &amp; Hoppe, D. (2008). Erratum on the MBG/NBD model. International Journal of Research in Marketing, 25(3), 225–226. https://doi.org/10.1016/j.ijresmar.2008.06.003</w:t>
      </w:r>
    </w:p>
    <w:p w14:paraId="49526CDE" w14:textId="77777777" w:rsidR="00254999" w:rsidRDefault="00000000">
      <w:r>
        <w:br w:type="page"/>
      </w:r>
    </w:p>
    <w:p w14:paraId="7A2759CF" w14:textId="77777777" w:rsidR="00254999" w:rsidRDefault="00000000">
      <w:pPr>
        <w:pStyle w:val="berschrift1"/>
      </w:pPr>
      <w:r>
        <w:lastRenderedPageBreak/>
        <w:t>Declaration of Originality</w:t>
      </w:r>
    </w:p>
    <w:p w14:paraId="52AD603F" w14:textId="77777777" w:rsidR="00254999" w:rsidRDefault="00000000">
      <w:pPr>
        <w:spacing w:after="160" w:line="360" w:lineRule="auto"/>
        <w:jc w:val="both"/>
      </w:pPr>
      <w:r>
        <w:t>The signed declaration of originality is a component of every semester paper, Bachelor's thesis, Master's thesis and any other degree paper undertaken during the course of studies, including the respective electronic versions.</w:t>
      </w:r>
    </w:p>
    <w:p w14:paraId="60522913" w14:textId="77777777" w:rsidR="00254999" w:rsidRDefault="00254999">
      <w:pPr>
        <w:spacing w:after="160" w:line="360" w:lineRule="auto"/>
      </w:pPr>
    </w:p>
    <w:p w14:paraId="4AFEB616" w14:textId="77777777" w:rsidR="00254999" w:rsidRDefault="00000000">
      <w:pPr>
        <w:spacing w:after="160" w:line="360" w:lineRule="auto"/>
        <w:jc w:val="both"/>
      </w:pPr>
      <w:r>
        <w:t>I hereby confirm that I am the sole author of the written work here enclosed and that I have compiled it in my own words. Parts excepted are corrections of form and content by the supervisor.</w:t>
      </w:r>
    </w:p>
    <w:p w14:paraId="289C5152" w14:textId="77777777" w:rsidR="00254999" w:rsidRDefault="00254999">
      <w:pPr>
        <w:spacing w:after="160" w:line="360" w:lineRule="auto"/>
      </w:pPr>
    </w:p>
    <w:p w14:paraId="0FE87CC6" w14:textId="77777777" w:rsidR="00254999" w:rsidRDefault="00000000">
      <w:pPr>
        <w:spacing w:after="160" w:line="360" w:lineRule="auto"/>
        <w:jc w:val="both"/>
      </w:pPr>
      <w:r>
        <w:rPr>
          <w:b/>
          <w:bCs/>
        </w:rPr>
        <w:t>Title of work:</w:t>
      </w:r>
    </w:p>
    <w:p w14:paraId="6507846E" w14:textId="77777777" w:rsidR="00254999" w:rsidRDefault="00000000">
      <w:pPr>
        <w:spacing w:after="160" w:line="360" w:lineRule="auto"/>
        <w:jc w:val="both"/>
      </w:pPr>
      <w:r>
        <w:t>Marketing Analytics: Customer Segmentation, Revenue Prediction, and Churn Analysis for Vibrent</w:t>
      </w:r>
    </w:p>
    <w:p w14:paraId="6C705B42" w14:textId="77777777" w:rsidR="00254999" w:rsidRDefault="00254999">
      <w:pPr>
        <w:spacing w:after="160" w:line="360" w:lineRule="auto"/>
      </w:pPr>
    </w:p>
    <w:p w14:paraId="2D69D103" w14:textId="77777777" w:rsidR="00254999" w:rsidRDefault="00000000">
      <w:pPr>
        <w:spacing w:after="160" w:line="360" w:lineRule="auto"/>
        <w:jc w:val="both"/>
      </w:pPr>
      <w:r>
        <w:rPr>
          <w:b/>
          <w:bCs/>
        </w:rPr>
        <w:t>Authored by (all group members):</w:t>
      </w:r>
    </w:p>
    <w:p w14:paraId="4F84386E" w14:textId="77777777" w:rsidR="00254999" w:rsidRDefault="00000000">
      <w:pPr>
        <w:spacing w:after="160" w:line="360" w:lineRule="auto"/>
        <w:jc w:val="both"/>
      </w:pPr>
      <w:r>
        <w:t>Name: ________________________    First name: ________________________</w:t>
      </w:r>
    </w:p>
    <w:p w14:paraId="1E75B3B9" w14:textId="77777777" w:rsidR="00254999" w:rsidRDefault="00254999">
      <w:pPr>
        <w:spacing w:after="160" w:line="360" w:lineRule="auto"/>
      </w:pPr>
    </w:p>
    <w:p w14:paraId="247C78EE" w14:textId="77777777" w:rsidR="00254999" w:rsidRDefault="00000000">
      <w:pPr>
        <w:spacing w:after="160" w:line="360" w:lineRule="auto"/>
        <w:jc w:val="both"/>
      </w:pPr>
      <w:r>
        <w:t>Name: ________________________    First name: ________________________</w:t>
      </w:r>
    </w:p>
    <w:p w14:paraId="56380931" w14:textId="77777777" w:rsidR="00254999" w:rsidRDefault="00254999">
      <w:pPr>
        <w:spacing w:after="160" w:line="360" w:lineRule="auto"/>
      </w:pPr>
    </w:p>
    <w:p w14:paraId="3EC5889F" w14:textId="77777777" w:rsidR="00254999" w:rsidRDefault="00000000">
      <w:pPr>
        <w:spacing w:after="160" w:line="360" w:lineRule="auto"/>
        <w:jc w:val="both"/>
      </w:pPr>
      <w:r>
        <w:t>Name: ________________________    First name: ________________________</w:t>
      </w:r>
    </w:p>
    <w:p w14:paraId="3B172436" w14:textId="77777777" w:rsidR="00254999" w:rsidRDefault="00254999">
      <w:pPr>
        <w:spacing w:after="160" w:line="360" w:lineRule="auto"/>
      </w:pPr>
    </w:p>
    <w:p w14:paraId="01D50D67" w14:textId="77777777" w:rsidR="00254999" w:rsidRDefault="00254999">
      <w:pPr>
        <w:spacing w:after="160" w:line="360" w:lineRule="auto"/>
      </w:pPr>
    </w:p>
    <w:p w14:paraId="656FDD77" w14:textId="77777777" w:rsidR="00254999" w:rsidRDefault="00000000">
      <w:pPr>
        <w:spacing w:after="160" w:line="360" w:lineRule="auto"/>
        <w:jc w:val="both"/>
      </w:pPr>
      <w:r>
        <w:t>With my signature I confirm that I have committed none of the forms of plagiarism described in the 'Citation etiquette' information sheet, I have documented all methods, data and processes truthfully, I have not manipulated any data, and I have mentioned all persons who were significant facilitators of the work.</w:t>
      </w:r>
    </w:p>
    <w:p w14:paraId="0F900F27" w14:textId="77777777" w:rsidR="00254999" w:rsidRDefault="00254999">
      <w:pPr>
        <w:spacing w:after="160" w:line="360" w:lineRule="auto"/>
      </w:pPr>
    </w:p>
    <w:p w14:paraId="24A20B62" w14:textId="77777777" w:rsidR="00254999" w:rsidRDefault="00000000">
      <w:pPr>
        <w:spacing w:after="160" w:line="360" w:lineRule="auto"/>
        <w:jc w:val="both"/>
      </w:pPr>
      <w:r>
        <w:lastRenderedPageBreak/>
        <w:t>I am aware that the work may be screened electronically for plagiarism.</w:t>
      </w:r>
    </w:p>
    <w:p w14:paraId="779B7BA0" w14:textId="77777777" w:rsidR="00254999" w:rsidRDefault="00254999">
      <w:pPr>
        <w:spacing w:after="160" w:line="360" w:lineRule="auto"/>
      </w:pPr>
    </w:p>
    <w:p w14:paraId="22E29ED7" w14:textId="77777777" w:rsidR="00254999" w:rsidRDefault="00254999">
      <w:pPr>
        <w:spacing w:after="160" w:line="360" w:lineRule="auto"/>
      </w:pPr>
    </w:p>
    <w:p w14:paraId="6AF45F5E" w14:textId="77777777" w:rsidR="00254999" w:rsidRDefault="00000000">
      <w:pPr>
        <w:spacing w:after="160" w:line="360" w:lineRule="auto"/>
        <w:jc w:val="both"/>
      </w:pPr>
      <w:r>
        <w:t>Place, date: ________________________    Signature(s): ________________________</w:t>
      </w:r>
    </w:p>
    <w:p w14:paraId="3BFB7B01" w14:textId="77777777" w:rsidR="00254999" w:rsidRDefault="00254999">
      <w:pPr>
        <w:spacing w:after="160" w:line="360" w:lineRule="auto"/>
      </w:pPr>
    </w:p>
    <w:p w14:paraId="39AAB7E5" w14:textId="77777777" w:rsidR="00254999" w:rsidRDefault="00000000">
      <w:pPr>
        <w:spacing w:after="160" w:line="360" w:lineRule="auto"/>
        <w:jc w:val="both"/>
      </w:pPr>
      <w:r>
        <w:t>________________________</w:t>
      </w:r>
    </w:p>
    <w:p w14:paraId="655DA08F" w14:textId="77777777" w:rsidR="00254999" w:rsidRDefault="00254999">
      <w:pPr>
        <w:spacing w:after="160" w:line="360" w:lineRule="auto"/>
      </w:pPr>
    </w:p>
    <w:p w14:paraId="53E57C05" w14:textId="77777777" w:rsidR="00254999" w:rsidRDefault="00000000">
      <w:pPr>
        <w:spacing w:after="160" w:line="360" w:lineRule="auto"/>
        <w:jc w:val="both"/>
      </w:pPr>
      <w:r>
        <w:t>________________________</w:t>
      </w:r>
    </w:p>
    <w:sectPr w:rsidR="00254999">
      <w:footerReference w:type="default" r:id="rId12"/>
      <w:pgSz w:w="11906" w:h="16838"/>
      <w:pgMar w:top="1418" w:right="1418" w:bottom="1418" w:left="226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ss  Julius" w:date="2026-04-03T16:33:00Z" w:initials="JV">
    <w:p w14:paraId="685053A4" w14:textId="77777777" w:rsidR="00E84BB5" w:rsidRDefault="00E84BB5" w:rsidP="00E84BB5">
      <w:pPr>
        <w:pStyle w:val="Kommentartext"/>
      </w:pPr>
      <w:r>
        <w:rPr>
          <w:rStyle w:val="Kommentarzeichen"/>
        </w:rPr>
        <w:annotationRef/>
      </w:r>
      <w:r>
        <w:t>Not included in the model yet</w:t>
      </w:r>
    </w:p>
  </w:comment>
  <w:comment w:id="1" w:author="Voss  Julius" w:date="2026-04-03T16:39:00Z" w:initials="JV">
    <w:p w14:paraId="0764B037" w14:textId="77777777" w:rsidR="007E307D" w:rsidRDefault="007E307D" w:rsidP="007E307D">
      <w:pPr>
        <w:pStyle w:val="Kommentartext"/>
      </w:pPr>
      <w:r>
        <w:rPr>
          <w:rStyle w:val="Kommentarzeichen"/>
        </w:rPr>
        <w:annotationRef/>
      </w:r>
      <w:r>
        <w:t>As far as i remember this is not true</w:t>
      </w:r>
    </w:p>
  </w:comment>
  <w:comment w:id="2" w:author="Voss  Julius" w:date="2026-04-03T16:41:00Z" w:initials="JV">
    <w:p w14:paraId="7E4B69A1" w14:textId="77777777" w:rsidR="00E41A5C" w:rsidRDefault="00E41A5C" w:rsidP="00E41A5C">
      <w:pPr>
        <w:pStyle w:val="Kommentartext"/>
      </w:pPr>
      <w:r>
        <w:rPr>
          <w:rStyle w:val="Kommentarzeichen"/>
        </w:rPr>
        <w:annotationRef/>
      </w:r>
      <w:r>
        <w:t>Check this</w:t>
      </w:r>
    </w:p>
  </w:comment>
  <w:comment w:id="3" w:author="Voss  Julius" w:date="2026-04-03T16:49:00Z" w:initials="JV">
    <w:p w14:paraId="5404FDAB" w14:textId="77777777" w:rsidR="00E41A5C" w:rsidRDefault="00E41A5C" w:rsidP="00E41A5C">
      <w:pPr>
        <w:pStyle w:val="Kommentartext"/>
      </w:pPr>
      <w:r>
        <w:rPr>
          <w:rStyle w:val="Kommentarzeichen"/>
        </w:rPr>
        <w:annotationRef/>
      </w:r>
      <w:r>
        <w:t>Could make a nice plot with colours</w:t>
      </w:r>
    </w:p>
  </w:comment>
  <w:comment w:id="4" w:author="Voss  Julius" w:date="2026-04-03T16:58:00Z" w:initials="JV">
    <w:p w14:paraId="4F66ED95" w14:textId="77777777" w:rsidR="00774F5D" w:rsidRDefault="00774F5D" w:rsidP="00774F5D">
      <w:pPr>
        <w:pStyle w:val="Kommentartext"/>
      </w:pPr>
      <w:r>
        <w:rPr>
          <w:rStyle w:val="Kommentarzeichen"/>
        </w:rPr>
        <w:annotationRef/>
      </w:r>
      <w:r>
        <w:t>Would throw this out - what could be interesting is checking what clothes of the catalogue are used after the structural break.</w:t>
      </w:r>
    </w:p>
    <w:p w14:paraId="61F45110" w14:textId="77777777" w:rsidR="00774F5D" w:rsidRDefault="00774F5D" w:rsidP="00774F5D">
      <w:pPr>
        <w:pStyle w:val="Kommentartext"/>
      </w:pPr>
      <w:r>
        <w:br/>
        <w:t>maybe bags and accesoires have even a higher share than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053A4" w15:done="0"/>
  <w15:commentEx w15:paraId="0764B037" w15:done="0"/>
  <w15:commentEx w15:paraId="7E4B69A1" w15:done="0"/>
  <w15:commentEx w15:paraId="5404FDAB" w15:done="0"/>
  <w15:commentEx w15:paraId="61F451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69E86" w16cex:dateUtc="2026-04-03T14:33:00Z"/>
  <w16cex:commentExtensible w16cex:durableId="54C741E6" w16cex:dateUtc="2026-04-03T14:39:00Z"/>
  <w16cex:commentExtensible w16cex:durableId="7ADBCAF4" w16cex:dateUtc="2026-04-03T14:41:00Z"/>
  <w16cex:commentExtensible w16cex:durableId="713A3DFF" w16cex:dateUtc="2026-04-03T14:49:00Z"/>
  <w16cex:commentExtensible w16cex:durableId="7455C9A8" w16cex:dateUtc="2026-04-03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053A4" w16cid:durableId="7F469E86"/>
  <w16cid:commentId w16cid:paraId="0764B037" w16cid:durableId="54C741E6"/>
  <w16cid:commentId w16cid:paraId="7E4B69A1" w16cid:durableId="7ADBCAF4"/>
  <w16cid:commentId w16cid:paraId="5404FDAB" w16cid:durableId="713A3DFF"/>
  <w16cid:commentId w16cid:paraId="61F45110" w16cid:durableId="7455C9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403A" w14:textId="77777777" w:rsidR="005D458F" w:rsidRDefault="005D458F">
      <w:r>
        <w:separator/>
      </w:r>
    </w:p>
  </w:endnote>
  <w:endnote w:type="continuationSeparator" w:id="0">
    <w:p w14:paraId="1F3BCB53" w14:textId="77777777" w:rsidR="005D458F" w:rsidRDefault="005D4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2E13" w14:textId="77777777" w:rsidR="00254999" w:rsidRDefault="00000000">
    <w:pPr>
      <w:jc w:val="center"/>
    </w:pPr>
    <w:r>
      <w:rPr>
        <w:sz w:val="20"/>
        <w:szCs w:val="20"/>
      </w:rPr>
      <w:fldChar w:fldCharType="begin"/>
    </w:r>
    <w:r>
      <w:rPr>
        <w:sz w:val="20"/>
        <w:szCs w:val="20"/>
      </w:rPr>
      <w:instrText>PAGE</w:instrText>
    </w:r>
    <w:r>
      <w:rPr>
        <w:sz w:val="20"/>
        <w:szCs w:val="20"/>
      </w:rPr>
      <w:fldChar w:fldCharType="separate"/>
    </w:r>
    <w:r w:rsidR="009313B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DA2BC" w14:textId="543ACB75" w:rsidR="00254999"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9313B7">
      <w:rPr>
        <w:noProof/>
        <w:sz w:val="20"/>
        <w:szCs w:val="20"/>
      </w:rPr>
      <w:t>7</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9313B7">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ED608" w14:textId="77777777" w:rsidR="005D458F" w:rsidRDefault="005D458F">
      <w:r>
        <w:separator/>
      </w:r>
    </w:p>
  </w:footnote>
  <w:footnote w:type="continuationSeparator" w:id="0">
    <w:p w14:paraId="0DD81767" w14:textId="77777777" w:rsidR="005D458F" w:rsidRDefault="005D45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44ACF"/>
    <w:multiLevelType w:val="hybridMultilevel"/>
    <w:tmpl w:val="7B4A49CC"/>
    <w:lvl w:ilvl="0" w:tplc="AB764396">
      <w:start w:val="1"/>
      <w:numFmt w:val="bullet"/>
      <w:lvlText w:val="●"/>
      <w:lvlJc w:val="left"/>
      <w:pPr>
        <w:ind w:left="720" w:hanging="360"/>
      </w:pPr>
    </w:lvl>
    <w:lvl w:ilvl="1" w:tplc="39666AD2">
      <w:start w:val="1"/>
      <w:numFmt w:val="bullet"/>
      <w:lvlText w:val="○"/>
      <w:lvlJc w:val="left"/>
      <w:pPr>
        <w:ind w:left="1440" w:hanging="360"/>
      </w:pPr>
    </w:lvl>
    <w:lvl w:ilvl="2" w:tplc="6CD6E0F4">
      <w:start w:val="1"/>
      <w:numFmt w:val="bullet"/>
      <w:lvlText w:val="■"/>
      <w:lvlJc w:val="left"/>
      <w:pPr>
        <w:ind w:left="2160" w:hanging="360"/>
      </w:pPr>
    </w:lvl>
    <w:lvl w:ilvl="3" w:tplc="B600C57A">
      <w:start w:val="1"/>
      <w:numFmt w:val="bullet"/>
      <w:lvlText w:val="●"/>
      <w:lvlJc w:val="left"/>
      <w:pPr>
        <w:ind w:left="2880" w:hanging="360"/>
      </w:pPr>
    </w:lvl>
    <w:lvl w:ilvl="4" w:tplc="8B12C2B8">
      <w:start w:val="1"/>
      <w:numFmt w:val="bullet"/>
      <w:lvlText w:val="○"/>
      <w:lvlJc w:val="left"/>
      <w:pPr>
        <w:ind w:left="3600" w:hanging="360"/>
      </w:pPr>
    </w:lvl>
    <w:lvl w:ilvl="5" w:tplc="8500E4F4">
      <w:start w:val="1"/>
      <w:numFmt w:val="bullet"/>
      <w:lvlText w:val="■"/>
      <w:lvlJc w:val="left"/>
      <w:pPr>
        <w:ind w:left="4320" w:hanging="360"/>
      </w:pPr>
    </w:lvl>
    <w:lvl w:ilvl="6" w:tplc="146CF592">
      <w:start w:val="1"/>
      <w:numFmt w:val="bullet"/>
      <w:lvlText w:val="●"/>
      <w:lvlJc w:val="left"/>
      <w:pPr>
        <w:ind w:left="5040" w:hanging="360"/>
      </w:pPr>
    </w:lvl>
    <w:lvl w:ilvl="7" w:tplc="9670F094">
      <w:start w:val="1"/>
      <w:numFmt w:val="bullet"/>
      <w:lvlText w:val="●"/>
      <w:lvlJc w:val="left"/>
      <w:pPr>
        <w:ind w:left="5760" w:hanging="360"/>
      </w:pPr>
    </w:lvl>
    <w:lvl w:ilvl="8" w:tplc="EF6A3E38">
      <w:start w:val="1"/>
      <w:numFmt w:val="bullet"/>
      <w:lvlText w:val="●"/>
      <w:lvlJc w:val="left"/>
      <w:pPr>
        <w:ind w:left="6480" w:hanging="360"/>
      </w:pPr>
    </w:lvl>
  </w:abstractNum>
  <w:num w:numId="1" w16cid:durableId="190506966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ss  Julius">
    <w15:presenceInfo w15:providerId="AD" w15:userId="S::juvoss@ethz.ch::83644875-995c-4abe-9920-101e8e8b4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999"/>
    <w:rsid w:val="00254999"/>
    <w:rsid w:val="005D458F"/>
    <w:rsid w:val="00774F5D"/>
    <w:rsid w:val="007E307D"/>
    <w:rsid w:val="009313B7"/>
    <w:rsid w:val="00A31865"/>
    <w:rsid w:val="00D53E8E"/>
    <w:rsid w:val="00DE1F4C"/>
    <w:rsid w:val="00E41A5C"/>
    <w:rsid w:val="00E4382E"/>
    <w:rsid w:val="00E84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F3AC"/>
  <w15:docId w15:val="{178D83FD-ADB2-45B3-8496-06FEE62D0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line="360" w:lineRule="auto"/>
      <w:outlineLvl w:val="0"/>
    </w:pPr>
    <w:rPr>
      <w:b/>
      <w:bCs/>
      <w:color w:val="000000"/>
      <w:sz w:val="28"/>
      <w:szCs w:val="28"/>
    </w:rPr>
  </w:style>
  <w:style w:type="paragraph" w:styleId="berschrift2">
    <w:name w:val="heading 2"/>
    <w:uiPriority w:val="9"/>
    <w:unhideWhenUsed/>
    <w:qFormat/>
    <w:pPr>
      <w:spacing w:before="320" w:after="160" w:line="360" w:lineRule="auto"/>
      <w:outlineLvl w:val="1"/>
    </w:pPr>
    <w:rPr>
      <w:b/>
      <w:bCs/>
      <w:color w:val="000000"/>
      <w:sz w:val="26"/>
      <w:szCs w:val="26"/>
    </w:rPr>
  </w:style>
  <w:style w:type="paragraph" w:styleId="berschrift3">
    <w:name w:val="heading 3"/>
    <w:uiPriority w:val="9"/>
    <w:unhideWhenUsed/>
    <w:qFormat/>
    <w:pPr>
      <w:spacing w:before="240" w:after="120" w:line="360" w:lineRule="auto"/>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styleId="Kommentarzeichen">
    <w:name w:val="annotation reference"/>
    <w:basedOn w:val="Absatz-Standardschriftart"/>
    <w:uiPriority w:val="99"/>
    <w:semiHidden/>
    <w:unhideWhenUsed/>
    <w:rsid w:val="00E84BB5"/>
    <w:rPr>
      <w:sz w:val="16"/>
      <w:szCs w:val="16"/>
    </w:rPr>
  </w:style>
  <w:style w:type="paragraph" w:styleId="Kommentartext">
    <w:name w:val="annotation text"/>
    <w:basedOn w:val="Standard"/>
    <w:link w:val="KommentartextZchn"/>
    <w:uiPriority w:val="99"/>
    <w:unhideWhenUsed/>
    <w:rsid w:val="00E84BB5"/>
    <w:rPr>
      <w:sz w:val="20"/>
      <w:szCs w:val="20"/>
    </w:rPr>
  </w:style>
  <w:style w:type="character" w:customStyle="1" w:styleId="KommentartextZchn">
    <w:name w:val="Kommentartext Zchn"/>
    <w:basedOn w:val="Absatz-Standardschriftart"/>
    <w:link w:val="Kommentartext"/>
    <w:uiPriority w:val="99"/>
    <w:rsid w:val="00E84BB5"/>
    <w:rPr>
      <w:sz w:val="20"/>
      <w:szCs w:val="20"/>
    </w:rPr>
  </w:style>
  <w:style w:type="paragraph" w:styleId="Kommentarthema">
    <w:name w:val="annotation subject"/>
    <w:basedOn w:val="Kommentartext"/>
    <w:next w:val="Kommentartext"/>
    <w:link w:val="KommentarthemaZchn"/>
    <w:uiPriority w:val="99"/>
    <w:semiHidden/>
    <w:unhideWhenUsed/>
    <w:rsid w:val="00E84BB5"/>
    <w:rPr>
      <w:b/>
      <w:bCs/>
    </w:rPr>
  </w:style>
  <w:style w:type="character" w:customStyle="1" w:styleId="KommentarthemaZchn">
    <w:name w:val="Kommentarthema Zchn"/>
    <w:basedOn w:val="KommentartextZchn"/>
    <w:link w:val="Kommentarthema"/>
    <w:uiPriority w:val="99"/>
    <w:semiHidden/>
    <w:rsid w:val="00E84B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6549</Words>
  <Characters>37331</Characters>
  <Application>Microsoft Office Word</Application>
  <DocSecurity>0</DocSecurity>
  <Lines>311</Lines>
  <Paragraphs>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Voss  Julius</cp:lastModifiedBy>
  <cp:revision>7</cp:revision>
  <dcterms:created xsi:type="dcterms:W3CDTF">2026-04-03T10:09:00Z</dcterms:created>
  <dcterms:modified xsi:type="dcterms:W3CDTF">2026-04-03T14:59:00Z</dcterms:modified>
</cp:coreProperties>
</file>