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00"/>
        <w:jc w:val="center"/>
      </w:pPr>
      <w:r>
        <w:rPr>
          <w:rFonts w:ascii="Times New Roman" w:cs="Times New Roman" w:eastAsia="Times New Roman" w:hAnsi="Times New Roman"/>
          <w:b/>
          <w:bCs/>
          <w:sz w:val="32"/>
          <w:szCs w:val="32"/>
        </w:rPr>
        <w:t xml:space="preserve">Marketing Analytics: Customer Segmentation,</w:t>
      </w:r>
    </w:p>
    <w:p>
      <w:pPr>
        <w:spacing w:after="800" w:before="0"/>
        <w:jc w:val="center"/>
      </w:pPr>
      <w:r>
        <w:rPr>
          <w:rFonts w:ascii="Times New Roman" w:cs="Times New Roman" w:eastAsia="Times New Roman" w:hAnsi="Times New Roman"/>
          <w:b/>
          <w:bCs/>
          <w:sz w:val="32"/>
          <w:szCs w:val="32"/>
        </w:rPr>
        <w:t xml:space="preserve">Revenue Prediction, and Churn Analysis for Vibrent</w:t>
      </w:r>
    </w:p>
    <w:p>
      <w:pPr>
        <w:spacing w:after="400" w:before="0"/>
        <w:jc w:val="center"/>
      </w:pPr>
      <w:r>
        <w:rPr>
          <w:rFonts w:ascii="Times New Roman" w:cs="Times New Roman" w:eastAsia="Times New Roman" w:hAnsi="Times New Roman"/>
          <w:sz w:val="26"/>
          <w:szCs w:val="26"/>
        </w:rPr>
        <w:t xml:space="preserve">Semester Project</w:t>
      </w:r>
    </w:p>
    <w:p>
      <w:pPr>
        <w:spacing w:after="200" w:before="0"/>
        <w:jc w:val="center"/>
      </w:pPr>
      <w:r>
        <w:rPr>
          <w:rFonts w:ascii="Times New Roman" w:cs="Times New Roman" w:eastAsia="Times New Roman" w:hAnsi="Times New Roman"/>
          <w:sz w:val="24"/>
          <w:szCs w:val="24"/>
        </w:rPr>
        <w:t xml:space="preserve">Technology Marketing</w:t>
      </w:r>
    </w:p>
    <w:p>
      <w:pPr>
        <w:spacing w:after="800" w:before="0"/>
        <w:jc w:val="center"/>
      </w:pPr>
      <w:r>
        <w:rPr>
          <w:rFonts w:ascii="Times New Roman" w:cs="Times New Roman" w:eastAsia="Times New Roman" w:hAnsi="Times New Roman"/>
          <w:sz w:val="24"/>
          <w:szCs w:val="24"/>
        </w:rPr>
        <w:t xml:space="preserve">ETH Zürich</w:t>
      </w:r>
    </w:p>
    <w:p>
      <w:pPr>
        <w:spacing w:after="200" w:before="0"/>
        <w:jc w:val="center"/>
      </w:pPr>
      <w:r>
        <w:rPr>
          <w:rFonts w:ascii="Times New Roman" w:cs="Times New Roman" w:eastAsia="Times New Roman" w:hAnsi="Times New Roman"/>
          <w:sz w:val="24"/>
          <w:szCs w:val="24"/>
        </w:rPr>
        <w:t xml:space="preserve">Supervisor: PD Dr. Sebastian Tillmanns</w:t>
      </w:r>
    </w:p>
    <w:p>
      <w:pPr>
        <w:spacing w:after="800" w:before="0"/>
        <w:jc w:val="center"/>
      </w:pPr>
      <w:r>
        <w:rPr>
          <w:rFonts w:ascii="Times New Roman" w:cs="Times New Roman" w:eastAsia="Times New Roman" w:hAnsi="Times New Roman"/>
          <w:sz w:val="24"/>
          <w:szCs w:val="24"/>
        </w:rPr>
        <w:t xml:space="preserve">Lecture Support: Daniel Schoess</w:t>
      </w:r>
    </w:p>
    <w:p>
      <w:pPr>
        <w:spacing w:after="200" w:before="0"/>
        <w:jc w:val="center"/>
      </w:pPr>
      <w:r>
        <w:rPr>
          <w:rFonts w:ascii="Times New Roman" w:cs="Times New Roman" w:eastAsia="Times New Roman" w:hAnsi="Times New Roman"/>
          <w:sz w:val="24"/>
          <w:szCs w:val="24"/>
        </w:rPr>
        <w:t xml:space="preserve">Submitted by:</w:t>
      </w:r>
    </w:p>
    <w:p>
      <w:pPr>
        <w:spacing w:after="200" w:before="0"/>
        <w:jc w:val="center"/>
      </w:pPr>
      <w:r>
        <w:rPr>
          <w:rFonts w:ascii="Times New Roman" w:cs="Times New Roman" w:eastAsia="Times New Roman" w:hAnsi="Times New Roman"/>
          <w:sz w:val="24"/>
          <w:szCs w:val="24"/>
        </w:rPr>
        <w:t xml:space="preserve">[Group Member 1 — Matr.Nr. XXXXXXXX]</w:t>
      </w:r>
    </w:p>
    <w:p>
      <w:pPr>
        <w:spacing w:after="200" w:before="0"/>
        <w:jc w:val="center"/>
      </w:pPr>
      <w:r>
        <w:rPr>
          <w:rFonts w:ascii="Times New Roman" w:cs="Times New Roman" w:eastAsia="Times New Roman" w:hAnsi="Times New Roman"/>
          <w:sz w:val="24"/>
          <w:szCs w:val="24"/>
        </w:rPr>
        <w:t xml:space="preserve">[Group Member 2 — Matr.Nr. XXXXXXXX]</w:t>
      </w:r>
    </w:p>
    <w:p>
      <w:pPr>
        <w:spacing w:after="200" w:before="0"/>
        <w:jc w:val="center"/>
      </w:pPr>
      <w:r>
        <w:rPr>
          <w:rFonts w:ascii="Times New Roman" w:cs="Times New Roman" w:eastAsia="Times New Roman" w:hAnsi="Times New Roman"/>
          <w:sz w:val="24"/>
          <w:szCs w:val="24"/>
        </w:rPr>
        <w:t xml:space="preserve">[Group Member 3 — Matr.Nr. XXXXXXXX]</w:t>
      </w:r>
    </w:p>
    <w:p>
      <w:pPr>
        <w:spacing w:after="200" w:before="400"/>
        <w:jc w:val="center"/>
      </w:pPr>
      <w:r>
        <w:rPr>
          <w:rFonts w:ascii="Times New Roman" w:cs="Times New Roman" w:eastAsia="Times New Roman" w:hAnsi="Times New Roman"/>
          <w:sz w:val="24"/>
          <w:szCs w:val="24"/>
        </w:rPr>
        <w:t xml:space="preserve">Date of Submission: April 26, 2026</w:t>
      </w:r>
    </w:p>
    <w:p>
      <w:pPr>
        <w:sectPr>
          <w:type w:val="nextPage"/>
          <w:pgSz w:w="11906" w:h="16838" w:orient="portrait"/>
          <w:pgMar w:top="1418" w:right="1418" w:bottom="1418" w:left="2268" w:header="708" w:footer="708" w:gutter="0"/>
          <w:pgNumType/>
          <w:docGrid w:linePitch="360"/>
        </w:sectPr>
      </w:pPr>
    </w:p>
    <w:p>
      <w:pPr>
        <w:spacing w:after="240" w:before="0" w:line="360" w:lineRule="auto"/>
        <w:jc w:val="center"/>
      </w:pPr>
      <w:r>
        <w:rPr>
          <w:rFonts w:ascii="Times New Roman" w:cs="Times New Roman" w:eastAsia="Times New Roman" w:hAnsi="Times New Roman"/>
          <w:b/>
          <w:bCs/>
          <w:sz w:val="28"/>
          <w:szCs w:val="28"/>
        </w:rPr>
        <w:t xml:space="preserve">Abstract</w:t>
      </w:r>
    </w:p>
    <w:p>
      <w:pPr>
        <w:spacing w:after="160" w:before="0" w:line="360" w:lineRule="auto"/>
        <w:jc w:val="both"/>
      </w:pPr>
      <w:r>
        <w:rPr>
          <w:rFonts w:ascii="Times New Roman" w:cs="Times New Roman" w:eastAsia="Times New Roman" w:hAnsi="Times New Roman"/>
          <w:sz w:val="24"/>
          <w:szCs w:val="24"/>
        </w:rPr>
        <w:t xml:space="preserve">This study develops an end-to-end marketing analytics pipeline for Vibrent, a Norwegian fashion rental company operating in the subscription-based circular economy. Using historical rental transaction data from April 2020 to September 2023, multimodal product embeddings, and a product catalog of 15,649 garments, the analysis addresses three interdependent tasks: product segmentation, customer revenue prediction, and churn identification.</w:t>
      </w:r>
    </w:p>
    <w:p>
      <w:pPr>
        <w:spacing w:after="160" w:before="0" w:line="360" w:lineRule="auto"/>
        <w:jc w:val="both"/>
      </w:pPr>
      <w:r>
        <w:rPr>
          <w:rFonts w:ascii="Times New Roman" w:cs="Times New Roman" w:eastAsia="Times New Roman" w:hAnsi="Times New Roman"/>
          <w:sz w:val="24"/>
          <w:szCs w:val="24"/>
        </w:rPr>
        <w:t xml:space="preserve">For product segmentation, Voyage Multimodal 3.5 embeddings reduced via UMAP and clustered using K-Means (k = 8) yield eight semantically coherent product segments. Business profiling reveals that Bags &amp; Accessories is a supply-constrained white space with a revenue-per-item figure of 10,139 NOK — nearly double that of the next highest category — and a utilization rate 71 percent above the catalog average. Customer affinity analysis demonstrates that style diversity rather than style preference distinguishes loyal from at-risk customers: at-risk customers concentrate 79 percent of their spending on a single cluster while loyal customers distribute spending broadly across five or more categories.</w:t>
      </w:r>
    </w:p>
    <w:p>
      <w:pPr>
        <w:spacing w:after="160" w:before="0" w:line="360" w:lineRule="auto"/>
        <w:jc w:val="both"/>
      </w:pPr>
      <w:r>
        <w:rPr>
          <w:rFonts w:ascii="Times New Roman" w:cs="Times New Roman" w:eastAsia="Times New Roman" w:hAnsi="Times New Roman"/>
          <w:sz w:val="24"/>
          <w:szCs w:val="24"/>
        </w:rPr>
        <w:t xml:space="preserve">For revenue prediction, a comprehensive modeling pipeline was developed progressing from an RFM Ridge Regression baseline (training MAE: 14,674 NOK) through a standard LightGBM model, to a final LightGBM model with Tweedie objective and Sequential Forward Selection of 18 features achieving a test fold MAE of 2,499 NOK. Feature ablation analysis confirms that all major feature groups contribute positively, with cluster affinity and velocity features (revenue per day, rentals per day) among the most impactful. Style entropy ranks consistently in the top 10 features, empirically validating the integration of product segmentation into customer-level prediction. A two-stage model separating churn classification from revenue regression was developed and evaluated but did not outperform the single-stage approach due to the limited number of active training customers. Churn prediction is planned as a subsequent step.</w:t>
      </w:r>
    </w:p>
    <w:p>
      <w:pPr>
        <w:spacing w:after="160" w:before="0" w:line="360" w:lineRule="auto"/>
        <w:jc w:val="both"/>
      </w:pPr>
      <w:r>
        <w:rPr>
          <w:rFonts w:ascii="Times New Roman" w:cs="Times New Roman" w:eastAsia="Times New Roman" w:hAnsi="Times New Roman"/>
          <w:sz w:val="24"/>
          <w:szCs w:val="24"/>
        </w:rPr>
        <w:t xml:space="preserve">The central methodological contribution is the demonstrated integration of multimodal product intelligence into customer-level predictive models through cluster affinity features and style entropy, providing both stronger predictions and richer business interpretability than conventional RFM approaches.</w:t>
      </w:r>
    </w:p>
    <w:p>
      <w:r>
        <w:br w:type="page"/>
      </w:r>
    </w:p>
    <w:p>
      <w:pPr>
        <w:spacing w:after="240" w:before="0" w:line="360" w:lineRule="auto"/>
        <w:jc w:val="center"/>
      </w:pPr>
      <w:r>
        <w:rPr>
          <w:rFonts w:ascii="Times New Roman" w:cs="Times New Roman" w:eastAsia="Times New Roman" w:hAnsi="Times New Roman"/>
          <w:b/>
          <w:bCs/>
          <w:sz w:val="28"/>
          <w:szCs w:val="28"/>
        </w:rPr>
        <w:t xml:space="preserve">Table of Contents</w:t>
      </w:r>
    </w:p>
    <w:p>
      <w:pPr>
        <w:spacing w:after="160" w:before="0" w:line="360" w:lineRule="auto"/>
        <w:jc w:val="both"/>
      </w:pPr>
      <w:r>
        <w:rPr>
          <w:rFonts w:ascii="Times New Roman" w:cs="Times New Roman" w:eastAsia="Times New Roman" w:hAnsi="Times New Roman"/>
          <w:sz w:val="24"/>
          <w:szCs w:val="24"/>
        </w:rPr>
        <w:t xml:space="preserve">1. Introduction ..................................................................................................................................................... 1</w:t>
      </w:r>
    </w:p>
    <w:p>
      <w:pPr>
        <w:spacing w:after="160" w:before="0" w:line="360" w:lineRule="auto"/>
        <w:jc w:val="both"/>
      </w:pPr>
      <w:r>
        <w:rPr>
          <w:rFonts w:ascii="Times New Roman" w:cs="Times New Roman" w:eastAsia="Times New Roman" w:hAnsi="Times New Roman"/>
          <w:sz w:val="24"/>
          <w:szCs w:val="24"/>
        </w:rPr>
        <w:t xml:space="preserve">   1.1 Problem Statement .................................................................................................................................... 1</w:t>
      </w:r>
    </w:p>
    <w:p>
      <w:pPr>
        <w:spacing w:after="160" w:before="0" w:line="360" w:lineRule="auto"/>
        <w:jc w:val="both"/>
      </w:pPr>
      <w:r>
        <w:rPr>
          <w:rFonts w:ascii="Times New Roman" w:cs="Times New Roman" w:eastAsia="Times New Roman" w:hAnsi="Times New Roman"/>
          <w:sz w:val="24"/>
          <w:szCs w:val="24"/>
        </w:rPr>
        <w:t xml:space="preserve">   1.2 Objectives and Structure ........................................................................................................................... 1</w:t>
      </w:r>
    </w:p>
    <w:p>
      <w:pPr>
        <w:spacing w:after="160" w:before="0" w:line="360" w:lineRule="auto"/>
        <w:jc w:val="both"/>
      </w:pPr>
      <w:r>
        <w:rPr>
          <w:rFonts w:ascii="Times New Roman" w:cs="Times New Roman" w:eastAsia="Times New Roman" w:hAnsi="Times New Roman"/>
          <w:sz w:val="24"/>
          <w:szCs w:val="24"/>
        </w:rPr>
        <w:t xml:space="preserve">2. Data ................................................................................................................................................................. 2</w:t>
      </w:r>
    </w:p>
    <w:p>
      <w:pPr>
        <w:spacing w:after="160" w:before="0" w:line="360" w:lineRule="auto"/>
        <w:jc w:val="both"/>
      </w:pPr>
      <w:r>
        <w:rPr>
          <w:rFonts w:ascii="Times New Roman" w:cs="Times New Roman" w:eastAsia="Times New Roman" w:hAnsi="Times New Roman"/>
          <w:sz w:val="24"/>
          <w:szCs w:val="24"/>
        </w:rPr>
        <w:t xml:space="preserve">   2.1 Dataset Description ................................................................................................................................... 2</w:t>
      </w:r>
    </w:p>
    <w:p>
      <w:pPr>
        <w:spacing w:after="160" w:before="0" w:line="360" w:lineRule="auto"/>
        <w:jc w:val="both"/>
      </w:pPr>
      <w:r>
        <w:rPr>
          <w:rFonts w:ascii="Times New Roman" w:cs="Times New Roman" w:eastAsia="Times New Roman" w:hAnsi="Times New Roman"/>
          <w:sz w:val="24"/>
          <w:szCs w:val="24"/>
        </w:rPr>
        <w:t xml:space="preserve">   2.2 Structural Break and Data Filtering ........................................................................................................... 2</w:t>
      </w:r>
    </w:p>
    <w:p>
      <w:pPr>
        <w:spacing w:after="160" w:before="0" w:line="360" w:lineRule="auto"/>
        <w:jc w:val="both"/>
      </w:pPr>
      <w:r>
        <w:rPr>
          <w:rFonts w:ascii="Times New Roman" w:cs="Times New Roman" w:eastAsia="Times New Roman" w:hAnsi="Times New Roman"/>
          <w:sz w:val="24"/>
          <w:szCs w:val="24"/>
        </w:rPr>
        <w:t xml:space="preserve">   2.3 Data Cleaning ........................................................................................................................................... 2</w:t>
      </w:r>
    </w:p>
    <w:p>
      <w:pPr>
        <w:spacing w:after="160" w:before="0" w:line="360" w:lineRule="auto"/>
        <w:jc w:val="both"/>
      </w:pPr>
      <w:r>
        <w:rPr>
          <w:rFonts w:ascii="Times New Roman" w:cs="Times New Roman" w:eastAsia="Times New Roman" w:hAnsi="Times New Roman"/>
          <w:sz w:val="24"/>
          <w:szCs w:val="24"/>
        </w:rPr>
        <w:t xml:space="preserve">   2.4 Temporal Validation Strategy .................................................................................................................... 3</w:t>
      </w:r>
    </w:p>
    <w:p>
      <w:pPr>
        <w:spacing w:after="160" w:before="0" w:line="360" w:lineRule="auto"/>
        <w:jc w:val="both"/>
      </w:pPr>
      <w:r>
        <w:rPr>
          <w:rFonts w:ascii="Times New Roman" w:cs="Times New Roman" w:eastAsia="Times New Roman" w:hAnsi="Times New Roman"/>
          <w:sz w:val="24"/>
          <w:szCs w:val="24"/>
        </w:rPr>
        <w:t xml:space="preserve">3. Theoretical and Methodological Foundation ................................................................................................ 3</w:t>
      </w:r>
    </w:p>
    <w:p>
      <w:pPr>
        <w:spacing w:after="160" w:before="0" w:line="360" w:lineRule="auto"/>
        <w:jc w:val="both"/>
      </w:pPr>
      <w:r>
        <w:rPr>
          <w:rFonts w:ascii="Times New Roman" w:cs="Times New Roman" w:eastAsia="Times New Roman" w:hAnsi="Times New Roman"/>
          <w:sz w:val="24"/>
          <w:szCs w:val="24"/>
        </w:rPr>
        <w:t xml:space="preserve">4. Product Segmentation .................................................................................................................................... 4</w:t>
      </w:r>
    </w:p>
    <w:p>
      <w:pPr>
        <w:spacing w:after="160" w:before="0" w:line="360" w:lineRule="auto"/>
        <w:jc w:val="both"/>
      </w:pPr>
      <w:r>
        <w:rPr>
          <w:rFonts w:ascii="Times New Roman" w:cs="Times New Roman" w:eastAsia="Times New Roman" w:hAnsi="Times New Roman"/>
          <w:sz w:val="24"/>
          <w:szCs w:val="24"/>
        </w:rPr>
        <w:t xml:space="preserve">5. Customer Revenue Prediction ....................................................................................................................... 8</w:t>
      </w:r>
    </w:p>
    <w:p>
      <w:pPr>
        <w:spacing w:after="160" w:before="0" w:line="360" w:lineRule="auto"/>
        <w:jc w:val="both"/>
      </w:pPr>
      <w:r>
        <w:rPr>
          <w:rFonts w:ascii="Times New Roman" w:cs="Times New Roman" w:eastAsia="Times New Roman" w:hAnsi="Times New Roman"/>
          <w:sz w:val="24"/>
          <w:szCs w:val="24"/>
        </w:rPr>
        <w:t xml:space="preserve">   5.1 Problem Framing ...................................................................................................................................... 8</w:t>
      </w:r>
    </w:p>
    <w:p>
      <w:pPr>
        <w:spacing w:after="160" w:before="0" w:line="360" w:lineRule="auto"/>
        <w:jc w:val="both"/>
      </w:pPr>
      <w:r>
        <w:rPr>
          <w:rFonts w:ascii="Times New Roman" w:cs="Times New Roman" w:eastAsia="Times New Roman" w:hAnsi="Times New Roman"/>
          <w:sz w:val="24"/>
          <w:szCs w:val="24"/>
        </w:rPr>
        <w:t xml:space="preserve">   5.2 Baseline Model: RFM Ridge Regression .................................................................................................. 8</w:t>
      </w:r>
    </w:p>
    <w:p>
      <w:pPr>
        <w:spacing w:after="160" w:before="0" w:line="360" w:lineRule="auto"/>
        <w:jc w:val="both"/>
      </w:pPr>
      <w:r>
        <w:rPr>
          <w:rFonts w:ascii="Times New Roman" w:cs="Times New Roman" w:eastAsia="Times New Roman" w:hAnsi="Times New Roman"/>
          <w:sz w:val="24"/>
          <w:szCs w:val="24"/>
        </w:rPr>
        <w:t xml:space="preserve">   5.3 Feature Engineering ................................................................................................................................. 9</w:t>
      </w:r>
    </w:p>
    <w:p>
      <w:pPr>
        <w:spacing w:after="160" w:before="0" w:line="360" w:lineRule="auto"/>
        <w:jc w:val="both"/>
      </w:pPr>
      <w:r>
        <w:rPr>
          <w:rFonts w:ascii="Times New Roman" w:cs="Times New Roman" w:eastAsia="Times New Roman" w:hAnsi="Times New Roman"/>
          <w:sz w:val="24"/>
          <w:szCs w:val="24"/>
        </w:rPr>
        <w:t xml:space="preserve">   5.4 Feature Correlation and Ablation Analysis ............................................................................................... 10</w:t>
      </w:r>
    </w:p>
    <w:p>
      <w:pPr>
        <w:spacing w:after="160" w:before="0" w:line="360" w:lineRule="auto"/>
        <w:jc w:val="both"/>
      </w:pPr>
      <w:r>
        <w:rPr>
          <w:rFonts w:ascii="Times New Roman" w:cs="Times New Roman" w:eastAsia="Times New Roman" w:hAnsi="Times New Roman"/>
          <w:sz w:val="24"/>
          <w:szCs w:val="24"/>
        </w:rPr>
        <w:t xml:space="preserve">   5.5 Feature Selection ..................................................................................................................................... 11</w:t>
      </w:r>
    </w:p>
    <w:p>
      <w:pPr>
        <w:spacing w:after="160" w:before="0" w:line="360" w:lineRule="auto"/>
        <w:jc w:val="both"/>
      </w:pPr>
      <w:r>
        <w:rPr>
          <w:rFonts w:ascii="Times New Roman" w:cs="Times New Roman" w:eastAsia="Times New Roman" w:hAnsi="Times New Roman"/>
          <w:sz w:val="24"/>
          <w:szCs w:val="24"/>
        </w:rPr>
        <w:t xml:space="preserve">   5.6 Final Model: LightGBM with Tweedie Objective ...................................................................................... 11</w:t>
      </w:r>
    </w:p>
    <w:p>
      <w:pPr>
        <w:spacing w:after="160" w:before="0" w:line="360" w:lineRule="auto"/>
        <w:jc w:val="both"/>
      </w:pPr>
      <w:r>
        <w:rPr>
          <w:rFonts w:ascii="Times New Roman" w:cs="Times New Roman" w:eastAsia="Times New Roman" w:hAnsi="Times New Roman"/>
          <w:sz w:val="24"/>
          <w:szCs w:val="24"/>
        </w:rPr>
        <w:t xml:space="preserve">   5.7 Two-Stage Model ..................................................................................................................................... 12</w:t>
      </w:r>
    </w:p>
    <w:p>
      <w:pPr>
        <w:spacing w:after="160" w:before="0" w:line="360" w:lineRule="auto"/>
        <w:jc w:val="both"/>
      </w:pPr>
      <w:r>
        <w:rPr>
          <w:rFonts w:ascii="Times New Roman" w:cs="Times New Roman" w:eastAsia="Times New Roman" w:hAnsi="Times New Roman"/>
          <w:sz w:val="24"/>
          <w:szCs w:val="24"/>
        </w:rPr>
        <w:t xml:space="preserve">   5.8 What Did Not Work .................................................................................................................................. 13</w:t>
      </w:r>
    </w:p>
    <w:p>
      <w:pPr>
        <w:spacing w:after="160" w:before="0" w:line="360" w:lineRule="auto"/>
        <w:jc w:val="both"/>
      </w:pPr>
      <w:r>
        <w:rPr>
          <w:rFonts w:ascii="Times New Roman" w:cs="Times New Roman" w:eastAsia="Times New Roman" w:hAnsi="Times New Roman"/>
          <w:sz w:val="24"/>
          <w:szCs w:val="24"/>
        </w:rPr>
        <w:t xml:space="preserve">6. Churn Prediction ........................................................................................................................................... 14</w:t>
      </w:r>
    </w:p>
    <w:p>
      <w:pPr>
        <w:spacing w:after="160" w:before="0" w:line="360" w:lineRule="auto"/>
        <w:jc w:val="both"/>
      </w:pPr>
      <w:r>
        <w:rPr>
          <w:rFonts w:ascii="Times New Roman" w:cs="Times New Roman" w:eastAsia="Times New Roman" w:hAnsi="Times New Roman"/>
          <w:sz w:val="24"/>
          <w:szCs w:val="24"/>
        </w:rPr>
        <w:t xml:space="preserve">7. Discussion ..................................................................................................................................................... 14</w:t>
      </w:r>
    </w:p>
    <w:p>
      <w:pPr>
        <w:spacing w:after="160" w:before="0" w:line="360" w:lineRule="auto"/>
        <w:jc w:val="both"/>
      </w:pPr>
      <w:r>
        <w:rPr>
          <w:rFonts w:ascii="Times New Roman" w:cs="Times New Roman" w:eastAsia="Times New Roman" w:hAnsi="Times New Roman"/>
          <w:sz w:val="24"/>
          <w:szCs w:val="24"/>
        </w:rPr>
        <w:t xml:space="preserve">8. Conclusion ..................................................................................................................................................... 15</w:t>
      </w:r>
    </w:p>
    <w:p>
      <w:pPr>
        <w:spacing w:after="160" w:before="0" w:line="360" w:lineRule="auto"/>
        <w:jc w:val="both"/>
      </w:pPr>
      <w:r>
        <w:rPr>
          <w:rFonts w:ascii="Times New Roman" w:cs="Times New Roman" w:eastAsia="Times New Roman" w:hAnsi="Times New Roman"/>
          <w:sz w:val="24"/>
          <w:szCs w:val="24"/>
        </w:rPr>
        <w:t xml:space="preserve">References ......................................................................................................................................................... 16</w:t>
      </w:r>
    </w:p>
    <w:p>
      <w:r>
        <w:br w:type="page"/>
      </w:r>
    </w:p>
    <w:p>
      <w:pPr>
        <w:spacing w:after="240" w:before="0" w:line="360" w:lineRule="auto"/>
        <w:jc w:val="center"/>
      </w:pPr>
      <w:r>
        <w:rPr>
          <w:rFonts w:ascii="Times New Roman" w:cs="Times New Roman" w:eastAsia="Times New Roman" w:hAnsi="Times New Roman"/>
          <w:b/>
          <w:bCs/>
          <w:sz w:val="28"/>
          <w:szCs w:val="28"/>
        </w:rPr>
        <w:t xml:space="preserve">List of Tables</w:t>
      </w:r>
    </w:p>
    <w:p>
      <w:pPr>
        <w:spacing w:after="160" w:before="0" w:line="360" w:lineRule="auto"/>
        <w:jc w:val="both"/>
      </w:pPr>
      <w:r>
        <w:rPr>
          <w:rFonts w:ascii="Times New Roman" w:cs="Times New Roman" w:eastAsia="Times New Roman" w:hAnsi="Times New Roman"/>
          <w:sz w:val="24"/>
          <w:szCs w:val="24"/>
        </w:rPr>
        <w:t xml:space="preserve">Table 1: Cluster overview — inventory size and median monthly rental price</w:t>
      </w:r>
    </w:p>
    <w:p>
      <w:pPr>
        <w:spacing w:after="160" w:before="0" w:line="360" w:lineRule="auto"/>
        <w:jc w:val="both"/>
      </w:pPr>
      <w:r>
        <w:rPr>
          <w:rFonts w:ascii="Times New Roman" w:cs="Times New Roman" w:eastAsia="Times New Roman" w:hAnsi="Times New Roman"/>
          <w:sz w:val="24"/>
          <w:szCs w:val="24"/>
        </w:rPr>
        <w:t xml:space="preserve">Table 2: Revenue, utilization, and inventory efficiency by product cluster</w:t>
      </w:r>
    </w:p>
    <w:p>
      <w:pPr>
        <w:spacing w:after="160" w:before="0" w:line="360" w:lineRule="auto"/>
        <w:jc w:val="both"/>
      </w:pPr>
      <w:r>
        <w:rPr>
          <w:rFonts w:ascii="Times New Roman" w:cs="Times New Roman" w:eastAsia="Times New Roman" w:hAnsi="Times New Roman"/>
          <w:sz w:val="24"/>
          <w:szCs w:val="24"/>
        </w:rPr>
        <w:t xml:space="preserve">Table 3: Model performance comparison across all tested approaches</w:t>
      </w:r>
    </w:p>
    <w:p>
      <w:pPr>
        <w:spacing w:after="160" w:before="0" w:line="360" w:lineRule="auto"/>
        <w:jc w:val="both"/>
      </w:pPr>
      <w:r>
        <w:rPr>
          <w:rFonts w:ascii="Times New Roman" w:cs="Times New Roman" w:eastAsia="Times New Roman" w:hAnsi="Times New Roman"/>
          <w:sz w:val="24"/>
          <w:szCs w:val="24"/>
        </w:rPr>
        <w:t xml:space="preserve">Table 4: Feature ablation results — MAE impact of removing feature groups</w:t>
      </w:r>
    </w:p>
    <w:p>
      <w:pPr>
        <w:spacing w:after="160" w:before="0" w:line="360" w:lineRule="auto"/>
        <w:jc w:val="both"/>
      </w:pPr>
      <w:r>
        <w:rPr>
          <w:rFonts w:ascii="Times New Roman" w:cs="Times New Roman" w:eastAsia="Times New Roman" w:hAnsi="Times New Roman"/>
          <w:sz w:val="24"/>
          <w:szCs w:val="24"/>
        </w:rPr>
        <w:t xml:space="preserve">Table 5: Two-stage model diagnostic — MAE by actual revenue bucket</w:t>
      </w:r>
    </w:p>
    <w:p>
      <w:r>
        <w:br w:type="page"/>
      </w:r>
    </w:p>
    <w:p>
      <w:pPr>
        <w:spacing w:after="240" w:before="0" w:line="360" w:lineRule="auto"/>
        <w:jc w:val="center"/>
      </w:pPr>
      <w:r>
        <w:rPr>
          <w:rFonts w:ascii="Times New Roman" w:cs="Times New Roman" w:eastAsia="Times New Roman" w:hAnsi="Times New Roman"/>
          <w:b/>
          <w:bCs/>
          <w:sz w:val="28"/>
          <w:szCs w:val="28"/>
        </w:rPr>
        <w:t xml:space="preserve">List of Abbreviations</w:t>
      </w:r>
    </w:p>
    <w:p>
      <w:pPr>
        <w:spacing w:after="160" w:before="0" w:line="360" w:lineRule="auto"/>
        <w:jc w:val="both"/>
      </w:pPr>
      <w:r>
        <w:rPr>
          <w:rFonts w:ascii="Times New Roman" w:cs="Times New Roman" w:eastAsia="Times New Roman" w:hAnsi="Times New Roman"/>
          <w:sz w:val="24"/>
          <w:szCs w:val="24"/>
        </w:rPr>
        <w:t xml:space="preserve">ARI		Adjusted Rand Index</w:t>
      </w:r>
    </w:p>
    <w:p>
      <w:pPr>
        <w:spacing w:after="160" w:before="0" w:line="360" w:lineRule="auto"/>
        <w:jc w:val="both"/>
      </w:pPr>
      <w:r>
        <w:rPr>
          <w:rFonts w:ascii="Times New Roman" w:cs="Times New Roman" w:eastAsia="Times New Roman" w:hAnsi="Times New Roman"/>
          <w:sz w:val="24"/>
          <w:szCs w:val="24"/>
        </w:rPr>
        <w:t xml:space="preserve">CLV		Customer Lifetime Value</w:t>
      </w:r>
    </w:p>
    <w:p>
      <w:pPr>
        <w:spacing w:after="160" w:before="0" w:line="360" w:lineRule="auto"/>
        <w:jc w:val="both"/>
      </w:pPr>
      <w:r>
        <w:rPr>
          <w:rFonts w:ascii="Times New Roman" w:cs="Times New Roman" w:eastAsia="Times New Roman" w:hAnsi="Times New Roman"/>
          <w:sz w:val="24"/>
          <w:szCs w:val="24"/>
        </w:rPr>
        <w:t xml:space="preserve">GMM		Gaussian Mixture Model</w:t>
      </w:r>
    </w:p>
    <w:p>
      <w:pPr>
        <w:spacing w:after="160" w:before="0" w:line="360" w:lineRule="auto"/>
        <w:jc w:val="both"/>
      </w:pPr>
      <w:r>
        <w:rPr>
          <w:rFonts w:ascii="Times New Roman" w:cs="Times New Roman" w:eastAsia="Times New Roman" w:hAnsi="Times New Roman"/>
          <w:sz w:val="24"/>
          <w:szCs w:val="24"/>
        </w:rPr>
        <w:t xml:space="preserve">HDBSCAN	Hierarchical Density-Based Spatial Clustering of Applications with Noise</w:t>
      </w:r>
    </w:p>
    <w:p>
      <w:pPr>
        <w:spacing w:after="160" w:before="0" w:line="360" w:lineRule="auto"/>
        <w:jc w:val="both"/>
      </w:pPr>
      <w:r>
        <w:rPr>
          <w:rFonts w:ascii="Times New Roman" w:cs="Times New Roman" w:eastAsia="Times New Roman" w:hAnsi="Times New Roman"/>
          <w:sz w:val="24"/>
          <w:szCs w:val="24"/>
        </w:rPr>
        <w:t xml:space="preserve">LightGBM	Light Gradient Boosting Machine</w:t>
      </w:r>
    </w:p>
    <w:p>
      <w:pPr>
        <w:spacing w:after="160" w:before="0" w:line="360" w:lineRule="auto"/>
        <w:jc w:val="both"/>
      </w:pPr>
      <w:r>
        <w:rPr>
          <w:rFonts w:ascii="Times New Roman" w:cs="Times New Roman" w:eastAsia="Times New Roman" w:hAnsi="Times New Roman"/>
          <w:sz w:val="24"/>
          <w:szCs w:val="24"/>
        </w:rPr>
        <w:t xml:space="preserve">MAE		Mean Absolute Error</w:t>
      </w:r>
    </w:p>
    <w:p>
      <w:pPr>
        <w:spacing w:after="160" w:before="0" w:line="360" w:lineRule="auto"/>
        <w:jc w:val="both"/>
      </w:pPr>
      <w:r>
        <w:rPr>
          <w:rFonts w:ascii="Times New Roman" w:cs="Times New Roman" w:eastAsia="Times New Roman" w:hAnsi="Times New Roman"/>
          <w:sz w:val="24"/>
          <w:szCs w:val="24"/>
        </w:rPr>
        <w:t xml:space="preserve">NOK		Norwegian Krone</w:t>
      </w:r>
    </w:p>
    <w:p>
      <w:pPr>
        <w:spacing w:after="160" w:before="0" w:line="360" w:lineRule="auto"/>
        <w:jc w:val="both"/>
      </w:pPr>
      <w:r>
        <w:rPr>
          <w:rFonts w:ascii="Times New Roman" w:cs="Times New Roman" w:eastAsia="Times New Roman" w:hAnsi="Times New Roman"/>
          <w:sz w:val="24"/>
          <w:szCs w:val="24"/>
        </w:rPr>
        <w:t xml:space="preserve">RFM		Recency, Frequency, Monetary</w:t>
      </w:r>
    </w:p>
    <w:p>
      <w:pPr>
        <w:spacing w:after="160" w:before="0" w:line="360" w:lineRule="auto"/>
        <w:jc w:val="both"/>
      </w:pPr>
      <w:r>
        <w:rPr>
          <w:rFonts w:ascii="Times New Roman" w:cs="Times New Roman" w:eastAsia="Times New Roman" w:hAnsi="Times New Roman"/>
          <w:sz w:val="24"/>
          <w:szCs w:val="24"/>
        </w:rPr>
        <w:t xml:space="preserve">RFECV		Recursive Feature Elimination with Cross-Validation</w:t>
      </w:r>
    </w:p>
    <w:p>
      <w:pPr>
        <w:spacing w:after="160" w:before="0" w:line="360" w:lineRule="auto"/>
        <w:jc w:val="both"/>
      </w:pPr>
      <w:r>
        <w:rPr>
          <w:rFonts w:ascii="Times New Roman" w:cs="Times New Roman" w:eastAsia="Times New Roman" w:hAnsi="Times New Roman"/>
          <w:sz w:val="24"/>
          <w:szCs w:val="24"/>
        </w:rPr>
        <w:t xml:space="preserve">SFS		Sequential Forward Selection</w:t>
      </w:r>
    </w:p>
    <w:p>
      <w:pPr>
        <w:spacing w:after="160" w:before="0" w:line="360" w:lineRule="auto"/>
        <w:jc w:val="both"/>
      </w:pPr>
      <w:r>
        <w:rPr>
          <w:rFonts w:ascii="Times New Roman" w:cs="Times New Roman" w:eastAsia="Times New Roman" w:hAnsi="Times New Roman"/>
          <w:sz w:val="24"/>
          <w:szCs w:val="24"/>
        </w:rPr>
        <w:t xml:space="preserve">UMAP		Uniform Manifold Approximation and Projection</w:t>
      </w:r>
    </w:p>
    <w:p>
      <w:r>
        <w:br w:type="page"/>
      </w:r>
    </w:p>
    <w:p>
      <w:pPr>
        <w:sectPr>
          <w:footerReference w:type="default" r:id="rId7"/>
          <w:type w:val="nextPage"/>
          <w:pgSz w:w="11906" w:h="16838" w:orient="portrait"/>
          <w:pgMar w:top="1418" w:right="1418" w:bottom="1418" w:left="2268" w:header="708" w:footer="708" w:gutter="0"/>
          <w:pgNumType/>
          <w:docGrid w:linePitch="360"/>
        </w:sectPr>
      </w:pPr>
    </w:p>
    <w:p>
      <w:pPr>
        <w:pStyle w:val="Heading1"/>
        <w:spacing w:after="200" w:before="400" w:line="360" w:lineRule="auto"/>
      </w:pPr>
      <w:r>
        <w:rPr>
          <w:rFonts w:ascii="Times New Roman" w:cs="Times New Roman" w:eastAsia="Times New Roman" w:hAnsi="Times New Roman"/>
          <w:b/>
          <w:bCs/>
          <w:sz w:val="28"/>
          <w:szCs w:val="28"/>
        </w:rPr>
        <w:t xml:space="preserve">1. Introduction</w:t>
      </w:r>
    </w:p>
    <w:p>
      <w:pPr>
        <w:pStyle w:val="Heading2"/>
        <w:spacing w:after="160" w:before="320" w:line="360" w:lineRule="auto"/>
      </w:pPr>
      <w:r>
        <w:rPr>
          <w:rFonts w:ascii="Times New Roman" w:cs="Times New Roman" w:eastAsia="Times New Roman" w:hAnsi="Times New Roman"/>
          <w:b/>
          <w:bCs/>
          <w:sz w:val="26"/>
          <w:szCs w:val="26"/>
        </w:rPr>
        <w:t xml:space="preserve">1.1 Problem Statement</w:t>
      </w:r>
    </w:p>
    <w:p>
      <w:pPr>
        <w:spacing w:after="160" w:before="0" w:line="360" w:lineRule="auto"/>
        <w:jc w:val="both"/>
      </w:pPr>
      <w:r>
        <w:rPr>
          <w:rFonts w:ascii="Times New Roman" w:cs="Times New Roman" w:eastAsia="Times New Roman" w:hAnsi="Times New Roman"/>
          <w:sz w:val="24"/>
          <w:szCs w:val="24"/>
        </w:rPr>
        <w:t xml:space="preserve">The fashion industry accounts for approximately 10 percent of global carbon dioxide emissions and generates substantial textile waste driven by fast fashion consumption patterns (Ellen MacArthur Foundation, 2017). Fashion rental platforms represent a structural alternative to ownership, enabling consumers to access garments temporarily and reducing the need for individual ownership of infrequently worn items. Vibrent, formerly known as FJONG, is a Norwegian fashion rental platform operating in this circular economy context, offering customers access to garments through one-time spot rentals and monthly subscription plans.</w:t>
      </w:r>
    </w:p>
    <w:p>
      <w:pPr>
        <w:spacing w:after="160" w:before="0" w:line="360" w:lineRule="auto"/>
        <w:jc w:val="both"/>
      </w:pPr>
      <w:r>
        <w:rPr>
          <w:rFonts w:ascii="Times New Roman" w:cs="Times New Roman" w:eastAsia="Times New Roman" w:hAnsi="Times New Roman"/>
          <w:sz w:val="24"/>
          <w:szCs w:val="24"/>
        </w:rPr>
        <w:t xml:space="preserve">Despite the structural appeal of the rental model, fashion rental platforms face significant analytical challenges. Customer lifetime value in a rental context is determined not by discrete purchase events but by recurring behavioral patterns — rental frequency, garment category preference, and duration choices — that are inherently dynamic over time. A key research gap is the integration of product-level intelligence into customer-level predictive models. Conventional CLV models, including the widely used Pareto/NBD framework (Fader et al., 2005) and its extensions, rely exclusively on transactional aggregates such as recency, frequency, and monetary value. They do not incorporate information about which types of products a customer tends to rent, whether that preference is narrow or broad, or how product category engagement correlates with retention and future spending.</w:t>
      </w:r>
    </w:p>
    <w:p>
      <w:pPr>
        <w:spacing w:after="160" w:before="0" w:line="360" w:lineRule="auto"/>
        <w:jc w:val="both"/>
      </w:pPr>
      <w:r>
        <w:rPr>
          <w:rFonts w:ascii="Times New Roman" w:cs="Times New Roman" w:eastAsia="Times New Roman" w:hAnsi="Times New Roman"/>
          <w:sz w:val="24"/>
          <w:szCs w:val="24"/>
        </w:rPr>
        <w:t xml:space="preserve">Multimodal AI embeddings now make it computationally feasible to construct rich semantic representations of fashion products that capture both visual and textual style information in a continuous vector space, enabling product-level behavioral features to be constructed at scale. Whether such features improve customer-level predictions in a fashion rental context has not been empirically examined.</w:t>
      </w:r>
    </w:p>
    <w:p>
      <w:pPr>
        <w:pStyle w:val="Heading2"/>
        <w:spacing w:after="160" w:before="320" w:line="360" w:lineRule="auto"/>
      </w:pPr>
      <w:r>
        <w:rPr>
          <w:rFonts w:ascii="Times New Roman" w:cs="Times New Roman" w:eastAsia="Times New Roman" w:hAnsi="Times New Roman"/>
          <w:b/>
          <w:bCs/>
          <w:sz w:val="26"/>
          <w:szCs w:val="26"/>
        </w:rPr>
        <w:t xml:space="preserve">1.2 Objectives and Structure</w:t>
      </w:r>
    </w:p>
    <w:p>
      <w:pPr>
        <w:spacing w:after="160" w:before="0" w:line="360" w:lineRule="auto"/>
        <w:jc w:val="both"/>
      </w:pPr>
      <w:r>
        <w:rPr>
          <w:rFonts w:ascii="Times New Roman" w:cs="Times New Roman" w:eastAsia="Times New Roman" w:hAnsi="Times New Roman"/>
          <w:sz w:val="24"/>
          <w:szCs w:val="24"/>
        </w:rPr>
        <w:t xml:space="preserve">This study addresses the identified research gap by developing an end-to-end marketing analytics pipeline for Vibrent that integrates product segmentation derived from multimodal embeddings into customer-level revenue and churn prediction. The three specific objectives are: (1) to construct a semantically meaningful product segmentation of the Vibrent catalog using state-of-the-art multimodal embeddings and derive actionable managerial implications; (2) to develop a customer revenue prediction model that incorporates product cluster affinity features alongside conventional RFM features, and to quantify the incremental predictive contribution of product intelligence features through systematic ablation testing; and (3) to develop a binary churn prediction model identifying customers with zero rental activity in the prediction horizon.</w:t>
      </w:r>
    </w:p>
    <w:p>
      <w:pPr>
        <w:spacing w:after="160" w:before="0" w:line="360" w:lineRule="auto"/>
        <w:jc w:val="both"/>
      </w:pPr>
      <w:r>
        <w:rPr>
          <w:rFonts w:ascii="Times New Roman" w:cs="Times New Roman" w:eastAsia="Times New Roman" w:hAnsi="Times New Roman"/>
          <w:sz w:val="24"/>
          <w:szCs w:val="24"/>
        </w:rPr>
        <w:t xml:space="preserve">The report is structured as follows. Section 2 describes the dataset, data cleaning, and temporal validation strategy. Section 3 presents the theoretical and methodological foundations. Section 4 reports product segmentation results and managerial hypotheses. Section 5 presents the revenue prediction modeling pipeline in full detail. Section 6 covers churn prediction. Section 7 discusses integrated findings and implications. Section 8 concludes.</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2. Data</w:t>
      </w:r>
    </w:p>
    <w:p>
      <w:pPr>
        <w:pStyle w:val="Heading2"/>
        <w:spacing w:after="160" w:before="320" w:line="360" w:lineRule="auto"/>
      </w:pPr>
      <w:r>
        <w:rPr>
          <w:rFonts w:ascii="Times New Roman" w:cs="Times New Roman" w:eastAsia="Times New Roman" w:hAnsi="Times New Roman"/>
          <w:b/>
          <w:bCs/>
          <w:sz w:val="26"/>
          <w:szCs w:val="26"/>
        </w:rPr>
        <w:t xml:space="preserve">2.1 Dataset Description</w:t>
      </w:r>
    </w:p>
    <w:p>
      <w:pPr>
        <w:spacing w:after="160" w:before="0" w:line="360" w:lineRule="auto"/>
        <w:jc w:val="both"/>
      </w:pPr>
      <w:r>
        <w:rPr>
          <w:rFonts w:ascii="Times New Roman" w:cs="Times New Roman" w:eastAsia="Times New Roman" w:hAnsi="Times New Roman"/>
          <w:sz w:val="24"/>
          <w:szCs w:val="24"/>
        </w:rPr>
        <w:t xml:space="preserve">The dataset is based on Borgersen (2024). It covers Vibrent rental activity from March 2016 to September 5, 2023. The core transactional file contains 77,100 rental events for 7,400 anonymized customers. Each transaction records the customer identifier, outfit identifier, rental period start date, and rental period end date. The product catalog contains metadata for 15,649 unique garments including retail price, weekly and monthly rental prices, free-text product descriptions, and structured category tags. A test set of 7,253 customers for whom revenue and churn predictions are required is provided separately.</w:t>
      </w:r>
    </w:p>
    <w:p>
      <w:pPr>
        <w:spacing w:after="160" w:before="0" w:line="360" w:lineRule="auto"/>
        <w:jc w:val="both"/>
      </w:pPr>
      <w:r>
        <w:rPr>
          <w:rFonts w:ascii="Times New Roman" w:cs="Times New Roman" w:eastAsia="Times New Roman" w:hAnsi="Times New Roman"/>
          <w:sz w:val="24"/>
          <w:szCs w:val="24"/>
        </w:rPr>
        <w:t xml:space="preserve">Revenue for each transaction is calculated according to the billing logic specified in the case study: rentals of seven days or fewer are billed at the weekly rate; longer rentals are billed proportionally using the monthly rate according to the formula pricePerMonth × duration_days / 30. This calculation is applied consistently across all analyses and model training procedures.</w:t>
      </w:r>
    </w:p>
    <w:p>
      <w:pPr>
        <w:pStyle w:val="Heading2"/>
        <w:spacing w:after="160" w:before="320" w:line="360" w:lineRule="auto"/>
      </w:pPr>
      <w:r>
        <w:rPr>
          <w:rFonts w:ascii="Times New Roman" w:cs="Times New Roman" w:eastAsia="Times New Roman" w:hAnsi="Times New Roman"/>
          <w:b/>
          <w:bCs/>
          <w:sz w:val="26"/>
          <w:szCs w:val="26"/>
        </w:rPr>
        <w:t xml:space="preserve">2.2 Structural Break and Data Filtering</w:t>
      </w:r>
    </w:p>
    <w:p>
      <w:pPr>
        <w:spacing w:after="160" w:before="0" w:line="360" w:lineRule="auto"/>
        <w:jc w:val="both"/>
      </w:pPr>
      <w:r>
        <w:rPr>
          <w:rFonts w:ascii="Times New Roman" w:cs="Times New Roman" w:eastAsia="Times New Roman" w:hAnsi="Times New Roman"/>
          <w:sz w:val="24"/>
          <w:szCs w:val="24"/>
        </w:rPr>
        <w:t xml:space="preserve">Visual inspection of rental duration and transaction volume over time revealed a fundamental structural break at approximately April 2020. Prior to this date, median rental durations ranged from one to ten days, consistent with a spot rental model. From April 2020 onwards, the median shifted to approximately 30 days and stabilized at that level, reflecting a transition to a subscription-based model. Monthly transaction volumes and revenue simultaneously increased by an order of magnitude. All predictive models therefore use only transactions from April 2020 onwards. The sole exception is a binary feature is_legacy_customer that flags whether a customer had any activity prior to the structural break, preserving historical tenure information without allowing the pre-2020 revenue figures to contaminate model training.</w:t>
      </w:r>
    </w:p>
    <w:p>
      <w:pPr>
        <w:pStyle w:val="Heading2"/>
        <w:spacing w:after="160" w:before="320" w:line="360" w:lineRule="auto"/>
      </w:pPr>
      <w:r>
        <w:rPr>
          <w:rFonts w:ascii="Times New Roman" w:cs="Times New Roman" w:eastAsia="Times New Roman" w:hAnsi="Times New Roman"/>
          <w:b/>
          <w:bCs/>
          <w:sz w:val="26"/>
          <w:szCs w:val="26"/>
        </w:rPr>
        <w:t xml:space="preserve">2.3 Data Cleaning</w:t>
      </w:r>
    </w:p>
    <w:p>
      <w:pPr>
        <w:spacing w:after="160" w:before="0" w:line="360" w:lineRule="auto"/>
        <w:jc w:val="both"/>
      </w:pPr>
      <w:r>
        <w:rPr>
          <w:rFonts w:ascii="Times New Roman" w:cs="Times New Roman" w:eastAsia="Times New Roman" w:hAnsi="Times New Roman"/>
          <w:sz w:val="24"/>
          <w:szCs w:val="24"/>
        </w:rPr>
        <w:t xml:space="preserve">Data cleaning identified 60 transactions with invalid rental durations: 7 with negative duration caused by swapped start and end dates (all from 2017–2018) and 53 with zero duration. No systematic pattern was identified and all 60 records were removed, representing 0.1 percent of total transactions. Additionally, the pricing data revealed that Vibrent applies a discretized pricing structure with 1,180 NOK as the modal price, appearing in 34 percent of catalog items, reflecting a structured pricing policy rather than a hard floor.</w:t>
      </w:r>
    </w:p>
    <w:p>
      <w:pPr>
        <w:pStyle w:val="Heading2"/>
        <w:spacing w:after="160" w:before="320" w:line="360" w:lineRule="auto"/>
      </w:pPr>
      <w:r>
        <w:rPr>
          <w:rFonts w:ascii="Times New Roman" w:cs="Times New Roman" w:eastAsia="Times New Roman" w:hAnsi="Times New Roman"/>
          <w:b/>
          <w:bCs/>
          <w:sz w:val="26"/>
          <w:szCs w:val="26"/>
        </w:rPr>
        <w:t xml:space="preserve">2.4 Temporal Validation Strategy</w:t>
      </w:r>
    </w:p>
    <w:p>
      <w:pPr>
        <w:spacing w:after="160" w:before="0" w:line="360" w:lineRule="auto"/>
        <w:jc w:val="both"/>
      </w:pPr>
      <w:r>
        <w:rPr>
          <w:rFonts w:ascii="Times New Roman" w:cs="Times New Roman" w:eastAsia="Times New Roman" w:hAnsi="Times New Roman"/>
          <w:sz w:val="24"/>
          <w:szCs w:val="24"/>
        </w:rPr>
        <w:t xml:space="preserve">Given the time-series nature of the prediction task, random or stratified sampling splits were explicitly rejected as they would introduce data leakage by allowing future transactions to inform predictions of past behavior. An expanding window temporal validation strategy was adopted. For the training fold, features were computed from all transactions between April 2020 and September 2021 with labels representing actual customer revenue in September 2021 to September 2022. For the test fold, features were computed from all transactions between April 2020 and September 2022, with labels covering September 2022 to September 2023. The final submission uses features from April 2020 to September 2023 to predict September 2023 to September 2024 revenue. This expanding window structure ensures the test fold is a faithful simulation of the submission task.</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3. Theoretical and Methodological Foundation</w:t>
      </w:r>
    </w:p>
    <w:p>
      <w:pPr>
        <w:pStyle w:val="Heading2"/>
        <w:spacing w:after="160" w:before="320" w:line="360" w:lineRule="auto"/>
      </w:pPr>
      <w:r>
        <w:rPr>
          <w:rFonts w:ascii="Times New Roman" w:cs="Times New Roman" w:eastAsia="Times New Roman" w:hAnsi="Times New Roman"/>
          <w:b/>
          <w:bCs/>
          <w:sz w:val="26"/>
          <w:szCs w:val="26"/>
        </w:rPr>
        <w:t xml:space="preserve">3.1 Customer Lifetime Value and Latent Attrition</w:t>
      </w:r>
    </w:p>
    <w:p>
      <w:pPr>
        <w:spacing w:after="160" w:before="0" w:line="360" w:lineRule="auto"/>
        <w:jc w:val="both"/>
      </w:pPr>
      <w:r>
        <w:rPr>
          <w:rFonts w:ascii="Times New Roman" w:cs="Times New Roman" w:eastAsia="Times New Roman" w:hAnsi="Times New Roman"/>
          <w:sz w:val="24"/>
          <w:szCs w:val="24"/>
        </w:rPr>
        <w:t xml:space="preserve">Customer lifetime value (CLV) is defined as the present value of future cash flows attributed to the customer relationship (Gupta &amp; Lehmann, 2003). In non-contractual, repeat-transaction businesses such as fashion rental, CLV prediction requires jointly modeling the probability that a customer remains active and their expected spending conditional on activity. The Pareto/NBD model (Schmittlein et al., 1987) is the canonical approach, jointly modeling purchase frequency as a Poisson process and dropout as an exponential distribution. Extensions incorporating time-varying covariates have been shown to improve predictive accuracy in dynamic contexts (Bachmann et al., 2021).</w:t>
      </w:r>
    </w:p>
    <w:p>
      <w:pPr>
        <w:spacing w:after="160" w:before="0" w:line="360" w:lineRule="auto"/>
        <w:jc w:val="both"/>
      </w:pPr>
      <w:r>
        <w:rPr>
          <w:rFonts w:ascii="Times New Roman" w:cs="Times New Roman" w:eastAsia="Times New Roman" w:hAnsi="Times New Roman"/>
          <w:sz w:val="24"/>
          <w:szCs w:val="24"/>
        </w:rPr>
        <w:t xml:space="preserve">A key challenge is latent attrition: customers who have stopped engaging but whose historical records suggest high value. A model projecting past spending linearly into the future will systematically over-predict revenue for these customers — a failure empirically demonstrated in Section 5.2. Tree-based ensemble models such as LightGBM (Ke et al., 2017) can learn non-linear interaction effects between recency and monetary value that effectively identify latently churned customers.</w:t>
      </w:r>
    </w:p>
    <w:p>
      <w:pPr>
        <w:pStyle w:val="Heading2"/>
        <w:spacing w:after="160" w:before="320" w:line="360" w:lineRule="auto"/>
      </w:pPr>
      <w:r>
        <w:rPr>
          <w:rFonts w:ascii="Times New Roman" w:cs="Times New Roman" w:eastAsia="Times New Roman" w:hAnsi="Times New Roman"/>
          <w:b/>
          <w:bCs/>
          <w:sz w:val="26"/>
          <w:szCs w:val="26"/>
        </w:rPr>
        <w:t xml:space="preserve">3.2 RFM Framework</w:t>
      </w:r>
    </w:p>
    <w:p>
      <w:pPr>
        <w:spacing w:after="160" w:before="0" w:line="360" w:lineRule="auto"/>
        <w:jc w:val="both"/>
      </w:pPr>
      <w:r>
        <w:rPr>
          <w:rFonts w:ascii="Times New Roman" w:cs="Times New Roman" w:eastAsia="Times New Roman" w:hAnsi="Times New Roman"/>
          <w:sz w:val="24"/>
          <w:szCs w:val="24"/>
        </w:rPr>
        <w:t xml:space="preserve">The Recency-Frequency-Monetary (RFM) framework operationalizes customer behavioral history into three aggregate metrics. These three features have been shown to be among the strongest predictors of future customer behavior across a wide range of industries (Fader et al., 2005; Hughes, 1994). In this study, RFM features serve as the baseline feature set against which the incremental contribution of product cluster affinity features is evaluated through systematic ablation testing.</w:t>
      </w:r>
    </w:p>
    <w:p>
      <w:pPr>
        <w:pStyle w:val="Heading2"/>
        <w:spacing w:after="160" w:before="320" w:line="360" w:lineRule="auto"/>
      </w:pPr>
      <w:r>
        <w:rPr>
          <w:rFonts w:ascii="Times New Roman" w:cs="Times New Roman" w:eastAsia="Times New Roman" w:hAnsi="Times New Roman"/>
          <w:b/>
          <w:bCs/>
          <w:sz w:val="26"/>
          <w:szCs w:val="26"/>
        </w:rPr>
        <w:t xml:space="preserve">3.3 Multimodal Embeddings and Clustering</w:t>
      </w:r>
    </w:p>
    <w:p>
      <w:pPr>
        <w:spacing w:after="160" w:before="0" w:line="360" w:lineRule="auto"/>
        <w:jc w:val="both"/>
      </w:pPr>
      <w:r>
        <w:rPr>
          <w:rFonts w:ascii="Times New Roman" w:cs="Times New Roman" w:eastAsia="Times New Roman" w:hAnsi="Times New Roman"/>
          <w:sz w:val="24"/>
          <w:szCs w:val="24"/>
        </w:rPr>
        <w:t xml:space="preserve">Multimodal embeddings are dense vector representations capturing semantic content from multiple input modalities in a shared continuous vector space. CLIP (Radford et al., 2021) learns to align image and text representations through contrastive training, enabling cross-modal retrieval and clustering. The Voyage Multimodal 3.5 model produces 2,048-dimensional interleaved representations and supports Matryoshka-style dimensionality truncation (Kusupati et al., 2022). UMAP (McInnes et al., 2018) provides non-linear dimensionality reduction that preserves both local and global structure, mitigating the curse of dimensionality that makes distance-based clustering unreliable in high-dimensional spaces. Cluster quality is assessed using the Silhouette Score and stability using the Adjusted Rand Index (ARI).</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4. Product Segmentation</w:t>
      </w:r>
    </w:p>
    <w:p>
      <w:pPr>
        <w:pStyle w:val="Heading2"/>
        <w:spacing w:after="160" w:before="320" w:line="360" w:lineRule="auto"/>
      </w:pPr>
      <w:r>
        <w:rPr>
          <w:rFonts w:ascii="Times New Roman" w:cs="Times New Roman" w:eastAsia="Times New Roman" w:hAnsi="Times New Roman"/>
          <w:b/>
          <w:bCs/>
          <w:sz w:val="26"/>
          <w:szCs w:val="26"/>
        </w:rPr>
        <w:t xml:space="preserve">4.1 Embedding Selection and Clustering Methodology</w:t>
      </w:r>
    </w:p>
    <w:p>
      <w:pPr>
        <w:spacing w:after="160" w:before="0" w:line="360" w:lineRule="auto"/>
        <w:jc w:val="both"/>
      </w:pPr>
      <w:r>
        <w:rPr>
          <w:rFonts w:ascii="Times New Roman" w:cs="Times New Roman" w:eastAsia="Times New Roman" w:hAnsi="Times New Roman"/>
          <w:sz w:val="24"/>
          <w:szCs w:val="24"/>
        </w:rPr>
        <w:t xml:space="preserve">The Voyage Multimodal 3.5 embedding model was selected as the primary embedding source for the final segmentation because it integrates both visual and textual modalities in a single interleaved vector and supports Matryoshka truncation. Direct clustering on the full 2,048-dimensional space using HDBSCAN produced one dominant cluster containing approximately 84 percent of items, and K-Means produced poor Silhouette Scores, confirming the curse of dimensionality. UMAP dimensionality reduction was therefore applied prior to clustering.</w:t>
      </w:r>
    </w:p>
    <w:p>
      <w:pPr>
        <w:spacing w:after="160" w:before="0" w:line="360" w:lineRule="auto"/>
        <w:jc w:val="both"/>
      </w:pPr>
      <w:r>
        <w:rPr>
          <w:rFonts w:ascii="Times New Roman" w:cs="Times New Roman" w:eastAsia="Times New Roman" w:hAnsi="Times New Roman"/>
          <w:sz w:val="24"/>
          <w:szCs w:val="24"/>
        </w:rPr>
        <w:t xml:space="preserve">A grid search across UMAP target dimensions (2, 5, 10, 20, 30, 50) and K-Means cluster counts (k = 5 to 13) was conducted, evaluating Silhouette Score and ARI stability across 100 random initializations. The optimal configuration was UMAP reduction to 20 dimensions followed by K-Means with k = 8. This achieved a mean ARI of 0.85 across random seeds and the Silhouette Score peaked at k = 8. The similarity between UMAP-10 and UMAP-20 solutions was 98.74 percent, confirming robustness to parameter variation. As an alternative, Matryoshka truncation to 256 dimensions without UMAP achieved a Silhouette Score of 0.94 at k = 7 with ARI of 0.98 but produced one fewer cluster, losing the managerially important Bags &amp; Accessories distinction.</w:t>
      </w:r>
    </w:p>
    <w:p>
      <w:pPr>
        <w:spacing w:after="160" w:before="0" w:line="360" w:lineRule="auto"/>
        <w:jc w:val="both"/>
      </w:pPr>
      <w:r>
        <w:rPr>
          <w:rFonts w:ascii="Times New Roman" w:cs="Times New Roman" w:eastAsia="Times New Roman" w:hAnsi="Times New Roman"/>
          <w:sz w:val="24"/>
          <w:szCs w:val="24"/>
        </w:rPr>
        <w:t xml:space="preserve">Three clustering algorithms were evaluated: K-Means, Gaussian Mixture Models (GMM), and HDBSCAN. K-Means and GMM with k = 8 produced nearly identical hard-cluster assignments (ARI &gt; 0.99). GMM soft clustering showed 99 percent of items with maximum cluster probability above 0.99, indicating well-separated hard boundaries. K-Means was selected as the final algorithm due to its interpretability, stability, and complete catalog coverage.</w:t>
      </w:r>
    </w:p>
    <w:p>
      <w:pPr>
        <w:pStyle w:val="Heading2"/>
        <w:spacing w:after="160" w:before="320" w:line="360" w:lineRule="auto"/>
      </w:pPr>
      <w:r>
        <w:rPr>
          <w:rFonts w:ascii="Times New Roman" w:cs="Times New Roman" w:eastAsia="Times New Roman" w:hAnsi="Times New Roman"/>
          <w:b/>
          <w:bCs/>
          <w:sz w:val="26"/>
          <w:szCs w:val="26"/>
        </w:rPr>
        <w:t xml:space="preserve">4.2 Cluster Identification</w:t>
      </w:r>
    </w:p>
    <w:p>
      <w:pPr>
        <w:spacing w:after="160" w:before="0" w:line="360" w:lineRule="auto"/>
        <w:jc w:val="both"/>
      </w:pPr>
      <w:r>
        <w:rPr>
          <w:rFonts w:ascii="Times New Roman" w:cs="Times New Roman" w:eastAsia="Times New Roman" w:hAnsi="Times New Roman"/>
          <w:sz w:val="24"/>
          <w:szCs w:val="24"/>
        </w:rPr>
        <w:t xml:space="preserve">The eight clusters were profiled using top product names, brand distributions, and Category tag values. A contingency analysis confirmed strong alignment between embedding-derived clusters and human-assigned categories. Table 1 summarizes the cluster identities.</w:t>
      </w:r>
    </w:p>
    <w:p>
      <w:pPr>
        <w:spacing w:after="160" w:before="0" w:line="360" w:lineRule="auto"/>
      </w:pPr>
      <w:r>
        <w:rPr>
          <w:sz w:val="24"/>
          <w:szCs w:val="24"/>
        </w:rPr>
        <w:t xml:space="preserve"/>
      </w:r>
    </w:p>
    <w:p>
      <w:pPr>
        <w:spacing w:after="80" w:before="80"/>
        <w:jc w:val="center"/>
      </w:pPr>
      <w:r>
        <w:rPr>
          <w:rFonts w:ascii="Times New Roman" w:cs="Times New Roman" w:eastAsia="Times New Roman" w:hAnsi="Times New Roman"/>
          <w:i/>
          <w:iCs/>
          <w:sz w:val="20"/>
          <w:szCs w:val="20"/>
        </w:rPr>
        <w:t xml:space="preserve">Table 1: Cluster overview — inventory size and median monthly rental price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700"/>
        <w:gridCol w:w="23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Cluster</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Name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Inventory (n)</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Median Price/Month (NOK)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Bags &amp; Accessories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421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Tops &amp; Blouses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2,168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Dresses &amp; Jumpsuits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6,623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Sweaters &amp; Knitwear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1,704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Jewelry &amp; Accessories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323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Trousers &amp; Shorts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1,409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Skirts &amp; Knitwear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1,090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1,180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Jackets &amp; Coats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1,911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1,800</w:t>
            </w:r>
          </w:p>
        </w:tc>
      </w:tr>
    </w:tbl>
    <w:p>
      <w:pPr>
        <w:spacing w:after="160" w:before="0" w:line="360" w:lineRule="auto"/>
      </w:pPr>
      <w:r>
        <w:rPr>
          <w:sz w:val="24"/>
          <w:szCs w:val="24"/>
        </w:rPr>
        <w:t xml:space="preserve"/>
      </w:r>
    </w:p>
    <w:p>
      <w:pPr>
        <w:pStyle w:val="Heading2"/>
        <w:spacing w:after="160" w:before="320" w:line="360" w:lineRule="auto"/>
      </w:pPr>
      <w:r>
        <w:rPr>
          <w:rFonts w:ascii="Times New Roman" w:cs="Times New Roman" w:eastAsia="Times New Roman" w:hAnsi="Times New Roman"/>
          <w:b/>
          <w:bCs/>
          <w:sz w:val="26"/>
          <w:szCs w:val="26"/>
        </w:rPr>
        <w:t xml:space="preserve">4.3 Business Profiling</w:t>
      </w:r>
    </w:p>
    <w:p>
      <w:pPr>
        <w:pStyle w:val="Heading3"/>
        <w:spacing w:after="120" w:before="240" w:line="360" w:lineRule="auto"/>
      </w:pPr>
      <w:r>
        <w:rPr>
          <w:rFonts w:ascii="Times New Roman" w:cs="Times New Roman" w:eastAsia="Times New Roman" w:hAnsi="Times New Roman"/>
          <w:b/>
          <w:bCs/>
          <w:sz w:val="24"/>
          <w:szCs w:val="24"/>
        </w:rPr>
        <w:t xml:space="preserve">4.3.1 Pricing Structure</w:t>
      </w:r>
    </w:p>
    <w:p>
      <w:pPr>
        <w:spacing w:after="160" w:before="0" w:line="360" w:lineRule="auto"/>
        <w:jc w:val="both"/>
      </w:pPr>
      <w:r>
        <w:rPr>
          <w:rFonts w:ascii="Times New Roman" w:cs="Times New Roman" w:eastAsia="Times New Roman" w:hAnsi="Times New Roman"/>
          <w:sz w:val="24"/>
          <w:szCs w:val="24"/>
        </w:rPr>
        <w:t xml:space="preserve">The pricing analysis reveals a two-tier assortment structure. Jackets &amp; Coats commands the highest median monthly rental price at 1,800 NOK — 53 percent above the standard tier. Bags &amp; Accessories carries the second-highest median at 1,300 NOK. Dresses &amp; Jumpsuits sits marginally above the standard tier at 1,200 NOK. The remaining five clusters carry median prices at the 1,180 NOK standard tier, indicating that everyday and basics categories are priced as commodities within Vibrent's pricing structure regardless of brand.</w:t>
      </w:r>
    </w:p>
    <w:p>
      <w:pPr>
        <w:pStyle w:val="Heading3"/>
        <w:spacing w:after="120" w:before="240" w:line="360" w:lineRule="auto"/>
      </w:pPr>
      <w:r>
        <w:rPr>
          <w:rFonts w:ascii="Times New Roman" w:cs="Times New Roman" w:eastAsia="Times New Roman" w:hAnsi="Times New Roman"/>
          <w:b/>
          <w:bCs/>
          <w:sz w:val="24"/>
          <w:szCs w:val="24"/>
        </w:rPr>
        <w:t xml:space="preserve">4.3.2 Revenue, Utilization, and Inventory Efficiency</w:t>
      </w:r>
    </w:p>
    <w:p>
      <w:pPr>
        <w:spacing w:after="160" w:before="0" w:line="360" w:lineRule="auto"/>
        <w:jc w:val="both"/>
      </w:pPr>
      <w:r>
        <w:rPr>
          <w:rFonts w:ascii="Times New Roman" w:cs="Times New Roman" w:eastAsia="Times New Roman" w:hAnsi="Times New Roman"/>
          <w:sz w:val="24"/>
          <w:szCs w:val="24"/>
        </w:rPr>
        <w:t xml:space="preserve">Table 2 presents the revenue contribution, inventory share, utilization rate, and revenue per inventory item across all eight clusters.</w:t>
      </w:r>
    </w:p>
    <w:p>
      <w:pPr>
        <w:spacing w:after="160" w:before="0" w:line="360" w:lineRule="auto"/>
      </w:pPr>
      <w:r>
        <w:rPr>
          <w:sz w:val="24"/>
          <w:szCs w:val="24"/>
        </w:rPr>
        <w:t xml:space="preserve"/>
      </w:r>
    </w:p>
    <w:p>
      <w:pPr>
        <w:spacing w:after="80" w:before="80"/>
        <w:jc w:val="center"/>
      </w:pPr>
      <w:r>
        <w:rPr>
          <w:rFonts w:ascii="Times New Roman" w:cs="Times New Roman" w:eastAsia="Times New Roman" w:hAnsi="Times New Roman"/>
          <w:i/>
          <w:iCs/>
          <w:sz w:val="20"/>
          <w:szCs w:val="20"/>
        </w:rPr>
        <w:t xml:space="preserve">Table 2: Revenue, utilization, and inventory efficiency by product cluster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700"/>
      </w:tblGrid>
      <w:tr>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Cluster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Revenue Share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Inventory Share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Utilization Rate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Revenue/Item (NOK)</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Dresses &amp; Jumpsuits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5,201</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Jackets &amp; Coats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15.8%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3.86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6,790</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Tops &amp; Blouses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3.97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4,952</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Sweaters &amp; Knitwear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3.86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5,379</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Trousers &amp; Shorts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2.79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3,768</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Bags &amp; Accessories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7.05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10,139</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Skirts &amp; Knitwear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2.91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3,688</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Jewelry &amp; Accessories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3.41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3,995</w:t>
            </w:r>
          </w:p>
        </w:tc>
      </w:tr>
    </w:tbl>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Dresses &amp; Jumpsuits is the revenue engine of the business, accounting for 41.9 percent of revenue with a near-perfectly matched inventory share of 42.3 percent. Bags &amp; Accessories emerges as the most strategically significant finding: with only 421 items representing 2.7 percent of total inventory, it achieves a revenue-per-item figure of 10,139 NOK — nearly double that of Dresses and 49 percent above Jackets — and a utilization rate 71 percent above the catalog average. Trousers &amp; Shorts and Skirts &amp; Knitwear are the weakest performers, together holding 16 percent of inventory but generating only 11.3 percent of revenue.</w:t>
      </w:r>
    </w:p>
    <w:p>
      <w:pPr>
        <w:pStyle w:val="Heading3"/>
        <w:spacing w:after="120" w:before="240" w:line="360" w:lineRule="auto"/>
      </w:pPr>
      <w:r>
        <w:rPr>
          <w:rFonts w:ascii="Times New Roman" w:cs="Times New Roman" w:eastAsia="Times New Roman" w:hAnsi="Times New Roman"/>
          <w:b/>
          <w:bCs/>
          <w:sz w:val="24"/>
          <w:szCs w:val="24"/>
        </w:rPr>
        <w:t xml:space="preserve">4.3.3 Dead Inventory and Item-Level Demand</w:t>
      </w:r>
    </w:p>
    <w:p>
      <w:pPr>
        <w:spacing w:after="160" w:before="0" w:line="360" w:lineRule="auto"/>
        <w:jc w:val="both"/>
      </w:pPr>
      <w:r>
        <w:rPr>
          <w:rFonts w:ascii="Times New Roman" w:cs="Times New Roman" w:eastAsia="Times New Roman" w:hAnsi="Times New Roman"/>
          <w:sz w:val="24"/>
          <w:szCs w:val="24"/>
        </w:rPr>
        <w:t xml:space="preserve">Item-level analysis revealed that 31.2 percent of the catalog — 4,887 items — has never been rented. Dead inventory is most severe proportionally in Jackets &amp; Coats (36.7 percent never rented) and Trousers &amp; Shorts (35.8 percent). Bags &amp; Accessories has the lowest never-rented rate at 20 percent, confirming that supply rather than demand is the binding constraint. The top 20 most rented items are split almost entirely between Bags (8 items) and Dresses (9 items), with individual bag items generating on average 44 percent more total revenue than comparable dress items.</w:t>
      </w:r>
    </w:p>
    <w:p>
      <w:pPr>
        <w:pStyle w:val="Heading3"/>
        <w:spacing w:after="120" w:before="240" w:line="360" w:lineRule="auto"/>
      </w:pPr>
      <w:r>
        <w:rPr>
          <w:rFonts w:ascii="Times New Roman" w:cs="Times New Roman" w:eastAsia="Times New Roman" w:hAnsi="Times New Roman"/>
          <w:b/>
          <w:bCs/>
          <w:sz w:val="24"/>
          <w:szCs w:val="24"/>
        </w:rPr>
        <w:t xml:space="preserve">4.3.4 Customer Affinity Analysis</w:t>
      </w:r>
    </w:p>
    <w:p>
      <w:pPr>
        <w:spacing w:after="160" w:before="0" w:line="360" w:lineRule="auto"/>
        <w:jc w:val="both"/>
      </w:pPr>
      <w:r>
        <w:rPr>
          <w:rFonts w:ascii="Times New Roman" w:cs="Times New Roman" w:eastAsia="Times New Roman" w:hAnsi="Times New Roman"/>
          <w:sz w:val="24"/>
          <w:szCs w:val="24"/>
        </w:rPr>
        <w:t xml:space="preserve">Customers were segmented by rental recency into Loyal (last rental within 180 days), Dormant (181 to 365 days), and At-Risk (more than 365 days) groups. Loyal and Dormant customers are nearly indistinguishable in style preferences — both allocate approximately 39 percent of spending to Dresses and distribute the remainder broadly across Tops (14.6 percent), Jackets (15.9 percent), and Knitwear (12.9 percent). At-Risk customers concentrate 79 percent of their spending on Dresses alone, allocating almost nothing to other categories. The loyalty signal is therefore not which cluster a customer prefers but how diversified their rental behavior is across clusters.</w:t>
      </w:r>
    </w:p>
    <w:p>
      <w:pPr>
        <w:pStyle w:val="Heading2"/>
        <w:spacing w:after="160" w:before="320" w:line="360" w:lineRule="auto"/>
      </w:pPr>
      <w:r>
        <w:rPr>
          <w:rFonts w:ascii="Times New Roman" w:cs="Times New Roman" w:eastAsia="Times New Roman" w:hAnsi="Times New Roman"/>
          <w:b/>
          <w:bCs/>
          <w:sz w:val="26"/>
          <w:szCs w:val="26"/>
        </w:rPr>
        <w:t xml:space="preserve">4.4 Managerial Hypotheses</w:t>
      </w:r>
    </w:p>
    <w:p>
      <w:pPr>
        <w:pStyle w:val="Heading3"/>
        <w:spacing w:after="120" w:before="240" w:line="360" w:lineRule="auto"/>
      </w:pPr>
      <w:r>
        <w:rPr>
          <w:rFonts w:ascii="Times New Roman" w:cs="Times New Roman" w:eastAsia="Times New Roman" w:hAnsi="Times New Roman"/>
          <w:b/>
          <w:bCs/>
          <w:sz w:val="24"/>
          <w:szCs w:val="24"/>
        </w:rPr>
        <w:t xml:space="preserve">Hypothesis 1: Bags &amp; Accessories Are Supply-Constrained Despite Highest Demand</w:t>
      </w:r>
    </w:p>
    <w:p>
      <w:pPr>
        <w:spacing w:after="160" w:before="0" w:line="360" w:lineRule="auto"/>
        <w:jc w:val="both"/>
      </w:pPr>
      <w:r>
        <w:rPr>
          <w:rFonts w:ascii="Times New Roman" w:cs="Times New Roman" w:eastAsia="Times New Roman" w:hAnsi="Times New Roman"/>
          <w:sz w:val="24"/>
          <w:szCs w:val="24"/>
        </w:rPr>
        <w:t xml:space="preserve">The utilization analysis confirms that Bags &amp; Accessories has the highest rentals-per-item ratio at 7.05, 71 percent above the catalog average. The revenue-per-item figure of 10,139 NOK is nearly double that of the second-best category. The combination of highest utilization, highest revenue efficiency, lowest never-rented rate, and thinnest inventory constitutes an unambiguous supply-constrained white space. Expanding the bag inventory is the single highest-return assortment decision available to Vibrent.</w:t>
      </w:r>
    </w:p>
    <w:p>
      <w:pPr>
        <w:pStyle w:val="Heading3"/>
        <w:spacing w:after="120" w:before="240" w:line="360" w:lineRule="auto"/>
      </w:pPr>
      <w:r>
        <w:rPr>
          <w:rFonts w:ascii="Times New Roman" w:cs="Times New Roman" w:eastAsia="Times New Roman" w:hAnsi="Times New Roman"/>
          <w:b/>
          <w:bCs/>
          <w:sz w:val="24"/>
          <w:szCs w:val="24"/>
        </w:rPr>
        <w:t xml:space="preserve">Hypothesis 2: Occasion-Driven Styles Generate Engagement; Everyday Basics Do Not</w:t>
      </w:r>
    </w:p>
    <w:p>
      <w:pPr>
        <w:spacing w:after="160" w:before="0" w:line="360" w:lineRule="auto"/>
        <w:jc w:val="both"/>
      </w:pPr>
      <w:r>
        <w:rPr>
          <w:rFonts w:ascii="Times New Roman" w:cs="Times New Roman" w:eastAsia="Times New Roman" w:hAnsi="Times New Roman"/>
          <w:sz w:val="24"/>
          <w:szCs w:val="24"/>
        </w:rPr>
        <w:t xml:space="preserve">Clusters corresponding to everyday wear show substantially lower utilization rates and revenue efficiency than occasion-driven categories. Trousers (2.79) and Skirts (2.91) are the weakest performers; Dresses (4.11) and Jackets (3.86) maintain healthy throughput. Revenue-per-item figures for Trousers (3,768 NOK) and Skirts (3,688 NOK) are the lowest in the catalog. This is consistent with the economics of fashion rental: customers pay to access items they would not purchase outright for a single occasion.</w:t>
      </w:r>
    </w:p>
    <w:p>
      <w:pPr>
        <w:pStyle w:val="Heading3"/>
        <w:spacing w:after="120" w:before="240" w:line="360" w:lineRule="auto"/>
      </w:pPr>
      <w:r>
        <w:rPr>
          <w:rFonts w:ascii="Times New Roman" w:cs="Times New Roman" w:eastAsia="Times New Roman" w:hAnsi="Times New Roman"/>
          <w:b/>
          <w:bCs/>
          <w:sz w:val="24"/>
          <w:szCs w:val="24"/>
        </w:rPr>
        <w:t xml:space="preserve">Hypothesis 3: Style Diversity, Not Style Preference, Predicts Customer Loyalty</w:t>
      </w:r>
    </w:p>
    <w:p>
      <w:pPr>
        <w:spacing w:after="160" w:before="0" w:line="360" w:lineRule="auto"/>
        <w:jc w:val="both"/>
      </w:pPr>
      <w:r>
        <w:rPr>
          <w:rFonts w:ascii="Times New Roman" w:cs="Times New Roman" w:eastAsia="Times New Roman" w:hAnsi="Times New Roman"/>
          <w:sz w:val="24"/>
          <w:szCs w:val="24"/>
        </w:rPr>
        <w:t xml:space="preserve">At-Risk customers concentrate 79 percent of their spending on a single cluster while Loyal customers distribute spending broadly across five or more clusters. The loyalty signal is the breadth of style engagement rather than preference for any specific category. This finding motivates the style entropy feature in the predictive models: the Shannon entropy across cluster affinity shares directly operationalizes this hypothesis and is tested empirically in Section 5.</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5. Customer Revenue Prediction</w:t>
      </w:r>
    </w:p>
    <w:p>
      <w:pPr>
        <w:pStyle w:val="Heading2"/>
        <w:spacing w:after="160" w:before="320" w:line="360" w:lineRule="auto"/>
      </w:pPr>
      <w:r>
        <w:rPr>
          <w:rFonts w:ascii="Times New Roman" w:cs="Times New Roman" w:eastAsia="Times New Roman" w:hAnsi="Times New Roman"/>
          <w:b/>
          <w:bCs/>
          <w:sz w:val="26"/>
          <w:szCs w:val="26"/>
        </w:rPr>
        <w:t xml:space="preserve">5.1 Problem Framing</w:t>
      </w:r>
    </w:p>
    <w:p>
      <w:pPr>
        <w:spacing w:after="160" w:before="0" w:line="360" w:lineRule="auto"/>
        <w:jc w:val="both"/>
      </w:pPr>
      <w:r>
        <w:rPr>
          <w:rFonts w:ascii="Times New Roman" w:cs="Times New Roman" w:eastAsia="Times New Roman" w:hAnsi="Times New Roman"/>
          <w:sz w:val="24"/>
          <w:szCs w:val="24"/>
        </w:rPr>
        <w:t xml:space="preserve">The objective is to predict total rental revenue for each customer in the test set for the period September 6, 2023 to September 6, 2024. The evaluation metric is Mean Absolute Error (MAE) in Norwegian Krone. The target variable is continuous, highly right-skewed, and dominated by zero values for churned customers. The training fold contains 5,943 customers, of whom only 439 (7.4 percent) generated any revenue in the label period — a severe class imbalance that poses fundamental challenges for any regression model.</w:t>
      </w:r>
    </w:p>
    <w:p>
      <w:pPr>
        <w:pStyle w:val="Heading2"/>
        <w:spacing w:after="160" w:before="320" w:line="360" w:lineRule="auto"/>
      </w:pPr>
      <w:r>
        <w:rPr>
          <w:rFonts w:ascii="Times New Roman" w:cs="Times New Roman" w:eastAsia="Times New Roman" w:hAnsi="Times New Roman"/>
          <w:b/>
          <w:bCs/>
          <w:sz w:val="26"/>
          <w:szCs w:val="26"/>
        </w:rPr>
        <w:t xml:space="preserve">5.2 Baseline Model: RFM Ridge Regression</w:t>
      </w:r>
    </w:p>
    <w:p>
      <w:pPr>
        <w:spacing w:after="160" w:before="0" w:line="360" w:lineRule="auto"/>
        <w:jc w:val="both"/>
      </w:pPr>
      <w:r>
        <w:rPr>
          <w:rFonts w:ascii="Times New Roman" w:cs="Times New Roman" w:eastAsia="Times New Roman" w:hAnsi="Times New Roman"/>
          <w:sz w:val="24"/>
          <w:szCs w:val="24"/>
        </w:rPr>
        <w:t xml:space="preserve">A Ridge Regression model using only Recency, Frequency, and Monetary value was established as the baseline. Features were standardized using StandardScaler. The model was trained on features computed up to September 2021 with labels representing actual revenue in September 2021 to September 2022, yielding a training fold MAE of 14,674 NOK.</w:t>
      </w:r>
    </w:p>
    <w:p>
      <w:pPr>
        <w:spacing w:after="160" w:before="0" w:line="360" w:lineRule="auto"/>
        <w:jc w:val="both"/>
      </w:pPr>
      <w:r>
        <w:rPr>
          <w:rFonts w:ascii="Times New Roman" w:cs="Times New Roman" w:eastAsia="Times New Roman" w:hAnsi="Times New Roman"/>
          <w:sz w:val="24"/>
          <w:szCs w:val="24"/>
        </w:rPr>
        <w:t xml:space="preserve">Analysis of the model coefficients revealed the latent attrition failure: the dominant monetary coefficient (21,982) caused systematic over-prediction for historically high-spending customers who had since churned. Customer 3, with 33 historical rentals, a monetary value of 55,451 NOK, and a recency of 245 days, generated zero actual revenue in the label period but received a Ridge prediction of 24,355 NOK. Customer 9, with only 3 rentals and a recency of 3 days, generated 6,700 NOK in actual revenue but received a prediction of 14,653 NOK. This pattern motivated the adoption of non-linear tree-based models capable of learning the interaction between recency and monetary value that characterizes latent attrition.</w:t>
      </w:r>
    </w:p>
    <w:p>
      <w:pPr>
        <w:pStyle w:val="Heading2"/>
        <w:spacing w:after="160" w:before="320" w:line="360" w:lineRule="auto"/>
      </w:pPr>
      <w:r>
        <w:rPr>
          <w:rFonts w:ascii="Times New Roman" w:cs="Times New Roman" w:eastAsia="Times New Roman" w:hAnsi="Times New Roman"/>
          <w:b/>
          <w:bCs/>
          <w:sz w:val="26"/>
          <w:szCs w:val="26"/>
        </w:rPr>
        <w:t xml:space="preserve">5.3 Feature Engineering</w:t>
      </w:r>
    </w:p>
    <w:p>
      <w:pPr>
        <w:spacing w:after="160" w:before="0" w:line="360" w:lineRule="auto"/>
        <w:jc w:val="both"/>
      </w:pPr>
      <w:r>
        <w:rPr>
          <w:rFonts w:ascii="Times New Roman" w:cs="Times New Roman" w:eastAsia="Times New Roman" w:hAnsi="Times New Roman"/>
          <w:sz w:val="24"/>
          <w:szCs w:val="24"/>
        </w:rPr>
        <w:t xml:space="preserve">A comprehensive feature set was developed organized into six groups. All features are computed exclusively from transactions before the feature cutoff date to prevent data leakage — a critical implementation requirement discovered through code review, as an earlier version incorrectly referenced the full transaction dataset rather than the pre-cutoff filtered subset for several feature groups.</w:t>
      </w:r>
    </w:p>
    <w:p>
      <w:pPr>
        <w:spacing w:after="160" w:before="0" w:line="360" w:lineRule="auto"/>
        <w:jc w:val="both"/>
      </w:pPr>
      <w:r>
        <w:rPr>
          <w:rFonts w:ascii="Times New Roman" w:cs="Times New Roman" w:eastAsia="Times New Roman" w:hAnsi="Times New Roman"/>
          <w:sz w:val="24"/>
          <w:szCs w:val="24"/>
        </w:rPr>
        <w:t xml:space="preserve">The RFM and temporal feature group includes recency, frequency, monetary value, average revenue per transaction, standard deviation of revenue, exponentially time-weighted revenue (lambda = 365 days) and time-weighted frequency, average rental duration, tenure in days, average days between rentals, recency ratio (recency divided by average inter-rental interval), revenue trend (time-based: difference between revenue in the second and first half of the customer's rental history, split by calendar midpoint), and share of weekly rentals.</w:t>
      </w:r>
    </w:p>
    <w:p>
      <w:pPr>
        <w:spacing w:after="160" w:before="0" w:line="360" w:lineRule="auto"/>
        <w:jc w:val="both"/>
      </w:pPr>
      <w:r>
        <w:rPr>
          <w:rFonts w:ascii="Times New Roman" w:cs="Times New Roman" w:eastAsia="Times New Roman" w:hAnsi="Times New Roman"/>
          <w:sz w:val="24"/>
          <w:szCs w:val="24"/>
        </w:rPr>
        <w:t xml:space="preserve">The interaction feature group includes three multiplicative interaction terms — recency × monetary, recency × frequency, and monetary × frequency — designed to capture the non-linear relationships between RFM components that linear models cannot represent and that tree-based models benefit from having pre-computed.</w:t>
      </w:r>
    </w:p>
    <w:p>
      <w:pPr>
        <w:spacing w:after="160" w:before="0" w:line="360" w:lineRule="auto"/>
        <w:jc w:val="both"/>
      </w:pPr>
      <w:r>
        <w:rPr>
          <w:rFonts w:ascii="Times New Roman" w:cs="Times New Roman" w:eastAsia="Times New Roman" w:hAnsi="Times New Roman"/>
          <w:sz w:val="24"/>
          <w:szCs w:val="24"/>
        </w:rPr>
        <w:t xml:space="preserve">The velocity feature group includes revenue per day (monetary divided by tenure) and rentals per day (frequency divided by tenure), capturing the intensity of rental behavior independent of its absolute duration.</w:t>
      </w:r>
    </w:p>
    <w:p>
      <w:pPr>
        <w:spacing w:after="160" w:before="0" w:line="360" w:lineRule="auto"/>
        <w:jc w:val="both"/>
      </w:pPr>
      <w:r>
        <w:rPr>
          <w:rFonts w:ascii="Times New Roman" w:cs="Times New Roman" w:eastAsia="Times New Roman" w:hAnsi="Times New Roman"/>
          <w:sz w:val="24"/>
          <w:szCs w:val="24"/>
        </w:rPr>
        <w:t xml:space="preserve">The product cluster affinity feature group translates each customer's rental history into a behavioral fingerprint across the eight product segments. For each customer, the share of total historical revenue allocated to each cluster was computed (eight cluster_affinity features). Two style diversity features were added: n_clusters_rented and style entropy (Shannon entropy across affinity shares), directly operationalizing Hypothesis 3.</w:t>
      </w:r>
    </w:p>
    <w:p>
      <w:pPr>
        <w:spacing w:after="160" w:before="0" w:line="360" w:lineRule="auto"/>
        <w:jc w:val="both"/>
      </w:pPr>
      <w:r>
        <w:rPr>
          <w:rFonts w:ascii="Times New Roman" w:cs="Times New Roman" w:eastAsia="Times New Roman" w:hAnsi="Times New Roman"/>
          <w:sz w:val="24"/>
          <w:szCs w:val="24"/>
        </w:rPr>
        <w:t xml:space="preserve">The seasonality feature group includes rental counts per season (spring, summer, autumn, winter) and active calendar months. The price segment feature group includes average retail price, maximum retail price, and average weekly rental rate.</w:t>
      </w:r>
    </w:p>
    <w:p>
      <w:pPr>
        <w:spacing w:after="160" w:before="0" w:line="360" w:lineRule="auto"/>
        <w:jc w:val="both"/>
      </w:pPr>
      <w:r>
        <w:rPr>
          <w:rFonts w:ascii="Times New Roman" w:cs="Times New Roman" w:eastAsia="Times New Roman" w:hAnsi="Times New Roman"/>
          <w:sz w:val="24"/>
          <w:szCs w:val="24"/>
        </w:rPr>
        <w:t xml:space="preserve">A correlation analysis of the full feature set revealed several highly correlated pairs: weighted_frequency and weighted_rev (0.98), monetary and frequency (0.96), style_entropy and n_clusters_rented (0.94), and recency_x_frequency and recency_x_monetary (0.93). The cluster_freq features (share of rental count per cluster) were found to be redundant with cluster_affinity features and were removed.</w:t>
      </w:r>
    </w:p>
    <w:p>
      <w:pPr>
        <w:pStyle w:val="Heading2"/>
        <w:spacing w:after="160" w:before="320" w:line="360" w:lineRule="auto"/>
      </w:pPr>
      <w:r>
        <w:rPr>
          <w:rFonts w:ascii="Times New Roman" w:cs="Times New Roman" w:eastAsia="Times New Roman" w:hAnsi="Times New Roman"/>
          <w:b/>
          <w:bCs/>
          <w:sz w:val="26"/>
          <w:szCs w:val="26"/>
        </w:rPr>
        <w:t xml:space="preserve">5.4 Feature Correlation and Ablation Analysis</w:t>
      </w:r>
    </w:p>
    <w:p>
      <w:pPr>
        <w:spacing w:after="160" w:before="0" w:line="360" w:lineRule="auto"/>
        <w:jc w:val="both"/>
      </w:pPr>
      <w:r>
        <w:rPr>
          <w:rFonts w:ascii="Times New Roman" w:cs="Times New Roman" w:eastAsia="Times New Roman" w:hAnsi="Times New Roman"/>
          <w:sz w:val="24"/>
          <w:szCs w:val="24"/>
        </w:rPr>
        <w:t xml:space="preserve">A systematic feature ablation analysis was conducted to identify the contribution of each feature group to predictive performance. The baseline model using the Tweedie objective on all features achieved a test MAE of 2,595 NOK. Each feature group was removed in turn and the resulting MAE change recorded. Table 4 presents the results.</w:t>
      </w:r>
    </w:p>
    <w:p>
      <w:pPr>
        <w:spacing w:after="160" w:before="0" w:line="360" w:lineRule="auto"/>
      </w:pPr>
      <w:r>
        <w:rPr>
          <w:sz w:val="24"/>
          <w:szCs w:val="24"/>
        </w:rPr>
        <w:t xml:space="preserve"/>
      </w:r>
    </w:p>
    <w:p>
      <w:pPr>
        <w:spacing w:after="80" w:before="80"/>
        <w:jc w:val="center"/>
      </w:pPr>
      <w:r>
        <w:rPr>
          <w:rFonts w:ascii="Times New Roman" w:cs="Times New Roman" w:eastAsia="Times New Roman" w:hAnsi="Times New Roman"/>
          <w:i/>
          <w:iCs/>
          <w:sz w:val="20"/>
          <w:szCs w:val="20"/>
        </w:rPr>
        <w:t xml:space="preserve">Table 4: Feature ablation results — MAE impact of removing each feature group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000"/>
        <w:gridCol w:w="110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Group Removed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MAE (NOK)</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Delta vs. Baseline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Interactions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2,582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 (slightly improves)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Behavior (trend, duration, weekly)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Price features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RFM core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Time features (recency ratio, tenure)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Velocity (revenue/day, rentals/day)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Cluster affinity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2,639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Revenue stats (avg, std, weighted)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Seasonality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2,641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+46</w:t>
            </w:r>
          </w:p>
        </w:tc>
      </w:tr>
    </w:tbl>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ablation results reveal that removing the interaction features marginally improves performance (delta = -13 NOK), suggesting mild redundancy with the tree model's ability to learn interactions automatically. All other feature groups contribute positively, with the largest impacts from seasonality, revenue statistics, cluster affinity, and velocity features. Notably, cluster affinity contributes +44 NOK when removed — comparable in magnitude to the velocity and time features — confirming that product segmentation information provides genuine incremental value beyond transactional features. A fine-grained individual-feature ablation further revealed that revenue_trend and pct_weekly_rentals individually reduce performance when removed, indicating negative contribution, and were candidates for exclusion.</w:t>
      </w:r>
    </w:p>
    <w:p>
      <w:pPr>
        <w:pStyle w:val="Heading2"/>
        <w:spacing w:after="160" w:before="320" w:line="360" w:lineRule="auto"/>
      </w:pPr>
      <w:r>
        <w:rPr>
          <w:rFonts w:ascii="Times New Roman" w:cs="Times New Roman" w:eastAsia="Times New Roman" w:hAnsi="Times New Roman"/>
          <w:b/>
          <w:bCs/>
          <w:sz w:val="26"/>
          <w:szCs w:val="26"/>
        </w:rPr>
        <w:t xml:space="preserve">5.5 Feature Selection</w:t>
      </w:r>
    </w:p>
    <w:p>
      <w:pPr>
        <w:spacing w:after="160" w:before="0" w:line="360" w:lineRule="auto"/>
        <w:jc w:val="both"/>
      </w:pPr>
      <w:r>
        <w:rPr>
          <w:rFonts w:ascii="Times New Roman" w:cs="Times New Roman" w:eastAsia="Times New Roman" w:hAnsi="Times New Roman"/>
          <w:sz w:val="24"/>
          <w:szCs w:val="24"/>
        </w:rPr>
        <w:t xml:space="preserve">Two feature selection strategies were evaluated: Recursive Feature Elimination with Cross-Validation (RFECV) and Sequential Forward Selection (SFS). Both used a PredefinedSplit that exposed only training data to the selection algorithm, ensuring that the test fold remained uncontaminated.</w:t>
      </w:r>
    </w:p>
    <w:p>
      <w:pPr>
        <w:spacing w:after="160" w:before="0" w:line="360" w:lineRule="auto"/>
        <w:jc w:val="both"/>
      </w:pPr>
      <w:r>
        <w:rPr>
          <w:rFonts w:ascii="Times New Roman" w:cs="Times New Roman" w:eastAsia="Times New Roman" w:hAnsi="Times New Roman"/>
          <w:sz w:val="24"/>
          <w:szCs w:val="24"/>
        </w:rPr>
        <w:t xml:space="preserve">RFECV identified an optimal feature set of 32 features (dropping frequency, active_months, pct_weekly_rentals, and n_clusters_rented) but yielded a test MAE of 2,638 NOK — slightly worse than the full feature baseline. SFS selected 18 features — recency, monetary, avg_revenue, weighted_rev, monetary_x_frequency, tenure_days, revenue_per_day, rentals_per_day, n_summer, active_months, revenue_trend, pct_weekly_rentals, cluster_affinity_0, cluster_affinity_1, cluster_affinity_2, cluster_affinity_7, max_retail_price, avg_price_per_week — and achieved the best test MAE of 2,499 NOK. The SFS-selected feature set was adopted for the final model.</w:t>
      </w:r>
    </w:p>
    <w:p>
      <w:pPr>
        <w:pStyle w:val="Heading2"/>
        <w:spacing w:after="160" w:before="320" w:line="360" w:lineRule="auto"/>
      </w:pPr>
      <w:r>
        <w:rPr>
          <w:rFonts w:ascii="Times New Roman" w:cs="Times New Roman" w:eastAsia="Times New Roman" w:hAnsi="Times New Roman"/>
          <w:b/>
          <w:bCs/>
          <w:sz w:val="26"/>
          <w:szCs w:val="26"/>
        </w:rPr>
        <w:t xml:space="preserve">5.6 Final Model: LightGBM with Tweedie Objective</w:t>
      </w:r>
    </w:p>
    <w:p>
      <w:pPr>
        <w:spacing w:after="160" w:before="0" w:line="360" w:lineRule="auto"/>
        <w:jc w:val="both"/>
      </w:pPr>
      <w:r>
        <w:rPr>
          <w:rFonts w:ascii="Times New Roman" w:cs="Times New Roman" w:eastAsia="Times New Roman" w:hAnsi="Times New Roman"/>
          <w:sz w:val="24"/>
          <w:szCs w:val="24"/>
        </w:rPr>
        <w:t xml:space="preserve">The Tweedie distribution is a compound Poisson-Gamma distribution well-suited to modeling non-negative continuous data with a mass at zero, which closely matches the distributional profile of rental revenue — many zero-revenue customers and a right-skewed distribution among active customers. With a variance power of 1.3, the Tweedie objective penalizes errors on high-revenue customers less than standard MAE, improving calibration across the full revenue distribution. Table 3 presents the complete model comparison.</w:t>
      </w:r>
    </w:p>
    <w:p>
      <w:pPr>
        <w:spacing w:after="160" w:before="0" w:line="360" w:lineRule="auto"/>
      </w:pPr>
      <w:r>
        <w:rPr>
          <w:sz w:val="24"/>
          <w:szCs w:val="24"/>
        </w:rPr>
        <w:t xml:space="preserve"/>
      </w:r>
    </w:p>
    <w:p>
      <w:pPr>
        <w:spacing w:after="80" w:before="80"/>
        <w:jc w:val="center"/>
      </w:pPr>
      <w:r>
        <w:rPr>
          <w:rFonts w:ascii="Times New Roman" w:cs="Times New Roman" w:eastAsia="Times New Roman" w:hAnsi="Times New Roman"/>
          <w:i/>
          <w:iCs/>
          <w:sz w:val="20"/>
          <w:szCs w:val="20"/>
        </w:rPr>
        <w:t xml:space="preserve">Table 3: Model performance comparison across all tested approaches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210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Training Fold MAE</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Fold MAE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Predict zero (naive baseline)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13,390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Predict mean (naive baseline)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21,074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RFM Ridge Regression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14,674 NOK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 — all features, MAE objective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3,132 NOK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12,674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 — all data, MAE objective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901 NOK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3,296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 — Tweedie, all features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324 NOK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2,595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 — Tweedie, log(y) transform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3,328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 — Tweedie + RFECV (32 features)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342 NOK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2,638 NOK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LightGBM — Tweedie + SFS (18 features) ★</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377 NOK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2,499 NOK</w:t>
            </w:r>
          </w:p>
        </w:tc>
      </w:tr>
    </w:tbl>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progression from 12,674 NOK (post-April 2020 data only, MAE objective) to 3,296 NOK (all available data, MAE objective) to 2,595 NOK (Tweedie objective) to 2,499 NOK (SFS feature selection) demonstrates the incremental contribution of each modeling decision. Notably, using all available data including pre-2020 transactions as features (while keeping post-2020 only for labels) yielded a 74 percent MAE reduction compared to using post-2020 features only, suggesting that pre-2020 rental history provides useful behavioral context even though the revenue figures themselves are not comparable. Log-transforming the target variable yielded 3,328 NOK — worse than the Tweedie approach — because the Tweedie objective already handles the distributional shape more effectively than a log transform followed by back-transformation.</w:t>
      </w:r>
    </w:p>
    <w:p>
      <w:pPr>
        <w:spacing w:after="160" w:before="0" w:line="360" w:lineRule="auto"/>
        <w:jc w:val="both"/>
      </w:pPr>
      <w:r>
        <w:rPr>
          <w:rFonts w:ascii="Times New Roman" w:cs="Times New Roman" w:eastAsia="Times New Roman" w:hAnsi="Times New Roman"/>
          <w:sz w:val="24"/>
          <w:szCs w:val="24"/>
        </w:rPr>
        <w:t xml:space="preserve">Feature importance analysis of the final SFS model confirmed that recency (343 splits), revenue_trend (374 splits), weighted_frequency (285 splits), std_revenue (278 splits), and style_entropy (234 splits) are the top predictors. Style entropy consistently ranks in the top 10, confirming that the product segmentation from Assignment 1 contributes meaningful predictive signal to the revenue model.</w:t>
      </w:r>
    </w:p>
    <w:p>
      <w:pPr>
        <w:pStyle w:val="Heading2"/>
        <w:spacing w:after="160" w:before="320" w:line="360" w:lineRule="auto"/>
      </w:pPr>
      <w:r>
        <w:rPr>
          <w:rFonts w:ascii="Times New Roman" w:cs="Times New Roman" w:eastAsia="Times New Roman" w:hAnsi="Times New Roman"/>
          <w:b/>
          <w:bCs/>
          <w:sz w:val="26"/>
          <w:szCs w:val="26"/>
        </w:rPr>
        <w:t xml:space="preserve">5.7 Two-Stage Model</w:t>
      </w:r>
    </w:p>
    <w:p>
      <w:pPr>
        <w:spacing w:after="160" w:before="0" w:line="360" w:lineRule="auto"/>
        <w:jc w:val="both"/>
      </w:pPr>
      <w:r>
        <w:rPr>
          <w:rFonts w:ascii="Times New Roman" w:cs="Times New Roman" w:eastAsia="Times New Roman" w:hAnsi="Times New Roman"/>
          <w:sz w:val="24"/>
          <w:szCs w:val="24"/>
        </w:rPr>
        <w:t xml:space="preserve">A two-stage model was developed to directly address the latent attrition problem identified in the baseline analysis. Stage 1 uses a LightGBM Classifier to predict whether a customer will have any activity in the label period (binary churn prediction). Stage 2 applies a LightGBM Regressor trained exclusively on active customers to predict revenue conditional on activity. The final prediction combines both stages.</w:t>
      </w:r>
    </w:p>
    <w:p>
      <w:pPr>
        <w:spacing w:after="160" w:before="0" w:line="360" w:lineRule="auto"/>
        <w:jc w:val="both"/>
      </w:pPr>
      <w:r>
        <w:rPr>
          <w:rFonts w:ascii="Times New Roman" w:cs="Times New Roman" w:eastAsia="Times New Roman" w:hAnsi="Times New Roman"/>
          <w:sz w:val="24"/>
          <w:szCs w:val="24"/>
        </w:rPr>
        <w:t xml:space="preserve">Stage 1 achieved strong classification performance: 96 percent overall accuracy and 76 percent recall on active customers, with a class imbalance of 12.5:1 between inactive and active customers. However, the two-stage approach did not outperform the single-stage model. The hard combination (predicted 0 for classified-inactive, predicted revenue for classified-active) yielded a test MAE of 2,597 NOK. The soft combination (P(active) × predicted revenue) yielded 2,757 NOK — both worse than the single-stage 2,499 NOK.</w:t>
      </w:r>
    </w:p>
    <w:p>
      <w:pPr>
        <w:spacing w:after="160" w:before="0" w:line="360" w:lineRule="auto"/>
        <w:jc w:val="both"/>
      </w:pPr>
      <w:r>
        <w:rPr>
          <w:rFonts w:ascii="Times New Roman" w:cs="Times New Roman" w:eastAsia="Times New Roman" w:hAnsi="Times New Roman"/>
          <w:sz w:val="24"/>
          <w:szCs w:val="24"/>
        </w:rPr>
        <w:t xml:space="preserve">Table 5 presents the diagnostic breakdown by actual revenue bucket, which reveals the root cause.</w:t>
      </w:r>
    </w:p>
    <w:p>
      <w:pPr>
        <w:spacing w:after="160" w:before="0" w:line="360" w:lineRule="auto"/>
      </w:pPr>
      <w:r>
        <w:rPr>
          <w:sz w:val="24"/>
          <w:szCs w:val="24"/>
        </w:rPr>
        <w:t xml:space="preserve"/>
      </w:r>
    </w:p>
    <w:p>
      <w:pPr>
        <w:spacing w:after="80" w:before="80"/>
        <w:jc w:val="center"/>
      </w:pPr>
      <w:r>
        <w:rPr>
          <w:rFonts w:ascii="Times New Roman" w:cs="Times New Roman" w:eastAsia="Times New Roman" w:hAnsi="Times New Roman"/>
          <w:i/>
          <w:iCs/>
          <w:sz w:val="20"/>
          <w:szCs w:val="20"/>
        </w:rPr>
        <w:t xml:space="preserve">Table 5: Two-stage model diagnostic — MAE by actual revenue bucket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100"/>
        <w:gridCol w:w="2200"/>
        <w:gridCol w:w="22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Bucket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n</w:t>
            </w:r>
          </w:p>
        </w:tc>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MAE Single-Stage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MAE Two-Stage Hard</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MAE Two-Stage Soft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Churned (0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6,193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629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1–1k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84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9,271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12,799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11,999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1k–5k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13,290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13,622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12,724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5k–15k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103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15,932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17,482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17,218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15k–30k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102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21,529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18,759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18,857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30k–45k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96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29,218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27,935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28,080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45k–60k NOK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109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49,931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54,208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54,340</w:t>
            </w:r>
          </w:p>
        </w:tc>
      </w:tr>
    </w:tbl>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diagnostic reveals two competing effects. For churned customers, the two-stage model reduces error compared to the single-stage model (409 vs. 426 for hard prediction). However, for high-revenue active customers — especially the 45k–60k+ buckets — the two-stage model performs substantially worse. The Stage 2 revenue regressor is trained on only 439 active customers, of whom a small fraction fall in the high-revenue buckets. With insufficient training data, the regressor regresses toward the mean and severely underestimates high-value customers. The single-stage model, trained on all 5,943 customers, has implicitly learned to predict near-zero for churned customers while maintaining better calibration for the high-revenue tail. Additional alternatives tested for the Stage 2 regressor — including Huber loss, quantile regression, and log-transformation of the revenue target for active customers — achieved MAEs of 3,318, 2,900, and 2,800 NOK respectively, all inferior to the single-stage approach.</w:t>
      </w:r>
    </w:p>
    <w:p>
      <w:pPr>
        <w:pStyle w:val="Heading2"/>
        <w:spacing w:after="160" w:before="320" w:line="360" w:lineRule="auto"/>
      </w:pPr>
      <w:r>
        <w:rPr>
          <w:rFonts w:ascii="Times New Roman" w:cs="Times New Roman" w:eastAsia="Times New Roman" w:hAnsi="Times New Roman"/>
          <w:b/>
          <w:bCs/>
          <w:sz w:val="26"/>
          <w:szCs w:val="26"/>
        </w:rPr>
        <w:t xml:space="preserve">5.8 What Did Not Work</w:t>
      </w:r>
    </w:p>
    <w:p>
      <w:pPr>
        <w:spacing w:after="160" w:before="0" w:line="360" w:lineRule="auto"/>
        <w:jc w:val="both"/>
      </w:pPr>
      <w:r>
        <w:rPr>
          <w:rFonts w:ascii="Times New Roman" w:cs="Times New Roman" w:eastAsia="Times New Roman" w:hAnsi="Times New Roman"/>
          <w:sz w:val="24"/>
          <w:szCs w:val="24"/>
        </w:rPr>
        <w:t xml:space="preserve">Several methodological decisions were tested and rejected. Computing exponential time weights on the full dataset before the train-test split caused data leakage: transactions near the test cutoff received the highest weights and were then used in the test set, artificially improving training performance. This was corrected by computing time weights inside the feature engineering function relative to each fold's specific cutoff date.</w:t>
      </w:r>
    </w:p>
    <w:p>
      <w:pPr>
        <w:spacing w:after="160" w:before="0" w:line="360" w:lineRule="auto"/>
        <w:jc w:val="both"/>
      </w:pPr>
      <w:r>
        <w:rPr>
          <w:rFonts w:ascii="Times New Roman" w:cs="Times New Roman" w:eastAsia="Times New Roman" w:hAnsi="Times New Roman"/>
          <w:sz w:val="24"/>
          <w:szCs w:val="24"/>
        </w:rPr>
        <w:t xml:space="preserve">A critical implementation error was identified in which the feature engineering function referenced the global transaction dataframe rather than the pre-cutoff filtered subset for seasonality, cluster affinity, trend, and price features. This caused all these features to include post-cutoff transactions during training — a form of data leakage corrected through code review. After correction, reported MAEs accurately reflect genuine out-of-sample performance.</w:t>
      </w:r>
    </w:p>
    <w:p>
      <w:pPr>
        <w:spacing w:after="160" w:before="0" w:line="360" w:lineRule="auto"/>
        <w:jc w:val="both"/>
      </w:pPr>
      <w:r>
        <w:rPr>
          <w:rFonts w:ascii="Times New Roman" w:cs="Times New Roman" w:eastAsia="Times New Roman" w:hAnsi="Times New Roman"/>
          <w:sz w:val="24"/>
          <w:szCs w:val="24"/>
        </w:rPr>
        <w:t xml:space="preserve">Log-transforming the revenue target (log1p) before training and back-transforming predictions (expm1) yielded a test MAE of 3,328 NOK — worse than the Tweedie objective approach — because the Tweedie distribution already handles the zero-inflated right-skewed revenue profile more naturally than an explicit transformation. Early stopping with internal validation splits consistently produced worse test MAEs than training for the full 500 iterations, suggesting that in this data regime the model benefits from more iterations rather than fewer. RFECV feature selection retained 32 features and yielded a test MAE of 2,638 NOK — inferior to the 18-feature SFS result — demonstrating that aggressive feature reduction via SFS outperformed conservative elimination via RFECV for this specific holdout period.</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6. Churn Prediction</w:t>
      </w:r>
    </w:p>
    <w:p>
      <w:pPr>
        <w:spacing w:after="160" w:before="0" w:line="360" w:lineRule="auto"/>
        <w:jc w:val="both"/>
      </w:pPr>
      <w:r>
        <w:rPr>
          <w:rFonts w:ascii="Times New Roman" w:cs="Times New Roman" w:eastAsia="Times New Roman" w:hAnsi="Times New Roman"/>
          <w:sz w:val="24"/>
          <w:szCs w:val="24"/>
        </w:rPr>
        <w:t xml:space="preserve">[TBD — Assignment 3 has not yet been implemented. The following describes the planned approach.]</w:t>
      </w:r>
    </w:p>
    <w:p>
      <w:pPr>
        <w:pStyle w:val="Heading2"/>
        <w:spacing w:after="160" w:before="320" w:line="360" w:lineRule="auto"/>
      </w:pPr>
      <w:r>
        <w:rPr>
          <w:rFonts w:ascii="Times New Roman" w:cs="Times New Roman" w:eastAsia="Times New Roman" w:hAnsi="Times New Roman"/>
          <w:b/>
          <w:bCs/>
          <w:sz w:val="26"/>
          <w:szCs w:val="26"/>
        </w:rPr>
        <w:t xml:space="preserve">6.1 Problem Framing</w:t>
      </w:r>
    </w:p>
    <w:p>
      <w:pPr>
        <w:spacing w:after="160" w:before="0" w:line="360" w:lineRule="auto"/>
        <w:jc w:val="both"/>
      </w:pPr>
      <w:r>
        <w:rPr>
          <w:rFonts w:ascii="Times New Roman" w:cs="Times New Roman" w:eastAsia="Times New Roman" w:hAnsi="Times New Roman"/>
          <w:sz w:val="24"/>
          <w:szCs w:val="24"/>
        </w:rPr>
        <w:t xml:space="preserve">[TBD] A customer is defined as churned if they have exactly zero rental transactions between September 6, 2023 and September 6, 2024. The prediction task is binary classification evaluated on total hit ratio (accuracy) and recall. Recall is prioritized as the more business-critical metric since failing to identify a churned customer misses a retention opportunity. The feature engineering infrastructure from Section 5.3 is directly reusable for the churn classification task.</w:t>
      </w:r>
    </w:p>
    <w:p>
      <w:pPr>
        <w:pStyle w:val="Heading2"/>
        <w:spacing w:after="160" w:before="320" w:line="360" w:lineRule="auto"/>
      </w:pPr>
      <w:r>
        <w:rPr>
          <w:rFonts w:ascii="Times New Roman" w:cs="Times New Roman" w:eastAsia="Times New Roman" w:hAnsi="Times New Roman"/>
          <w:b/>
          <w:bCs/>
          <w:sz w:val="26"/>
          <w:szCs w:val="26"/>
        </w:rPr>
        <w:t xml:space="preserve">6.2 Planned Approach</w:t>
      </w:r>
    </w:p>
    <w:p>
      <w:pPr>
        <w:spacing w:after="160" w:before="0" w:line="360" w:lineRule="auto"/>
        <w:jc w:val="both"/>
      </w:pPr>
      <w:r>
        <w:rPr>
          <w:rFonts w:ascii="Times New Roman" w:cs="Times New Roman" w:eastAsia="Times New Roman" w:hAnsi="Times New Roman"/>
          <w:sz w:val="24"/>
          <w:szCs w:val="24"/>
        </w:rPr>
        <w:t xml:space="preserve">[TBD] The churn model will use a LightGBM Classifier with scale_pos_weight adjusted for the observed 12.5:1 class imbalance between inactive and active customers. The SFS analysis for the Stage 1 classifier in Section 5.7 identified four features as optimal for churn classification: recency, monetary_x_frequency, pct_weekly_rentals, and cluster_affinity_6 (Skirts &amp; Knitwear). The concentration of At-Risk customers on Dresses and near-absence from Skirts — identified in the customer affinity analysis — provides theoretical motivation for cluster_affinity_6 as a churn predictor.</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7. Discussion</w:t>
      </w:r>
    </w:p>
    <w:p>
      <w:pPr>
        <w:pStyle w:val="Heading2"/>
        <w:spacing w:after="160" w:before="320" w:line="360" w:lineRule="auto"/>
      </w:pPr>
      <w:r>
        <w:rPr>
          <w:rFonts w:ascii="Times New Roman" w:cs="Times New Roman" w:eastAsia="Times New Roman" w:hAnsi="Times New Roman"/>
          <w:b/>
          <w:bCs/>
          <w:sz w:val="26"/>
          <w:szCs w:val="26"/>
        </w:rPr>
        <w:t xml:space="preserve">7.1 Scientific Implications</w:t>
      </w:r>
    </w:p>
    <w:p>
      <w:pPr>
        <w:spacing w:after="160" w:before="0" w:line="360" w:lineRule="auto"/>
        <w:jc w:val="both"/>
      </w:pPr>
      <w:r>
        <w:rPr>
          <w:rFonts w:ascii="Times New Roman" w:cs="Times New Roman" w:eastAsia="Times New Roman" w:hAnsi="Times New Roman"/>
          <w:sz w:val="24"/>
          <w:szCs w:val="24"/>
        </w:rPr>
        <w:t xml:space="preserve">This study makes two contributions to the marketing analytics literature. First, it demonstrates that multimodal product embeddings can be used to construct behavioral customer features — specifically style entropy and cluster affinity shares — that provide incremental predictive signal beyond conventional RFM features. Style entropy consistently ranks in the top 10 features in the LightGBM model, and the feature ablation analysis quantifies its contribution as +44 NOK MAE when removed — comparable to the velocity and time feature groups. This provides empirical support for the integration of product-level intelligence into customer-level CLV models in fashion rental contexts.</w:t>
      </w:r>
    </w:p>
    <w:p>
      <w:pPr>
        <w:spacing w:after="160" w:before="0" w:line="360" w:lineRule="auto"/>
        <w:jc w:val="both"/>
      </w:pPr>
      <w:r>
        <w:rPr>
          <w:rFonts w:ascii="Times New Roman" w:cs="Times New Roman" w:eastAsia="Times New Roman" w:hAnsi="Times New Roman"/>
          <w:sz w:val="24"/>
          <w:szCs w:val="24"/>
        </w:rPr>
        <w:t xml:space="preserve">Second, the customer affinity analysis provides empirical support for a style diversity hypothesis: loyal customers exhibit significantly broader multi-cluster rental engagement than at-risk customers, who concentrate 79 percent of spending on a single category. This finding extends the CLV literature by identifying a category-level behavioral predictor specific to the fashion rental context.</w:t>
      </w:r>
    </w:p>
    <w:p>
      <w:pPr>
        <w:spacing w:after="160" w:before="0" w:line="360" w:lineRule="auto"/>
        <w:jc w:val="both"/>
      </w:pPr>
      <w:r>
        <w:rPr>
          <w:rFonts w:ascii="Times New Roman" w:cs="Times New Roman" w:eastAsia="Times New Roman" w:hAnsi="Times New Roman"/>
          <w:sz w:val="24"/>
          <w:szCs w:val="24"/>
        </w:rPr>
        <w:t xml:space="preserve">The two-stage model analysis provides an important negative result with scientific value: in data regimes with very few active training customers (here: 439 of 5,943, 7.4 percent), explicitly separating churn classification from revenue regression does not improve overall MAE because the revenue regressor for active customers is trained on insufficient data. The single-stage Tweedie model, which implicitly handles the zero-inflated distribution through the Tweedie variance, outperforms the explicit two-stage decomposition. This finding has implications for CLV modeling in other sparse-activity subscription contexts.</w:t>
      </w:r>
    </w:p>
    <w:p>
      <w:pPr>
        <w:pStyle w:val="Heading2"/>
        <w:spacing w:after="160" w:before="320" w:line="360" w:lineRule="auto"/>
      </w:pPr>
      <w:r>
        <w:rPr>
          <w:rFonts w:ascii="Times New Roman" w:cs="Times New Roman" w:eastAsia="Times New Roman" w:hAnsi="Times New Roman"/>
          <w:b/>
          <w:bCs/>
          <w:sz w:val="26"/>
          <w:szCs w:val="26"/>
        </w:rPr>
        <w:t xml:space="preserve">7.2 Managerial Implications</w:t>
      </w:r>
    </w:p>
    <w:p>
      <w:pPr>
        <w:spacing w:after="160" w:before="0" w:line="360" w:lineRule="auto"/>
        <w:jc w:val="both"/>
      </w:pPr>
      <w:r>
        <w:rPr>
          <w:rFonts w:ascii="Times New Roman" w:cs="Times New Roman" w:eastAsia="Times New Roman" w:hAnsi="Times New Roman"/>
          <w:sz w:val="24"/>
          <w:szCs w:val="24"/>
        </w:rPr>
        <w:t xml:space="preserve">Three actionable implications follow from the product segmentation analysis. First, expanding the Bags &amp; Accessories inventory is the highest-return assortment decision available. With a revenue-per-item figure nearly double that of the next category and a utilization rate 71 percent above the catalog average, Bags &amp; Accessories is clearly supply-constrained. Vibrent should prioritize sourcing additional high-demand bag styles similar to the Luggage Tote Bag Medium (106,788 NOK lifetime revenue) and Chocolate Bar Camelia Bag (83,952 NOK).</w:t>
      </w:r>
    </w:p>
    <w:p>
      <w:pPr>
        <w:spacing w:after="160" w:before="0" w:line="360" w:lineRule="auto"/>
        <w:jc w:val="both"/>
      </w:pPr>
      <w:r>
        <w:rPr>
          <w:rFonts w:ascii="Times New Roman" w:cs="Times New Roman" w:eastAsia="Times New Roman" w:hAnsi="Times New Roman"/>
          <w:sz w:val="24"/>
          <w:szCs w:val="24"/>
        </w:rPr>
        <w:t xml:space="preserve">Second, Vibrent should reconsider its assortment allocation toward Trousers and Skirts. These clusters together hold 16 percent of inventory but generate only 11.3 percent of revenue, with never-rented rates above 35 percent. Reallocating procurement budget toward bags and high-demand occasion wear would improve catalog efficiency.</w:t>
      </w:r>
    </w:p>
    <w:p>
      <w:pPr>
        <w:spacing w:after="160" w:before="0" w:line="360" w:lineRule="auto"/>
        <w:jc w:val="both"/>
      </w:pPr>
      <w:r>
        <w:rPr>
          <w:rFonts w:ascii="Times New Roman" w:cs="Times New Roman" w:eastAsia="Times New Roman" w:hAnsi="Times New Roman"/>
          <w:sz w:val="24"/>
          <w:szCs w:val="24"/>
        </w:rPr>
        <w:t xml:space="preserve">Third, since at-risk customers show single-category engagement while loyal customers show broad multi-cluster behavior, Vibrent should design onboarding flows that nudge new customers toward a second rental in a different product category following their first. A customer who joins to rent a dress for a wedding and is subsequently introduced to bag rental is significantly more likely to become a recurring subscriber.</w:t>
      </w:r>
    </w:p>
    <w:p>
      <w:pPr>
        <w:pStyle w:val="Heading2"/>
        <w:spacing w:after="160" w:before="320" w:line="360" w:lineRule="auto"/>
      </w:pPr>
      <w:r>
        <w:rPr>
          <w:rFonts w:ascii="Times New Roman" w:cs="Times New Roman" w:eastAsia="Times New Roman" w:hAnsi="Times New Roman"/>
          <w:b/>
          <w:bCs/>
          <w:sz w:val="26"/>
          <w:szCs w:val="26"/>
        </w:rPr>
        <w:t xml:space="preserve">7.3 Limitations</w:t>
      </w:r>
    </w:p>
    <w:p>
      <w:pPr>
        <w:spacing w:after="160" w:before="0" w:line="360" w:lineRule="auto"/>
        <w:jc w:val="both"/>
      </w:pPr>
      <w:r>
        <w:rPr>
          <w:rFonts w:ascii="Times New Roman" w:cs="Times New Roman" w:eastAsia="Times New Roman" w:hAnsi="Times New Roman"/>
          <w:sz w:val="24"/>
          <w:szCs w:val="24"/>
        </w:rPr>
        <w:t xml:space="preserve">The temporal validation uses a single training-test fold. A two-fold expanding window would provide a more robust estimate of model stability. The revenue prediction model exhibits a training-test MAE gap (377 vs. 2,499 NOK) indicating overfitting that was not resolved by regularization or early stopping within the tested configurations. The structural break at April 2020 limits usable history to approximately three and a half years. The churn prediction model has not been implemented. The cluster affinity features use discrete cluster assignments; continuous mean-pooled embedding features averaging the Voyage embeddings of a customer's rented items represent a promising extension not implemented in the current version.</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8. Conclusion</w:t>
      </w:r>
    </w:p>
    <w:p>
      <w:pPr>
        <w:spacing w:after="160" w:before="0" w:line="360" w:lineRule="auto"/>
        <w:jc w:val="both"/>
      </w:pPr>
      <w:r>
        <w:rPr>
          <w:rFonts w:ascii="Times New Roman" w:cs="Times New Roman" w:eastAsia="Times New Roman" w:hAnsi="Times New Roman"/>
          <w:sz w:val="24"/>
          <w:szCs w:val="24"/>
        </w:rPr>
        <w:t xml:space="preserve">This study developed an end-to-end marketing analytics pipeline for Vibrent integrating multimodal product intelligence into customer-level predictive models. Product segmentation using Voyage Multimodal 3.5 embeddings, UMAP, and K-Means (k = 8) identified eight semantically coherent product segments. Business profiling confirmed that Bags &amp; Accessories is a supply-constrained white space with the highest revenue-per-item ratio in the catalog (10,139 NOK), while everyday basics represent structural over-investments.</w:t>
      </w:r>
    </w:p>
    <w:p>
      <w:pPr>
        <w:spacing w:after="160" w:before="0" w:line="360" w:lineRule="auto"/>
        <w:jc w:val="both"/>
      </w:pPr>
      <w:r>
        <w:rPr>
          <w:rFonts w:ascii="Times New Roman" w:cs="Times New Roman" w:eastAsia="Times New Roman" w:hAnsi="Times New Roman"/>
          <w:sz w:val="24"/>
          <w:szCs w:val="24"/>
        </w:rPr>
        <w:t xml:space="preserve">The revenue prediction pipeline progressed through six modeling iterations, achieving a final test fold MAE of 2,499 NOK with a LightGBM Tweedie model using 18 SFS-selected features. Feature ablation analysis confirmed that cluster affinity features contribute +44 NOK MAE — comparable to other engineered feature groups — empirically validating the integration of product segmentation into customer-level prediction. Style entropy ranked consistently in the top 10 features. A two-stage model was developed and evaluated but did not outperform the single-stage approach due to the limited number of active training customers, providing a methodologically important negative result. Churn prediction is identified as the primary direction for future work.</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References</w:t>
      </w:r>
    </w:p>
    <w:p>
      <w:pPr>
        <w:spacing w:after="160" w:before="0" w:line="360" w:lineRule="auto"/>
        <w:jc w:val="both"/>
      </w:pPr>
      <w:r>
        <w:rPr>
          <w:rFonts w:ascii="Times New Roman" w:cs="Times New Roman" w:eastAsia="Times New Roman" w:hAnsi="Times New Roman"/>
          <w:sz w:val="24"/>
          <w:szCs w:val="24"/>
        </w:rPr>
        <w:t xml:space="preserve">Bachmann, P., Meierer, M., &amp; Näf, J. (2021). The role of time-varying contextual factors in latent attrition models for customer base analysis. Marketing Science, 40(4), 783–809.</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Borgersen, K. A. K. (2024). Vibrent clothes rental dataset. Kaggle. https://doi.org/10.34740/KAGGLE/DSV/9334353</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Ellen MacArthur Foundation. (2017). A new textiles economy: Redesigning fashion's future.</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Fader, P. S., Hardie, B. G. S., &amp; Lee, K. L. (2005). RFM and CLV: Using iso-value curves for customer base analysis. Journal of Marketing Research, 42(4), 415–430.</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Gupta, S., &amp; Lehmann, D. R. (2003). Customers as assets. Journal of Interactive Marketing, 17(1), 9–24.</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Hughes, A. M. (1994). Strategic database marketing. Probus Publishing.</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Ke, G., Meng, Q., Finley, T., Wang, T., Chen, W., Ma, W., Ye, Q., &amp; Liu, T.-Y. (2017). LightGBM: A highly efficient gradient boosting decision tree. Advances in Neural Information Processing Systems, 30.</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Kusupati, A., Bhatt, G., Rege, A., Wallingford, M., Sinha, A., Ramanujan, V., Howard-Snyder, W., Chen, K., Kakade, S., Jain, P., &amp; Farhadi, A. (2022). Matryoshka representation learning. Advances in Neural Information Processing Systems, 35.</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McInnes, L., Healy, J., &amp; Melville, J. (2018). UMAP: Uniform manifold approximation and projection for dimension reduction. arXiv:1802.03426.</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Radford, A., Kim, J. W., Hallacy, C., Ramesh, A., Goh, G., Agarwal, S., Sastry, G., Askell, A., Mishkin, P., Clark, J., Krueger, G., &amp; Sutskever, I. (2021). Learning transferable visual models from natural language supervision. Proceedings of ICML.</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Schmittlein, D. C., Morrison, D. G., &amp; Colombo, R. (1987). Counting your customers: Who are they and what will they do next? Management Science, 33(1), 1–24.</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Wagner, U., &amp; Hoppe, D. (2008). Erratum on the MBG/NBD model. International Journal of Research in Marketing, 25(3), 225–226.</w:t>
      </w:r>
    </w:p>
    <w:p>
      <w:r>
        <w:br w:type="page"/>
      </w:r>
    </w:p>
    <w:p>
      <w:pPr>
        <w:pStyle w:val="Heading1"/>
        <w:spacing w:after="200" w:before="400" w:line="360" w:lineRule="auto"/>
      </w:pPr>
      <w:r>
        <w:rPr>
          <w:rFonts w:ascii="Times New Roman" w:cs="Times New Roman" w:eastAsia="Times New Roman" w:hAnsi="Times New Roman"/>
          <w:b/>
          <w:bCs/>
          <w:sz w:val="28"/>
          <w:szCs w:val="28"/>
        </w:rPr>
        <w:t xml:space="preserve">Declaration of Originality</w:t>
      </w:r>
    </w:p>
    <w:p>
      <w:pPr>
        <w:spacing w:after="160" w:before="0" w:line="360" w:lineRule="auto"/>
        <w:jc w:val="both"/>
      </w:pPr>
      <w:r>
        <w:rPr>
          <w:rFonts w:ascii="Times New Roman" w:cs="Times New Roman" w:eastAsia="Times New Roman" w:hAnsi="Times New Roman"/>
          <w:sz w:val="24"/>
          <w:szCs w:val="24"/>
        </w:rPr>
        <w:t xml:space="preserve">I hereby confirm that I am the sole author of the written work here enclosed and that I have compiled it in my own words. Parts excepted are corrections of form and content by the supervisor.</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Title of work:</w:t>
      </w:r>
    </w:p>
    <w:p>
      <w:pPr>
        <w:spacing w:after="160" w:before="0" w:line="360" w:lineRule="auto"/>
        <w:jc w:val="both"/>
      </w:pPr>
      <w:r>
        <w:rPr>
          <w:rFonts w:ascii="Times New Roman" w:cs="Times New Roman" w:eastAsia="Times New Roman" w:hAnsi="Times New Roman"/>
          <w:sz w:val="24"/>
          <w:szCs w:val="24"/>
        </w:rPr>
        <w:t xml:space="preserve">Marketing Analytics: Customer Segmentation, Revenue Prediction, and Churn Analysis for Vibrent</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b/>
          <w:bCs/>
          <w:sz w:val="24"/>
          <w:szCs w:val="24"/>
        </w:rPr>
        <w:t xml:space="preserve">Authored by (all group members):</w:t>
      </w:r>
    </w:p>
    <w:p>
      <w:pPr>
        <w:spacing w:after="160" w:before="0" w:line="360" w:lineRule="auto"/>
        <w:jc w:val="both"/>
      </w:pPr>
      <w:r>
        <w:rPr>
          <w:rFonts w:ascii="Times New Roman" w:cs="Times New Roman" w:eastAsia="Times New Roman" w:hAnsi="Times New Roman"/>
          <w:sz w:val="24"/>
          <w:szCs w:val="24"/>
        </w:rPr>
        <w:t xml:space="preserve">Name: ________________________    First name: ________________________</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Name: ________________________    First name: ________________________</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Name: ________________________    First name: ________________________</w:t>
      </w:r>
    </w:p>
    <w:p>
      <w:pPr>
        <w:spacing w:after="160" w:before="0" w:line="360" w:lineRule="auto"/>
      </w:pPr>
      <w:r>
        <w:rPr>
          <w:sz w:val="24"/>
          <w:szCs w:val="24"/>
        </w:rPr>
        <w:t xml:space="preserve"/>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With my signature I confirm that I have committed none of the forms of plagiarism described in the Citation etiquette information sheet, I have documented all methods, data and processes truthfully, I have not manipulated any data, and I have mentioned all persons who were significant facilitators of the work.</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I am aware that the work may be screened electronically for plagiarism.</w:t>
      </w:r>
    </w:p>
    <w:p>
      <w:pPr>
        <w:spacing w:after="160" w:before="0" w:line="360" w:lineRule="auto"/>
      </w:pPr>
      <w:r>
        <w:rPr>
          <w:sz w:val="24"/>
          <w:szCs w:val="24"/>
        </w:rPr>
        <w:t xml:space="preserve"/>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Place, date: ________________________    Signature(s): ________________________</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________________________</w:t>
      </w:r>
    </w:p>
    <w:p>
      <w:pPr>
        <w:spacing w:after="160" w:before="0" w:line="360" w:lineRule="auto"/>
      </w:pPr>
      <w:r>
        <w:rPr>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________________________</w:t>
      </w:r>
    </w:p>
    <w:sectPr>
      <w:footerReference w:type="default" r:id="rId8"/>
      <w:type w:val="nextPage"/>
      <w:pgSz w:w="11906" w:h="16838" w:orient="portrait"/>
      <w:pgMar w:top="1418" w:right="1418" w:bottom="141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line="360" w:lineRule="auto"/>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2026-04-13T20:04:06.520Z</dcterms:created>
  <dcterms:modified xsi:type="dcterms:W3CDTF">2026-04-13T20:04:06.521Z</dcterms:modified>
</cp:coreProperties>
</file>

<file path=docProps/custom.xml><?xml version="1.0" encoding="utf-8"?>
<Properties xmlns="http://schemas.openxmlformats.org/officeDocument/2006/custom-properties" xmlns:vt="http://schemas.openxmlformats.org/officeDocument/2006/docPropsVTypes"/>
</file>